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DA0" w:rsidRDefault="00682DA0">
      <w:pPr>
        <w:adjustRightInd w:val="0"/>
        <w:snapToGrid w:val="0"/>
        <w:jc w:val="center"/>
        <w:rPr>
          <w:rFonts w:ascii="彩虹粗仿宋" w:eastAsia="彩虹粗仿宋" w:hAnsi="宋体" w:cs="Arial"/>
          <w:sz w:val="44"/>
          <w:szCs w:val="44"/>
        </w:rPr>
      </w:pPr>
      <w:bookmarkStart w:id="0" w:name="_GoBack"/>
      <w:bookmarkEnd w:id="0"/>
    </w:p>
    <w:p w:rsidR="00682DA0" w:rsidRDefault="00682DA0">
      <w:pPr>
        <w:adjustRightInd w:val="0"/>
        <w:snapToGrid w:val="0"/>
        <w:jc w:val="center"/>
        <w:rPr>
          <w:rFonts w:ascii="彩虹粗仿宋" w:eastAsia="彩虹粗仿宋" w:hAnsi="宋体" w:cs="Arial"/>
          <w:sz w:val="44"/>
          <w:szCs w:val="44"/>
        </w:rPr>
      </w:pPr>
    </w:p>
    <w:p w:rsidR="00682DA0" w:rsidRDefault="00682DA0">
      <w:pPr>
        <w:adjustRightInd w:val="0"/>
        <w:snapToGrid w:val="0"/>
        <w:jc w:val="center"/>
        <w:rPr>
          <w:rFonts w:ascii="彩虹粗仿宋" w:eastAsia="彩虹粗仿宋" w:hAnsi="宋体" w:cs="Arial"/>
          <w:sz w:val="44"/>
          <w:szCs w:val="44"/>
        </w:rPr>
      </w:pPr>
    </w:p>
    <w:p w:rsidR="00682DA0" w:rsidRDefault="00682DA0">
      <w:pPr>
        <w:adjustRightInd w:val="0"/>
        <w:snapToGrid w:val="0"/>
        <w:jc w:val="center"/>
        <w:rPr>
          <w:rFonts w:ascii="彩虹粗仿宋" w:eastAsia="彩虹粗仿宋" w:hAnsi="宋体" w:cs="Arial"/>
          <w:sz w:val="44"/>
          <w:szCs w:val="44"/>
        </w:rPr>
      </w:pPr>
    </w:p>
    <w:p w:rsidR="00682DA0" w:rsidRDefault="00B5345A">
      <w:pPr>
        <w:adjustRightInd w:val="0"/>
        <w:snapToGrid w:val="0"/>
        <w:jc w:val="center"/>
        <w:rPr>
          <w:rFonts w:ascii="彩虹粗仿宋" w:eastAsia="彩虹粗仿宋" w:hAnsi="宋体" w:cs="Arial"/>
          <w:b/>
          <w:sz w:val="44"/>
          <w:szCs w:val="44"/>
        </w:rPr>
      </w:pPr>
      <w:r>
        <w:rPr>
          <w:rFonts w:ascii="彩虹粗仿宋" w:eastAsia="彩虹粗仿宋" w:hAnsi="宋体" w:cs="Arial" w:hint="eastAsia"/>
          <w:b/>
          <w:sz w:val="44"/>
          <w:szCs w:val="44"/>
        </w:rPr>
        <w:t>华泰柏瑞南方东英恒生科技指数交易型开放式指数证券投资基金（QDII）</w:t>
      </w:r>
    </w:p>
    <w:p w:rsidR="00682DA0" w:rsidRDefault="00B5345A">
      <w:pPr>
        <w:adjustRightInd w:val="0"/>
        <w:snapToGrid w:val="0"/>
        <w:jc w:val="center"/>
        <w:rPr>
          <w:rFonts w:ascii="彩虹粗仿宋" w:eastAsia="彩虹粗仿宋" w:hAnsi="宋体" w:cs="Arial"/>
          <w:b/>
          <w:sz w:val="44"/>
          <w:szCs w:val="44"/>
        </w:rPr>
      </w:pPr>
      <w:r>
        <w:rPr>
          <w:rFonts w:ascii="彩虹粗仿宋" w:eastAsia="彩虹粗仿宋" w:hAnsi="宋体" w:cs="Arial" w:hint="eastAsia"/>
          <w:b/>
          <w:sz w:val="44"/>
          <w:szCs w:val="44"/>
        </w:rPr>
        <w:t>托管协议</w:t>
      </w:r>
    </w:p>
    <w:p w:rsidR="00682DA0" w:rsidRDefault="00682DA0">
      <w:pPr>
        <w:adjustRightInd w:val="0"/>
        <w:snapToGrid w:val="0"/>
        <w:jc w:val="center"/>
        <w:rPr>
          <w:rFonts w:ascii="彩虹粗仿宋" w:eastAsia="彩虹粗仿宋" w:hAnsi="宋体" w:cs="Arial"/>
          <w:b/>
          <w:sz w:val="44"/>
          <w:szCs w:val="44"/>
        </w:rPr>
      </w:pPr>
    </w:p>
    <w:p w:rsidR="00682DA0" w:rsidRDefault="00682DA0">
      <w:pPr>
        <w:adjustRightInd w:val="0"/>
        <w:snapToGrid w:val="0"/>
        <w:jc w:val="center"/>
        <w:outlineLvl w:val="0"/>
        <w:rPr>
          <w:rFonts w:ascii="彩虹粗仿宋" w:eastAsia="彩虹粗仿宋" w:hAnsi="宋体" w:cs="Arial"/>
          <w:sz w:val="44"/>
          <w:szCs w:val="44"/>
        </w:rPr>
      </w:pPr>
    </w:p>
    <w:p w:rsidR="00682DA0" w:rsidRDefault="00682DA0">
      <w:pPr>
        <w:adjustRightInd w:val="0"/>
        <w:snapToGrid w:val="0"/>
        <w:jc w:val="center"/>
        <w:outlineLvl w:val="0"/>
        <w:rPr>
          <w:rFonts w:ascii="彩虹粗仿宋" w:eastAsia="彩虹粗仿宋" w:hAnsi="宋体" w:cs="Arial"/>
          <w:sz w:val="44"/>
          <w:szCs w:val="44"/>
        </w:rPr>
      </w:pPr>
    </w:p>
    <w:p w:rsidR="00682DA0" w:rsidRDefault="00682DA0">
      <w:pPr>
        <w:adjustRightInd w:val="0"/>
        <w:snapToGrid w:val="0"/>
        <w:jc w:val="center"/>
        <w:outlineLvl w:val="0"/>
        <w:rPr>
          <w:rFonts w:ascii="彩虹粗仿宋" w:eastAsia="彩虹粗仿宋" w:hAnsi="宋体" w:cs="Arial"/>
          <w:sz w:val="44"/>
          <w:szCs w:val="44"/>
        </w:rPr>
      </w:pPr>
    </w:p>
    <w:p w:rsidR="00682DA0" w:rsidRDefault="00682DA0">
      <w:pPr>
        <w:adjustRightInd w:val="0"/>
        <w:snapToGrid w:val="0"/>
        <w:outlineLvl w:val="0"/>
        <w:rPr>
          <w:rFonts w:ascii="彩虹粗仿宋" w:eastAsia="彩虹粗仿宋" w:hAnsi="宋体" w:cs="Arial"/>
          <w:sz w:val="44"/>
          <w:szCs w:val="44"/>
        </w:rPr>
      </w:pPr>
    </w:p>
    <w:p w:rsidR="00682DA0" w:rsidRDefault="00B5345A">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基金管理人：华泰柏瑞基金管理有限公司</w:t>
      </w:r>
    </w:p>
    <w:p w:rsidR="00682DA0" w:rsidRDefault="00B5345A">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基金托管人：中国建设银行股份有限公司</w:t>
      </w:r>
    </w:p>
    <w:p w:rsidR="00682DA0" w:rsidRDefault="00682DA0">
      <w:pPr>
        <w:adjustRightInd w:val="0"/>
        <w:snapToGrid w:val="0"/>
        <w:jc w:val="center"/>
        <w:outlineLvl w:val="0"/>
        <w:rPr>
          <w:rFonts w:ascii="彩虹粗仿宋" w:eastAsia="彩虹粗仿宋" w:hAnsi="宋体" w:cs="Arial"/>
          <w:sz w:val="24"/>
        </w:rPr>
      </w:pPr>
    </w:p>
    <w:p w:rsidR="00682DA0" w:rsidRDefault="00682DA0">
      <w:pPr>
        <w:adjustRightInd w:val="0"/>
        <w:snapToGrid w:val="0"/>
        <w:jc w:val="center"/>
        <w:outlineLvl w:val="0"/>
        <w:rPr>
          <w:rFonts w:ascii="彩虹粗仿宋" w:eastAsia="彩虹粗仿宋" w:hAnsi="宋体" w:cs="Arial"/>
          <w:sz w:val="24"/>
        </w:rPr>
      </w:pPr>
    </w:p>
    <w:p w:rsidR="00682DA0" w:rsidRDefault="00682DA0">
      <w:pPr>
        <w:adjustRightInd w:val="0"/>
        <w:snapToGrid w:val="0"/>
        <w:jc w:val="center"/>
        <w:outlineLvl w:val="0"/>
        <w:rPr>
          <w:rFonts w:ascii="彩虹粗仿宋" w:eastAsia="彩虹粗仿宋" w:hAnsi="宋体" w:cs="Arial"/>
          <w:sz w:val="24"/>
        </w:rPr>
      </w:pPr>
    </w:p>
    <w:p w:rsidR="00682DA0" w:rsidRDefault="00682DA0">
      <w:pPr>
        <w:adjustRightInd w:val="0"/>
        <w:snapToGrid w:val="0"/>
        <w:outlineLvl w:val="0"/>
        <w:rPr>
          <w:rFonts w:ascii="彩虹粗仿宋" w:eastAsia="彩虹粗仿宋" w:hAnsi="宋体" w:cs="Arial"/>
          <w:sz w:val="24"/>
        </w:rPr>
      </w:pPr>
    </w:p>
    <w:p w:rsidR="00682DA0" w:rsidRDefault="00682DA0">
      <w:pPr>
        <w:adjustRightInd w:val="0"/>
        <w:snapToGrid w:val="0"/>
        <w:outlineLvl w:val="0"/>
        <w:rPr>
          <w:rFonts w:ascii="彩虹粗仿宋" w:eastAsia="彩虹粗仿宋" w:hAnsi="宋体" w:cs="Arial"/>
          <w:bCs/>
          <w:sz w:val="24"/>
        </w:rPr>
        <w:sectPr w:rsidR="00682DA0">
          <w:footerReference w:type="even" r:id="rId9"/>
          <w:pgSz w:w="11906" w:h="16838"/>
          <w:pgMar w:top="1418" w:right="1701" w:bottom="1418" w:left="1701" w:header="851" w:footer="992" w:gutter="0"/>
          <w:cols w:space="720"/>
          <w:docGrid w:type="lines" w:linePitch="312"/>
        </w:sectPr>
      </w:pPr>
    </w:p>
    <w:p w:rsidR="00682DA0" w:rsidRDefault="00B5345A">
      <w:pPr>
        <w:jc w:val="center"/>
        <w:rPr>
          <w:rFonts w:ascii="彩虹粗仿宋" w:eastAsia="彩虹粗仿宋"/>
          <w:b/>
          <w:bCs/>
          <w:sz w:val="30"/>
        </w:rPr>
      </w:pPr>
      <w:r>
        <w:rPr>
          <w:rFonts w:ascii="彩虹粗仿宋" w:eastAsia="彩虹粗仿宋" w:hint="eastAsia"/>
          <w:b/>
          <w:bCs/>
          <w:sz w:val="30"/>
        </w:rPr>
        <w:lastRenderedPageBreak/>
        <w:t>目    录</w:t>
      </w:r>
    </w:p>
    <w:p w:rsidR="00682DA0" w:rsidRDefault="00B5345A">
      <w:pPr>
        <w:pStyle w:val="20"/>
        <w:tabs>
          <w:tab w:val="right" w:leader="dot" w:pos="8494"/>
        </w:tabs>
        <w:rPr>
          <w:rFonts w:ascii="彩虹粗仿宋" w:eastAsia="彩虹粗仿宋" w:hAnsi="宋体"/>
          <w:noProof/>
          <w:sz w:val="28"/>
        </w:rPr>
      </w:pPr>
      <w:r>
        <w:rPr>
          <w:rFonts w:ascii="彩虹粗仿宋" w:eastAsia="彩虹粗仿宋" w:hAnsi="宋体" w:hint="eastAsia"/>
          <w:sz w:val="28"/>
        </w:rPr>
        <w:fldChar w:fldCharType="begin"/>
      </w:r>
      <w:r>
        <w:rPr>
          <w:rFonts w:ascii="彩虹粗仿宋" w:eastAsia="彩虹粗仿宋" w:hAnsi="宋体" w:hint="eastAsia"/>
          <w:sz w:val="28"/>
        </w:rPr>
        <w:instrText xml:space="preserve"> TOC \o "1-2" \h \z </w:instrText>
      </w:r>
      <w:r>
        <w:rPr>
          <w:rFonts w:ascii="彩虹粗仿宋" w:eastAsia="彩虹粗仿宋" w:hAnsi="宋体" w:hint="eastAsia"/>
          <w:sz w:val="28"/>
        </w:rPr>
        <w:fldChar w:fldCharType="separate"/>
      </w:r>
      <w:hyperlink w:anchor="_Toc124325885" w:history="1">
        <w:r>
          <w:rPr>
            <w:rStyle w:val="ac"/>
            <w:rFonts w:ascii="彩虹粗仿宋" w:eastAsia="彩虹粗仿宋" w:hAnsi="宋体" w:hint="eastAsia"/>
            <w:noProof/>
            <w:sz w:val="28"/>
            <w:szCs w:val="32"/>
          </w:rPr>
          <w:t>一、基金托管协议当事人</w:t>
        </w:r>
        <w:r>
          <w:rPr>
            <w:rFonts w:ascii="彩虹粗仿宋" w:eastAsia="彩虹粗仿宋" w:hAnsi="宋体" w:hint="eastAsia"/>
            <w:noProof/>
            <w:sz w:val="28"/>
          </w:rPr>
          <w:tab/>
        </w:r>
        <w:r>
          <w:rPr>
            <w:rFonts w:ascii="彩虹粗仿宋" w:eastAsia="彩虹粗仿宋" w:hAnsi="宋体" w:hint="eastAsia"/>
            <w:noProof/>
            <w:sz w:val="28"/>
          </w:rPr>
          <w:fldChar w:fldCharType="begin"/>
        </w:r>
        <w:r>
          <w:rPr>
            <w:rFonts w:ascii="彩虹粗仿宋" w:eastAsia="彩虹粗仿宋" w:hAnsi="宋体" w:hint="eastAsia"/>
            <w:noProof/>
            <w:sz w:val="28"/>
          </w:rPr>
          <w:instrText xml:space="preserve"> PAGEREF _Toc124325885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1C0910">
          <w:rPr>
            <w:rFonts w:ascii="彩虹粗仿宋" w:eastAsia="彩虹粗仿宋" w:hAnsi="宋体"/>
            <w:noProof/>
            <w:sz w:val="28"/>
          </w:rPr>
          <w:t>3</w:t>
        </w:r>
        <w:r>
          <w:rPr>
            <w:rFonts w:ascii="彩虹粗仿宋" w:eastAsia="彩虹粗仿宋" w:hAnsi="宋体" w:hint="eastAsia"/>
            <w:noProof/>
            <w:sz w:val="28"/>
          </w:rPr>
          <w:fldChar w:fldCharType="end"/>
        </w:r>
      </w:hyperlink>
    </w:p>
    <w:p w:rsidR="00682DA0" w:rsidRDefault="00E46A1E">
      <w:pPr>
        <w:pStyle w:val="20"/>
        <w:tabs>
          <w:tab w:val="right" w:leader="dot" w:pos="8494"/>
        </w:tabs>
        <w:rPr>
          <w:rFonts w:ascii="彩虹粗仿宋" w:eastAsia="彩虹粗仿宋" w:hAnsi="宋体"/>
          <w:noProof/>
          <w:sz w:val="28"/>
        </w:rPr>
      </w:pPr>
      <w:hyperlink w:anchor="_Toc124325886" w:history="1">
        <w:r w:rsidR="00B5345A">
          <w:rPr>
            <w:rStyle w:val="ac"/>
            <w:rFonts w:ascii="彩虹粗仿宋" w:eastAsia="彩虹粗仿宋" w:hAnsi="宋体" w:hint="eastAsia"/>
            <w:noProof/>
            <w:sz w:val="28"/>
            <w:szCs w:val="32"/>
          </w:rPr>
          <w:t>二、基金托管协议的依据、目</w:t>
        </w:r>
        <w:bookmarkStart w:id="1" w:name="_Hlt492463822"/>
        <w:r w:rsidR="00B5345A">
          <w:rPr>
            <w:rStyle w:val="ac"/>
            <w:rFonts w:ascii="彩虹粗仿宋" w:eastAsia="彩虹粗仿宋" w:hAnsi="宋体" w:hint="eastAsia"/>
            <w:noProof/>
            <w:sz w:val="28"/>
            <w:szCs w:val="32"/>
          </w:rPr>
          <w:t>的</w:t>
        </w:r>
        <w:bookmarkEnd w:id="1"/>
        <w:r w:rsidR="00B5345A">
          <w:rPr>
            <w:rStyle w:val="ac"/>
            <w:rFonts w:ascii="彩虹粗仿宋" w:eastAsia="彩虹粗仿宋" w:hAnsi="宋体" w:hint="eastAsia"/>
            <w:noProof/>
            <w:sz w:val="28"/>
            <w:szCs w:val="32"/>
          </w:rPr>
          <w:t>和原则</w:t>
        </w:r>
        <w:r w:rsidR="00B5345A">
          <w:rPr>
            <w:rFonts w:ascii="彩虹粗仿宋" w:eastAsia="彩虹粗仿宋" w:hAnsi="宋体" w:hint="eastAsia"/>
            <w:noProof/>
            <w:sz w:val="28"/>
          </w:rPr>
          <w:tab/>
        </w:r>
        <w:r w:rsidR="00B5345A">
          <w:rPr>
            <w:rFonts w:ascii="彩虹粗仿宋" w:eastAsia="彩虹粗仿宋" w:hAnsi="宋体" w:hint="eastAsia"/>
            <w:noProof/>
            <w:sz w:val="28"/>
          </w:rPr>
          <w:fldChar w:fldCharType="begin"/>
        </w:r>
        <w:r w:rsidR="00B5345A">
          <w:rPr>
            <w:rFonts w:ascii="彩虹粗仿宋" w:eastAsia="彩虹粗仿宋" w:hAnsi="宋体" w:hint="eastAsia"/>
            <w:noProof/>
            <w:sz w:val="28"/>
          </w:rPr>
          <w:instrText xml:space="preserve"> PAGEREF _Toc124325886 \h </w:instrText>
        </w:r>
        <w:r w:rsidR="00B5345A">
          <w:rPr>
            <w:rFonts w:ascii="彩虹粗仿宋" w:eastAsia="彩虹粗仿宋" w:hAnsi="宋体" w:hint="eastAsia"/>
            <w:noProof/>
            <w:sz w:val="28"/>
          </w:rPr>
        </w:r>
        <w:r w:rsidR="00B5345A">
          <w:rPr>
            <w:rFonts w:ascii="彩虹粗仿宋" w:eastAsia="彩虹粗仿宋" w:hAnsi="宋体" w:hint="eastAsia"/>
            <w:noProof/>
            <w:sz w:val="28"/>
          </w:rPr>
          <w:fldChar w:fldCharType="separate"/>
        </w:r>
        <w:r w:rsidR="001C0910">
          <w:rPr>
            <w:rFonts w:ascii="彩虹粗仿宋" w:eastAsia="彩虹粗仿宋" w:hAnsi="宋体"/>
            <w:noProof/>
            <w:sz w:val="28"/>
          </w:rPr>
          <w:t>4</w:t>
        </w:r>
        <w:r w:rsidR="00B5345A">
          <w:rPr>
            <w:rFonts w:ascii="彩虹粗仿宋" w:eastAsia="彩虹粗仿宋" w:hAnsi="宋体" w:hint="eastAsia"/>
            <w:noProof/>
            <w:sz w:val="28"/>
          </w:rPr>
          <w:fldChar w:fldCharType="end"/>
        </w:r>
      </w:hyperlink>
    </w:p>
    <w:p w:rsidR="00682DA0" w:rsidRDefault="00E46A1E">
      <w:pPr>
        <w:pStyle w:val="20"/>
        <w:tabs>
          <w:tab w:val="right" w:leader="dot" w:pos="8494"/>
        </w:tabs>
        <w:rPr>
          <w:rFonts w:ascii="彩虹粗仿宋" w:eastAsia="彩虹粗仿宋" w:hAnsi="宋体"/>
          <w:noProof/>
          <w:sz w:val="28"/>
        </w:rPr>
      </w:pPr>
      <w:hyperlink w:anchor="_Toc124325887" w:history="1">
        <w:r w:rsidR="00B5345A">
          <w:rPr>
            <w:rStyle w:val="ac"/>
            <w:rFonts w:ascii="彩虹粗仿宋" w:eastAsia="彩虹粗仿宋" w:hAnsi="宋体" w:hint="eastAsia"/>
            <w:noProof/>
            <w:sz w:val="28"/>
            <w:szCs w:val="32"/>
          </w:rPr>
          <w:t>三、基金托管人对基金管</w:t>
        </w:r>
        <w:bookmarkStart w:id="2" w:name="_Hlt492389411"/>
        <w:r w:rsidR="00B5345A">
          <w:rPr>
            <w:rStyle w:val="ac"/>
            <w:rFonts w:ascii="彩虹粗仿宋" w:eastAsia="彩虹粗仿宋" w:hAnsi="宋体" w:hint="eastAsia"/>
            <w:noProof/>
            <w:sz w:val="28"/>
            <w:szCs w:val="32"/>
          </w:rPr>
          <w:t>理</w:t>
        </w:r>
        <w:bookmarkEnd w:id="2"/>
        <w:r w:rsidR="00B5345A">
          <w:rPr>
            <w:rStyle w:val="ac"/>
            <w:rFonts w:ascii="彩虹粗仿宋" w:eastAsia="彩虹粗仿宋" w:hAnsi="宋体" w:hint="eastAsia"/>
            <w:noProof/>
            <w:sz w:val="28"/>
            <w:szCs w:val="32"/>
          </w:rPr>
          <w:t>人的业</w:t>
        </w:r>
        <w:bookmarkStart w:id="3" w:name="_Hlt492463827"/>
        <w:r w:rsidR="00B5345A">
          <w:rPr>
            <w:rStyle w:val="ac"/>
            <w:rFonts w:ascii="彩虹粗仿宋" w:eastAsia="彩虹粗仿宋" w:hAnsi="宋体" w:hint="eastAsia"/>
            <w:noProof/>
            <w:sz w:val="28"/>
            <w:szCs w:val="32"/>
          </w:rPr>
          <w:t>务</w:t>
        </w:r>
        <w:bookmarkEnd w:id="3"/>
        <w:r w:rsidR="00B5345A">
          <w:rPr>
            <w:rStyle w:val="ac"/>
            <w:rFonts w:ascii="彩虹粗仿宋" w:eastAsia="彩虹粗仿宋" w:hAnsi="宋体" w:hint="eastAsia"/>
            <w:noProof/>
            <w:sz w:val="28"/>
            <w:szCs w:val="32"/>
          </w:rPr>
          <w:t>监督和核查</w:t>
        </w:r>
        <w:r w:rsidR="00B5345A">
          <w:rPr>
            <w:rFonts w:ascii="彩虹粗仿宋" w:eastAsia="彩虹粗仿宋" w:hAnsi="宋体" w:hint="eastAsia"/>
            <w:noProof/>
            <w:sz w:val="28"/>
          </w:rPr>
          <w:tab/>
        </w:r>
        <w:r w:rsidR="00B5345A">
          <w:rPr>
            <w:rFonts w:ascii="彩虹粗仿宋" w:eastAsia="彩虹粗仿宋" w:hAnsi="宋体" w:hint="eastAsia"/>
            <w:noProof/>
            <w:sz w:val="28"/>
          </w:rPr>
          <w:fldChar w:fldCharType="begin"/>
        </w:r>
        <w:r w:rsidR="00B5345A">
          <w:rPr>
            <w:rFonts w:ascii="彩虹粗仿宋" w:eastAsia="彩虹粗仿宋" w:hAnsi="宋体" w:hint="eastAsia"/>
            <w:noProof/>
            <w:sz w:val="28"/>
          </w:rPr>
          <w:instrText xml:space="preserve"> PAGEREF _Toc124325887 \h </w:instrText>
        </w:r>
        <w:r w:rsidR="00B5345A">
          <w:rPr>
            <w:rFonts w:ascii="彩虹粗仿宋" w:eastAsia="彩虹粗仿宋" w:hAnsi="宋体" w:hint="eastAsia"/>
            <w:noProof/>
            <w:sz w:val="28"/>
          </w:rPr>
        </w:r>
        <w:r w:rsidR="00B5345A">
          <w:rPr>
            <w:rFonts w:ascii="彩虹粗仿宋" w:eastAsia="彩虹粗仿宋" w:hAnsi="宋体" w:hint="eastAsia"/>
            <w:noProof/>
            <w:sz w:val="28"/>
          </w:rPr>
          <w:fldChar w:fldCharType="separate"/>
        </w:r>
        <w:r w:rsidR="001C0910">
          <w:rPr>
            <w:rFonts w:ascii="彩虹粗仿宋" w:eastAsia="彩虹粗仿宋" w:hAnsi="宋体"/>
            <w:noProof/>
            <w:sz w:val="28"/>
          </w:rPr>
          <w:t>4</w:t>
        </w:r>
        <w:r w:rsidR="00B5345A">
          <w:rPr>
            <w:rFonts w:ascii="彩虹粗仿宋" w:eastAsia="彩虹粗仿宋" w:hAnsi="宋体" w:hint="eastAsia"/>
            <w:noProof/>
            <w:sz w:val="28"/>
          </w:rPr>
          <w:fldChar w:fldCharType="end"/>
        </w:r>
      </w:hyperlink>
    </w:p>
    <w:p w:rsidR="00682DA0" w:rsidRDefault="00E46A1E">
      <w:pPr>
        <w:pStyle w:val="20"/>
        <w:tabs>
          <w:tab w:val="right" w:leader="dot" w:pos="8494"/>
        </w:tabs>
        <w:rPr>
          <w:rFonts w:ascii="彩虹粗仿宋" w:eastAsia="彩虹粗仿宋" w:hAnsi="宋体"/>
          <w:noProof/>
          <w:sz w:val="28"/>
        </w:rPr>
      </w:pPr>
      <w:hyperlink w:anchor="_Toc124325888" w:history="1">
        <w:r w:rsidR="00B5345A">
          <w:rPr>
            <w:rStyle w:val="ac"/>
            <w:rFonts w:ascii="彩虹粗仿宋" w:eastAsia="彩虹粗仿宋" w:hAnsi="宋体" w:hint="eastAsia"/>
            <w:noProof/>
            <w:sz w:val="28"/>
            <w:szCs w:val="32"/>
          </w:rPr>
          <w:t>四、基金管理人对基金托管人的业务</w:t>
        </w:r>
        <w:bookmarkStart w:id="4" w:name="_Hlt495500566"/>
        <w:r w:rsidR="00B5345A">
          <w:rPr>
            <w:rStyle w:val="ac"/>
            <w:rFonts w:ascii="彩虹粗仿宋" w:eastAsia="彩虹粗仿宋" w:hAnsi="宋体" w:hint="eastAsia"/>
            <w:noProof/>
            <w:sz w:val="28"/>
            <w:szCs w:val="32"/>
          </w:rPr>
          <w:t>核</w:t>
        </w:r>
        <w:bookmarkEnd w:id="4"/>
        <w:r w:rsidR="00B5345A">
          <w:rPr>
            <w:rStyle w:val="ac"/>
            <w:rFonts w:ascii="彩虹粗仿宋" w:eastAsia="彩虹粗仿宋" w:hAnsi="宋体" w:hint="eastAsia"/>
            <w:noProof/>
            <w:sz w:val="28"/>
            <w:szCs w:val="32"/>
          </w:rPr>
          <w:t>查</w:t>
        </w:r>
        <w:r w:rsidR="00B5345A">
          <w:rPr>
            <w:rFonts w:ascii="彩虹粗仿宋" w:eastAsia="彩虹粗仿宋" w:hAnsi="宋体" w:hint="eastAsia"/>
            <w:noProof/>
            <w:sz w:val="28"/>
          </w:rPr>
          <w:tab/>
          <w:t>8</w:t>
        </w:r>
      </w:hyperlink>
    </w:p>
    <w:p w:rsidR="00682DA0" w:rsidRDefault="00E46A1E">
      <w:pPr>
        <w:pStyle w:val="20"/>
        <w:tabs>
          <w:tab w:val="right" w:leader="dot" w:pos="8494"/>
        </w:tabs>
        <w:rPr>
          <w:rFonts w:ascii="彩虹粗仿宋" w:eastAsia="彩虹粗仿宋" w:hAnsi="宋体"/>
          <w:noProof/>
          <w:sz w:val="28"/>
        </w:rPr>
      </w:pPr>
      <w:hyperlink w:anchor="_Toc124325889" w:history="1">
        <w:r w:rsidR="00B5345A">
          <w:rPr>
            <w:rStyle w:val="ac"/>
            <w:rFonts w:ascii="彩虹粗仿宋" w:eastAsia="彩虹粗仿宋" w:hAnsi="宋体" w:hint="eastAsia"/>
            <w:noProof/>
            <w:sz w:val="28"/>
            <w:szCs w:val="32"/>
          </w:rPr>
          <w:t>五、基金财产的保管</w:t>
        </w:r>
        <w:r w:rsidR="00B5345A">
          <w:rPr>
            <w:rFonts w:ascii="彩虹粗仿宋" w:eastAsia="彩虹粗仿宋" w:hAnsi="宋体" w:hint="eastAsia"/>
            <w:noProof/>
            <w:sz w:val="28"/>
          </w:rPr>
          <w:tab/>
          <w:t>9</w:t>
        </w:r>
      </w:hyperlink>
    </w:p>
    <w:p w:rsidR="00682DA0" w:rsidRDefault="00E46A1E">
      <w:pPr>
        <w:pStyle w:val="20"/>
        <w:tabs>
          <w:tab w:val="right" w:leader="dot" w:pos="8494"/>
        </w:tabs>
        <w:rPr>
          <w:rFonts w:ascii="彩虹粗仿宋" w:eastAsia="彩虹粗仿宋" w:hAnsi="宋体"/>
          <w:noProof/>
          <w:sz w:val="28"/>
        </w:rPr>
      </w:pPr>
      <w:hyperlink w:anchor="_Toc124325890" w:history="1">
        <w:r w:rsidR="00B5345A">
          <w:rPr>
            <w:rStyle w:val="ac"/>
            <w:rFonts w:ascii="彩虹粗仿宋" w:eastAsia="彩虹粗仿宋" w:hAnsi="宋体" w:hint="eastAsia"/>
            <w:noProof/>
            <w:sz w:val="28"/>
            <w:szCs w:val="32"/>
          </w:rPr>
          <w:t>六、指令的发送、确认及执行</w:t>
        </w:r>
        <w:r w:rsidR="00B5345A">
          <w:rPr>
            <w:rFonts w:ascii="彩虹粗仿宋" w:eastAsia="彩虹粗仿宋" w:hAnsi="宋体" w:hint="eastAsia"/>
            <w:noProof/>
            <w:sz w:val="28"/>
          </w:rPr>
          <w:tab/>
          <w:t>11</w:t>
        </w:r>
      </w:hyperlink>
    </w:p>
    <w:p w:rsidR="00682DA0" w:rsidRDefault="00E46A1E">
      <w:pPr>
        <w:pStyle w:val="20"/>
        <w:tabs>
          <w:tab w:val="right" w:leader="dot" w:pos="8494"/>
        </w:tabs>
        <w:rPr>
          <w:rFonts w:ascii="彩虹粗仿宋" w:eastAsia="彩虹粗仿宋" w:hAnsi="宋体"/>
          <w:noProof/>
          <w:sz w:val="28"/>
        </w:rPr>
      </w:pPr>
      <w:hyperlink w:anchor="_Toc124325891" w:history="1">
        <w:r w:rsidR="00B5345A">
          <w:rPr>
            <w:rStyle w:val="ac"/>
            <w:rFonts w:ascii="彩虹粗仿宋" w:eastAsia="彩虹粗仿宋" w:hAnsi="宋体" w:hint="eastAsia"/>
            <w:noProof/>
            <w:sz w:val="28"/>
            <w:szCs w:val="32"/>
          </w:rPr>
          <w:t>七、交易及清算交收安排</w:t>
        </w:r>
        <w:bookmarkStart w:id="5" w:name="_Hlt492463851"/>
        <w:r w:rsidR="00B5345A">
          <w:rPr>
            <w:rFonts w:ascii="彩虹粗仿宋" w:eastAsia="彩虹粗仿宋" w:hAnsi="宋体" w:hint="eastAsia"/>
            <w:noProof/>
            <w:sz w:val="28"/>
          </w:rPr>
          <w:tab/>
        </w:r>
        <w:bookmarkEnd w:id="5"/>
        <w:r w:rsidR="00B5345A">
          <w:rPr>
            <w:rFonts w:ascii="彩虹粗仿宋" w:eastAsia="彩虹粗仿宋" w:hAnsi="宋体" w:hint="eastAsia"/>
            <w:noProof/>
            <w:sz w:val="28"/>
          </w:rPr>
          <w:t>13</w:t>
        </w:r>
      </w:hyperlink>
    </w:p>
    <w:p w:rsidR="00682DA0" w:rsidRDefault="00E46A1E">
      <w:pPr>
        <w:pStyle w:val="20"/>
        <w:tabs>
          <w:tab w:val="right" w:leader="dot" w:pos="8494"/>
        </w:tabs>
        <w:rPr>
          <w:rFonts w:ascii="彩虹粗仿宋" w:eastAsia="彩虹粗仿宋" w:hAnsi="宋体"/>
          <w:noProof/>
          <w:sz w:val="28"/>
        </w:rPr>
      </w:pPr>
      <w:hyperlink w:anchor="_Toc124325892" w:history="1">
        <w:r w:rsidR="00B5345A">
          <w:rPr>
            <w:rStyle w:val="ac"/>
            <w:rFonts w:ascii="彩虹粗仿宋" w:eastAsia="彩虹粗仿宋" w:hAnsi="宋体" w:hint="eastAsia"/>
            <w:noProof/>
            <w:sz w:val="28"/>
            <w:szCs w:val="32"/>
          </w:rPr>
          <w:t>八、基金资产净值计算和会计核算</w:t>
        </w:r>
        <w:r w:rsidR="00B5345A">
          <w:rPr>
            <w:rFonts w:ascii="彩虹粗仿宋" w:eastAsia="彩虹粗仿宋" w:hAnsi="宋体" w:hint="eastAsia"/>
            <w:noProof/>
            <w:sz w:val="28"/>
          </w:rPr>
          <w:tab/>
          <w:t>15</w:t>
        </w:r>
      </w:hyperlink>
    </w:p>
    <w:p w:rsidR="00682DA0" w:rsidRDefault="00E46A1E">
      <w:pPr>
        <w:pStyle w:val="20"/>
        <w:tabs>
          <w:tab w:val="right" w:leader="dot" w:pos="8494"/>
        </w:tabs>
        <w:rPr>
          <w:rFonts w:ascii="彩虹粗仿宋" w:eastAsia="彩虹粗仿宋" w:hAnsi="宋体"/>
          <w:noProof/>
          <w:sz w:val="28"/>
        </w:rPr>
      </w:pPr>
      <w:hyperlink w:anchor="_Toc124325893" w:history="1">
        <w:r w:rsidR="00B5345A">
          <w:rPr>
            <w:rStyle w:val="ac"/>
            <w:rFonts w:ascii="彩虹粗仿宋" w:eastAsia="彩虹粗仿宋" w:hAnsi="宋体" w:hint="eastAsia"/>
            <w:noProof/>
            <w:sz w:val="28"/>
            <w:szCs w:val="32"/>
          </w:rPr>
          <w:t>九、基金收益分配</w:t>
        </w:r>
        <w:r w:rsidR="00B5345A">
          <w:rPr>
            <w:rFonts w:ascii="彩虹粗仿宋" w:eastAsia="彩虹粗仿宋" w:hAnsi="宋体" w:hint="eastAsia"/>
            <w:noProof/>
            <w:sz w:val="28"/>
          </w:rPr>
          <w:tab/>
          <w:t>19</w:t>
        </w:r>
      </w:hyperlink>
    </w:p>
    <w:p w:rsidR="00682DA0" w:rsidRDefault="00E46A1E">
      <w:pPr>
        <w:pStyle w:val="20"/>
        <w:tabs>
          <w:tab w:val="right" w:leader="dot" w:pos="8494"/>
        </w:tabs>
        <w:rPr>
          <w:rFonts w:ascii="彩虹粗仿宋" w:eastAsia="彩虹粗仿宋" w:hAnsi="宋体"/>
          <w:noProof/>
          <w:sz w:val="28"/>
        </w:rPr>
      </w:pPr>
      <w:hyperlink w:anchor="_Toc124325894" w:history="1">
        <w:r w:rsidR="00B5345A">
          <w:rPr>
            <w:rStyle w:val="ac"/>
            <w:rFonts w:ascii="彩虹粗仿宋" w:eastAsia="彩虹粗仿宋" w:hAnsi="宋体" w:hint="eastAsia"/>
            <w:noProof/>
            <w:sz w:val="28"/>
            <w:szCs w:val="32"/>
          </w:rPr>
          <w:t>十、基金信息披露</w:t>
        </w:r>
        <w:r w:rsidR="00B5345A">
          <w:rPr>
            <w:rFonts w:ascii="彩虹粗仿宋" w:eastAsia="彩虹粗仿宋" w:hAnsi="宋体" w:hint="eastAsia"/>
            <w:noProof/>
            <w:sz w:val="28"/>
          </w:rPr>
          <w:tab/>
          <w:t>19</w:t>
        </w:r>
      </w:hyperlink>
    </w:p>
    <w:p w:rsidR="00682DA0" w:rsidRDefault="00E46A1E">
      <w:pPr>
        <w:pStyle w:val="20"/>
        <w:tabs>
          <w:tab w:val="right" w:leader="dot" w:pos="8494"/>
        </w:tabs>
        <w:rPr>
          <w:rFonts w:ascii="彩虹粗仿宋" w:eastAsia="彩虹粗仿宋" w:hAnsi="宋体"/>
          <w:noProof/>
          <w:sz w:val="28"/>
        </w:rPr>
      </w:pPr>
      <w:hyperlink w:anchor="_Toc124325895" w:history="1">
        <w:r w:rsidR="00B5345A">
          <w:rPr>
            <w:rStyle w:val="ac"/>
            <w:rFonts w:ascii="彩虹粗仿宋" w:eastAsia="彩虹粗仿宋" w:hAnsi="宋体" w:hint="eastAsia"/>
            <w:noProof/>
            <w:sz w:val="28"/>
            <w:szCs w:val="32"/>
          </w:rPr>
          <w:t>十一、基金费用</w:t>
        </w:r>
        <w:r w:rsidR="00B5345A">
          <w:rPr>
            <w:rFonts w:ascii="彩虹粗仿宋" w:eastAsia="彩虹粗仿宋" w:hAnsi="宋体" w:hint="eastAsia"/>
            <w:noProof/>
            <w:sz w:val="28"/>
          </w:rPr>
          <w:tab/>
          <w:t>20</w:t>
        </w:r>
      </w:hyperlink>
    </w:p>
    <w:p w:rsidR="00682DA0" w:rsidRDefault="00E46A1E">
      <w:pPr>
        <w:pStyle w:val="20"/>
        <w:tabs>
          <w:tab w:val="right" w:leader="dot" w:pos="8494"/>
        </w:tabs>
        <w:rPr>
          <w:rFonts w:ascii="彩虹粗仿宋" w:eastAsia="彩虹粗仿宋" w:hAnsi="宋体"/>
          <w:noProof/>
          <w:sz w:val="28"/>
        </w:rPr>
      </w:pPr>
      <w:hyperlink w:anchor="_Toc124325896" w:history="1">
        <w:r w:rsidR="00B5345A">
          <w:rPr>
            <w:rStyle w:val="ac"/>
            <w:rFonts w:ascii="彩虹粗仿宋" w:eastAsia="彩虹粗仿宋" w:hAnsi="宋体" w:hint="eastAsia"/>
            <w:noProof/>
            <w:sz w:val="28"/>
            <w:szCs w:val="32"/>
          </w:rPr>
          <w:t>十二、基金份额持有人名册的保管</w:t>
        </w:r>
        <w:r w:rsidR="00B5345A">
          <w:rPr>
            <w:rFonts w:ascii="彩虹粗仿宋" w:eastAsia="彩虹粗仿宋" w:hAnsi="宋体" w:hint="eastAsia"/>
            <w:noProof/>
            <w:sz w:val="28"/>
          </w:rPr>
          <w:tab/>
          <w:t>22</w:t>
        </w:r>
      </w:hyperlink>
    </w:p>
    <w:p w:rsidR="00682DA0" w:rsidRDefault="00E46A1E">
      <w:pPr>
        <w:pStyle w:val="20"/>
        <w:tabs>
          <w:tab w:val="right" w:leader="dot" w:pos="8494"/>
        </w:tabs>
        <w:rPr>
          <w:rFonts w:ascii="彩虹粗仿宋" w:eastAsia="彩虹粗仿宋" w:hAnsi="宋体"/>
          <w:noProof/>
          <w:sz w:val="28"/>
        </w:rPr>
      </w:pPr>
      <w:hyperlink w:anchor="_Toc124325897" w:history="1">
        <w:r w:rsidR="00B5345A">
          <w:rPr>
            <w:rStyle w:val="ac"/>
            <w:rFonts w:ascii="彩虹粗仿宋" w:eastAsia="彩虹粗仿宋" w:hAnsi="宋体" w:hint="eastAsia"/>
            <w:noProof/>
            <w:sz w:val="28"/>
            <w:szCs w:val="32"/>
          </w:rPr>
          <w:t>十三、基金有关文件档案的保存</w:t>
        </w:r>
        <w:r w:rsidR="00B5345A">
          <w:rPr>
            <w:rFonts w:ascii="彩虹粗仿宋" w:eastAsia="彩虹粗仿宋" w:hAnsi="宋体" w:hint="eastAsia"/>
            <w:noProof/>
            <w:sz w:val="28"/>
          </w:rPr>
          <w:tab/>
          <w:t>22</w:t>
        </w:r>
      </w:hyperlink>
    </w:p>
    <w:p w:rsidR="00682DA0" w:rsidRDefault="00E46A1E">
      <w:pPr>
        <w:pStyle w:val="20"/>
        <w:tabs>
          <w:tab w:val="right" w:leader="dot" w:pos="8494"/>
        </w:tabs>
        <w:rPr>
          <w:rFonts w:ascii="彩虹粗仿宋" w:eastAsia="彩虹粗仿宋" w:hAnsi="宋体"/>
          <w:noProof/>
          <w:sz w:val="28"/>
        </w:rPr>
      </w:pPr>
      <w:hyperlink w:anchor="_Toc124325898" w:history="1">
        <w:r w:rsidR="00B5345A">
          <w:rPr>
            <w:rStyle w:val="ac"/>
            <w:rFonts w:ascii="彩虹粗仿宋" w:eastAsia="彩虹粗仿宋" w:hAnsi="宋体" w:hint="eastAsia"/>
            <w:noProof/>
            <w:sz w:val="28"/>
            <w:szCs w:val="32"/>
          </w:rPr>
          <w:t>十四、基金管理人和基金托管人的更换</w:t>
        </w:r>
        <w:r w:rsidR="00B5345A">
          <w:rPr>
            <w:rFonts w:ascii="彩虹粗仿宋" w:eastAsia="彩虹粗仿宋" w:hAnsi="宋体" w:hint="eastAsia"/>
            <w:noProof/>
            <w:sz w:val="28"/>
          </w:rPr>
          <w:tab/>
          <w:t>22</w:t>
        </w:r>
      </w:hyperlink>
    </w:p>
    <w:p w:rsidR="00682DA0" w:rsidRDefault="00E46A1E">
      <w:pPr>
        <w:pStyle w:val="20"/>
        <w:tabs>
          <w:tab w:val="right" w:leader="dot" w:pos="8494"/>
        </w:tabs>
        <w:rPr>
          <w:rFonts w:ascii="彩虹粗仿宋" w:eastAsia="彩虹粗仿宋" w:hAnsi="宋体"/>
          <w:noProof/>
          <w:sz w:val="28"/>
        </w:rPr>
      </w:pPr>
      <w:hyperlink w:anchor="_Toc124325899" w:history="1">
        <w:r w:rsidR="00B5345A">
          <w:rPr>
            <w:rStyle w:val="ac"/>
            <w:rFonts w:ascii="彩虹粗仿宋" w:eastAsia="彩虹粗仿宋" w:hAnsi="宋体" w:hint="eastAsia"/>
            <w:noProof/>
            <w:sz w:val="28"/>
            <w:szCs w:val="32"/>
          </w:rPr>
          <w:t>十五、禁止行为</w:t>
        </w:r>
        <w:r w:rsidR="00B5345A">
          <w:rPr>
            <w:rFonts w:ascii="彩虹粗仿宋" w:eastAsia="彩虹粗仿宋" w:hAnsi="宋体" w:hint="eastAsia"/>
            <w:noProof/>
            <w:sz w:val="28"/>
          </w:rPr>
          <w:tab/>
          <w:t>24</w:t>
        </w:r>
      </w:hyperlink>
    </w:p>
    <w:p w:rsidR="00682DA0" w:rsidRDefault="00E46A1E">
      <w:pPr>
        <w:pStyle w:val="20"/>
        <w:tabs>
          <w:tab w:val="right" w:leader="dot" w:pos="8494"/>
        </w:tabs>
        <w:rPr>
          <w:rFonts w:ascii="彩虹粗仿宋" w:eastAsia="彩虹粗仿宋" w:hAnsi="宋体"/>
          <w:noProof/>
          <w:sz w:val="28"/>
        </w:rPr>
      </w:pPr>
      <w:hyperlink w:anchor="_Toc124325900" w:history="1">
        <w:r w:rsidR="00B5345A">
          <w:rPr>
            <w:rStyle w:val="ac"/>
            <w:rFonts w:ascii="彩虹粗仿宋" w:eastAsia="彩虹粗仿宋" w:hAnsi="宋体" w:hint="eastAsia"/>
            <w:noProof/>
            <w:sz w:val="28"/>
            <w:szCs w:val="32"/>
          </w:rPr>
          <w:t>十六、托管协议的变更、终止与基金财产的清算</w:t>
        </w:r>
        <w:r w:rsidR="00B5345A">
          <w:rPr>
            <w:rFonts w:ascii="彩虹粗仿宋" w:eastAsia="彩虹粗仿宋" w:hAnsi="宋体" w:hint="eastAsia"/>
            <w:noProof/>
            <w:sz w:val="28"/>
          </w:rPr>
          <w:tab/>
          <w:t>25</w:t>
        </w:r>
      </w:hyperlink>
    </w:p>
    <w:p w:rsidR="00682DA0" w:rsidRDefault="00E46A1E">
      <w:pPr>
        <w:pStyle w:val="20"/>
        <w:tabs>
          <w:tab w:val="right" w:leader="dot" w:pos="8494"/>
        </w:tabs>
        <w:rPr>
          <w:rFonts w:ascii="彩虹粗仿宋" w:eastAsia="彩虹粗仿宋" w:hAnsi="宋体"/>
          <w:noProof/>
          <w:sz w:val="28"/>
        </w:rPr>
      </w:pPr>
      <w:hyperlink w:anchor="_Toc124325901" w:history="1">
        <w:r w:rsidR="00B5345A">
          <w:rPr>
            <w:rStyle w:val="ac"/>
            <w:rFonts w:ascii="彩虹粗仿宋" w:eastAsia="彩虹粗仿宋" w:hAnsi="宋体" w:hint="eastAsia"/>
            <w:noProof/>
            <w:sz w:val="28"/>
            <w:szCs w:val="32"/>
          </w:rPr>
          <w:t>十七、违约责任</w:t>
        </w:r>
        <w:r w:rsidR="00B5345A">
          <w:rPr>
            <w:rFonts w:ascii="彩虹粗仿宋" w:eastAsia="彩虹粗仿宋" w:hAnsi="宋体" w:hint="eastAsia"/>
            <w:noProof/>
            <w:sz w:val="28"/>
          </w:rPr>
          <w:tab/>
          <w:t>26</w:t>
        </w:r>
      </w:hyperlink>
    </w:p>
    <w:p w:rsidR="00682DA0" w:rsidRDefault="00E46A1E">
      <w:pPr>
        <w:pStyle w:val="20"/>
        <w:tabs>
          <w:tab w:val="right" w:leader="dot" w:pos="8494"/>
        </w:tabs>
        <w:rPr>
          <w:rFonts w:ascii="彩虹粗仿宋" w:eastAsia="彩虹粗仿宋" w:hAnsi="宋体"/>
          <w:noProof/>
          <w:sz w:val="28"/>
        </w:rPr>
      </w:pPr>
      <w:hyperlink w:anchor="_Toc124325902" w:history="1">
        <w:r w:rsidR="00B5345A">
          <w:rPr>
            <w:rStyle w:val="ac"/>
            <w:rFonts w:ascii="彩虹粗仿宋" w:eastAsia="彩虹粗仿宋" w:hAnsi="宋体" w:hint="eastAsia"/>
            <w:noProof/>
            <w:sz w:val="28"/>
            <w:szCs w:val="32"/>
          </w:rPr>
          <w:t>十八、争议解决方式</w:t>
        </w:r>
        <w:r w:rsidR="00B5345A">
          <w:rPr>
            <w:rFonts w:ascii="彩虹粗仿宋" w:eastAsia="彩虹粗仿宋" w:hAnsi="宋体" w:hint="eastAsia"/>
            <w:noProof/>
            <w:sz w:val="28"/>
          </w:rPr>
          <w:tab/>
          <w:t>26</w:t>
        </w:r>
      </w:hyperlink>
    </w:p>
    <w:p w:rsidR="00682DA0" w:rsidRDefault="00E46A1E">
      <w:pPr>
        <w:pStyle w:val="20"/>
        <w:tabs>
          <w:tab w:val="right" w:leader="dot" w:pos="8494"/>
        </w:tabs>
        <w:rPr>
          <w:rFonts w:ascii="彩虹粗仿宋" w:eastAsia="彩虹粗仿宋" w:hAnsi="宋体"/>
          <w:noProof/>
          <w:sz w:val="28"/>
        </w:rPr>
      </w:pPr>
      <w:hyperlink w:anchor="_Toc124325903" w:history="1">
        <w:r w:rsidR="00B5345A">
          <w:rPr>
            <w:rStyle w:val="ac"/>
            <w:rFonts w:ascii="彩虹粗仿宋" w:eastAsia="彩虹粗仿宋" w:hAnsi="宋体" w:hint="eastAsia"/>
            <w:noProof/>
            <w:sz w:val="28"/>
            <w:szCs w:val="32"/>
          </w:rPr>
          <w:t>十九、托管协议的效力</w:t>
        </w:r>
        <w:r w:rsidR="00B5345A">
          <w:rPr>
            <w:rFonts w:ascii="彩虹粗仿宋" w:eastAsia="彩虹粗仿宋" w:hAnsi="宋体" w:hint="eastAsia"/>
            <w:noProof/>
            <w:sz w:val="28"/>
          </w:rPr>
          <w:tab/>
          <w:t>27</w:t>
        </w:r>
      </w:hyperlink>
    </w:p>
    <w:p w:rsidR="00682DA0" w:rsidRDefault="00E46A1E">
      <w:pPr>
        <w:pStyle w:val="20"/>
        <w:tabs>
          <w:tab w:val="right" w:leader="dot" w:pos="8494"/>
        </w:tabs>
        <w:rPr>
          <w:rFonts w:ascii="彩虹粗仿宋" w:eastAsia="彩虹粗仿宋" w:hAnsi="宋体"/>
          <w:noProof/>
          <w:sz w:val="28"/>
        </w:rPr>
      </w:pPr>
      <w:hyperlink w:anchor="_Toc124325904" w:history="1">
        <w:r w:rsidR="00B5345A">
          <w:rPr>
            <w:rStyle w:val="ac"/>
            <w:rFonts w:ascii="彩虹粗仿宋" w:eastAsia="彩虹粗仿宋" w:hAnsi="宋体" w:hint="eastAsia"/>
            <w:noProof/>
            <w:sz w:val="28"/>
            <w:szCs w:val="32"/>
          </w:rPr>
          <w:t>二十、其他事项</w:t>
        </w:r>
        <w:r w:rsidR="00B5345A">
          <w:rPr>
            <w:rFonts w:ascii="彩虹粗仿宋" w:eastAsia="彩虹粗仿宋" w:hAnsi="宋体" w:hint="eastAsia"/>
            <w:noProof/>
            <w:sz w:val="28"/>
          </w:rPr>
          <w:tab/>
          <w:t>27</w:t>
        </w:r>
      </w:hyperlink>
    </w:p>
    <w:p w:rsidR="00682DA0" w:rsidRDefault="00E46A1E">
      <w:pPr>
        <w:pStyle w:val="20"/>
        <w:tabs>
          <w:tab w:val="right" w:leader="dot" w:pos="8494"/>
        </w:tabs>
        <w:rPr>
          <w:rFonts w:ascii="彩虹粗仿宋" w:eastAsia="彩虹粗仿宋" w:hAnsi="宋体"/>
          <w:noProof/>
          <w:sz w:val="28"/>
        </w:rPr>
      </w:pPr>
      <w:hyperlink w:anchor="_Toc124325905" w:history="1">
        <w:r w:rsidR="00B5345A">
          <w:rPr>
            <w:rStyle w:val="ac"/>
            <w:rFonts w:ascii="彩虹粗仿宋" w:eastAsia="彩虹粗仿宋" w:hAnsi="宋体" w:hint="eastAsia"/>
            <w:noProof/>
            <w:sz w:val="28"/>
            <w:szCs w:val="32"/>
          </w:rPr>
          <w:t>二十一、托管协议的签订</w:t>
        </w:r>
        <w:r w:rsidR="00B5345A">
          <w:rPr>
            <w:rFonts w:ascii="彩虹粗仿宋" w:eastAsia="彩虹粗仿宋" w:hAnsi="宋体" w:hint="eastAsia"/>
            <w:noProof/>
            <w:sz w:val="28"/>
          </w:rPr>
          <w:tab/>
          <w:t>27</w:t>
        </w:r>
      </w:hyperlink>
    </w:p>
    <w:p w:rsidR="00682DA0" w:rsidRDefault="00B5345A">
      <w:pPr>
        <w:widowControl/>
        <w:adjustRightInd w:val="0"/>
        <w:snapToGrid w:val="0"/>
        <w:ind w:firstLineChars="200" w:firstLine="560"/>
        <w:rPr>
          <w:rFonts w:ascii="彩虹粗仿宋" w:eastAsia="彩虹粗仿宋" w:hAnsi="宋体" w:cs="Arial"/>
          <w:kern w:val="0"/>
          <w:sz w:val="24"/>
        </w:rPr>
      </w:pPr>
      <w:r>
        <w:rPr>
          <w:rFonts w:ascii="彩虹粗仿宋" w:eastAsia="彩虹粗仿宋" w:hAnsi="宋体" w:hint="eastAsia"/>
          <w:sz w:val="28"/>
        </w:rPr>
        <w:lastRenderedPageBreak/>
        <w:fldChar w:fldCharType="end"/>
      </w:r>
      <w:r>
        <w:rPr>
          <w:rFonts w:ascii="彩虹粗仿宋" w:eastAsia="彩虹粗仿宋" w:hAnsi="宋体" w:cs="Arial" w:hint="eastAsia"/>
          <w:kern w:val="0"/>
          <w:sz w:val="24"/>
        </w:rPr>
        <w:t>鉴于华泰柏瑞基金管理有限公司系一家依照中国法律合法成立并有效存续的有限责任公司，按照相关法律法规的规定具备担任基金管理人的资格和能力；</w:t>
      </w:r>
    </w:p>
    <w:p w:rsidR="00682DA0" w:rsidRDefault="00B5345A">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682DA0" w:rsidRDefault="00B5345A">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鉴于华泰柏瑞基金管理有限公司拟担任华泰柏瑞南方东英恒生科技指数交易型开放式指数证券投资基金（QDII）的基金管理人，中国建设银行股份有限公司拟担任</w:t>
      </w:r>
      <w:r>
        <w:rPr>
          <w:rFonts w:ascii="彩虹粗仿宋" w:eastAsia="彩虹粗仿宋" w:hAnsi="宋体" w:cs="Arial" w:hint="eastAsia"/>
          <w:sz w:val="24"/>
        </w:rPr>
        <w:t>华泰柏瑞南方东英恒生科技指数交易型开放式指数证券投资基金（QDII）</w:t>
      </w:r>
      <w:r>
        <w:rPr>
          <w:rFonts w:ascii="彩虹粗仿宋" w:eastAsia="彩虹粗仿宋" w:hAnsi="宋体" w:cs="Arial" w:hint="eastAsia"/>
          <w:kern w:val="0"/>
          <w:sz w:val="24"/>
        </w:rPr>
        <w:t>的基金托管人；</w:t>
      </w:r>
    </w:p>
    <w:p w:rsidR="00682DA0" w:rsidRDefault="00B5345A">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为明确</w:t>
      </w:r>
      <w:r>
        <w:rPr>
          <w:rFonts w:ascii="彩虹粗仿宋" w:eastAsia="彩虹粗仿宋" w:hAnsi="宋体" w:cs="Arial" w:hint="eastAsia"/>
          <w:sz w:val="24"/>
        </w:rPr>
        <w:t>华泰柏瑞南方东英恒生科技指数交易型开放式指数证券投资基金（QDII）</w:t>
      </w:r>
      <w:r>
        <w:rPr>
          <w:rFonts w:ascii="彩虹粗仿宋" w:eastAsia="彩虹粗仿宋" w:hAnsi="宋体" w:cs="Arial" w:hint="eastAsia"/>
          <w:kern w:val="0"/>
          <w:sz w:val="24"/>
        </w:rPr>
        <w:t>的基金管理人和基金托管人之间的权利义务关系，特制订本托管协议；</w:t>
      </w:r>
    </w:p>
    <w:p w:rsidR="00682DA0" w:rsidRDefault="00B5345A">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除非另有约定，《华泰柏瑞南方东英恒生科技指数交易型开放式指数证券投资基金（QDII）基金合同》(以下简称“基金合同”)中定义的术语在用于本托管协议时应具有相同的含义；若有抵触应以《基金合同》为准，并依其条款解释。</w:t>
      </w:r>
    </w:p>
    <w:p w:rsidR="00682DA0" w:rsidRDefault="00682DA0">
      <w:pPr>
        <w:rPr>
          <w:rFonts w:ascii="彩虹粗仿宋" w:eastAsia="彩虹粗仿宋" w:hAnsi="宋体" w:cs="Arial"/>
          <w:kern w:val="0"/>
          <w:sz w:val="24"/>
        </w:rPr>
      </w:pPr>
    </w:p>
    <w:p w:rsidR="00682DA0" w:rsidRDefault="00B5345A">
      <w:pPr>
        <w:pStyle w:val="2"/>
        <w:jc w:val="center"/>
        <w:rPr>
          <w:rFonts w:ascii="彩虹粗仿宋" w:eastAsia="彩虹粗仿宋"/>
        </w:rPr>
      </w:pPr>
      <w:bookmarkStart w:id="6" w:name="_Toc124325885"/>
      <w:r>
        <w:rPr>
          <w:rFonts w:ascii="彩虹粗仿宋" w:eastAsia="彩虹粗仿宋" w:hint="eastAsia"/>
        </w:rPr>
        <w:t>一、基金托管协议当事人</w:t>
      </w:r>
      <w:bookmarkEnd w:id="6"/>
    </w:p>
    <w:p w:rsidR="00682DA0" w:rsidRDefault="00B5345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（一）基金管理人</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名称：华泰柏瑞基金管理有限公司</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注册地址：中国（上海）自由贸易试验区民生路1199弄上海证大五道口广场1号17层</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办公地址：中国（上海）自由贸易试验区民生路1199弄上海证大五道口广场1号17层</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邮政编码：200135</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法定代表人：贾波</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成立日期：2004</w:t>
      </w:r>
      <w:r>
        <w:rPr>
          <w:rStyle w:val="read"/>
          <w:rFonts w:ascii="彩虹粗仿宋" w:eastAsia="彩虹粗仿宋" w:hAnsi="宋体" w:cs="Arial" w:hint="eastAsia"/>
          <w:sz w:val="24"/>
        </w:rPr>
        <w:t>年11月18日</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批准设立机关及批准设立文号：中国证监会证监基金字</w:t>
      </w:r>
      <w:r>
        <w:rPr>
          <w:rStyle w:val="read"/>
          <w:rFonts w:ascii="彩虹粗仿宋" w:eastAsia="彩虹粗仿宋" w:hAnsi="宋体" w:cs="Arial" w:hint="eastAsia"/>
          <w:sz w:val="24"/>
        </w:rPr>
        <w:t>[2004]178</w:t>
      </w:r>
      <w:r>
        <w:rPr>
          <w:rFonts w:ascii="彩虹粗仿宋" w:eastAsia="彩虹粗仿宋" w:hAnsi="宋体" w:cs="Arial" w:hint="eastAsia"/>
          <w:sz w:val="24"/>
        </w:rPr>
        <w:t>号</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组织形式：有限责任公司</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注册资本：人民币贰亿元</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经营范围：发起设立基金、基金管理及中国证监会批准的其他业务</w:t>
      </w:r>
    </w:p>
    <w:p w:rsidR="00682DA0" w:rsidRDefault="00B5345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（二）基金托管人</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名称：中国建设银行股份有限公司(简称：中国建设银行)</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住所：北京市西城区金融大街25号</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办公地址：北京市西城区闹市口大街1号院1号楼</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邮政编码：100033</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法定代表人：田国立</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成立日期：2004年09月17日</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基金托管业务批准文号：中国证监会证监基字[1998</w:t>
      </w:r>
      <w:bookmarkStart w:id="7" w:name="OLE_LINK3"/>
      <w:r>
        <w:rPr>
          <w:rFonts w:ascii="彩虹粗仿宋" w:eastAsia="彩虹粗仿宋" w:hAnsi="宋体" w:cs="Arial" w:hint="eastAsia"/>
          <w:sz w:val="24"/>
        </w:rPr>
        <w:t>]</w:t>
      </w:r>
      <w:bookmarkEnd w:id="7"/>
      <w:r>
        <w:rPr>
          <w:rFonts w:ascii="彩虹粗仿宋" w:eastAsia="彩虹粗仿宋" w:hAnsi="宋体" w:cs="Arial" w:hint="eastAsia"/>
          <w:sz w:val="24"/>
        </w:rPr>
        <w:t>12号</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组织形式：股份有限公司</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w:t>
      </w:r>
      <w:r>
        <w:rPr>
          <w:rFonts w:ascii="彩虹粗仿宋" w:eastAsia="彩虹粗仿宋" w:hint="eastAsia"/>
          <w:sz w:val="24"/>
        </w:rPr>
        <w:t>贰仟伍佰亿壹仟零玖拾柒万柒仟肆佰捌拾陆元整</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rsidR="00682DA0" w:rsidRDefault="00B5345A">
      <w:pPr>
        <w:tabs>
          <w:tab w:val="left" w:pos="540"/>
        </w:tabs>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682DA0" w:rsidRDefault="00682DA0">
      <w:pPr>
        <w:rPr>
          <w:rFonts w:ascii="彩虹粗仿宋" w:eastAsia="彩虹粗仿宋"/>
          <w:sz w:val="24"/>
        </w:rPr>
      </w:pPr>
    </w:p>
    <w:p w:rsidR="00682DA0" w:rsidRDefault="00B5345A">
      <w:pPr>
        <w:pStyle w:val="2"/>
        <w:jc w:val="center"/>
        <w:rPr>
          <w:rFonts w:ascii="彩虹粗仿宋" w:eastAsia="彩虹粗仿宋"/>
          <w:sz w:val="30"/>
        </w:rPr>
      </w:pPr>
      <w:bookmarkStart w:id="8" w:name="_Toc124325886"/>
      <w:r>
        <w:rPr>
          <w:rFonts w:ascii="彩虹粗仿宋" w:eastAsia="彩虹粗仿宋" w:hint="eastAsia"/>
          <w:sz w:val="30"/>
        </w:rPr>
        <w:t>二、基金托管协议的依据、目的和原则</w:t>
      </w:r>
      <w:bookmarkEnd w:id="8"/>
    </w:p>
    <w:p w:rsidR="00682DA0" w:rsidRDefault="00B5345A">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（一）订立托管协议的依据</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本协议依据《中华人民共和国证券投资基金法》(以下简称“《基金法》”)等有关法律法规、《基金合同》及其他有关规定制订。</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（二）订立托管协议的目的</w:t>
      </w:r>
    </w:p>
    <w:p w:rsidR="00682DA0" w:rsidRDefault="00B5345A">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（三）订立托管协议的原则</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682DA0" w:rsidRDefault="00682DA0">
      <w:pPr>
        <w:rPr>
          <w:rFonts w:ascii="彩虹粗仿宋" w:eastAsia="彩虹粗仿宋"/>
          <w:sz w:val="24"/>
        </w:rPr>
      </w:pPr>
    </w:p>
    <w:p w:rsidR="00682DA0" w:rsidRDefault="00B5345A">
      <w:pPr>
        <w:pStyle w:val="2"/>
        <w:jc w:val="center"/>
        <w:rPr>
          <w:rFonts w:ascii="彩虹粗仿宋" w:eastAsia="彩虹粗仿宋"/>
          <w:sz w:val="30"/>
          <w:szCs w:val="24"/>
        </w:rPr>
      </w:pPr>
      <w:bookmarkStart w:id="9" w:name="_Toc124325887"/>
      <w:r>
        <w:rPr>
          <w:rFonts w:ascii="彩虹粗仿宋" w:eastAsia="彩虹粗仿宋" w:hint="eastAsia"/>
          <w:sz w:val="30"/>
        </w:rPr>
        <w:t>三、基金托管人对基金管理人的业务监督和核查</w:t>
      </w:r>
      <w:bookmarkEnd w:id="9"/>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（一）基金托管人根据有关法律法规的规定及《基金合同》的约定，对基金</w:t>
      </w:r>
      <w:r>
        <w:rPr>
          <w:rFonts w:ascii="彩虹粗仿宋" w:eastAsia="彩虹粗仿宋" w:hAnsi="宋体" w:cs="Arial" w:hint="eastAsia"/>
          <w:sz w:val="24"/>
        </w:rPr>
        <w:lastRenderedPageBreak/>
        <w:t>投资范围、投资对象进行监督。</w:t>
      </w:r>
    </w:p>
    <w:p w:rsidR="00682DA0" w:rsidRDefault="00B5345A">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本基金以标的ETF基金份额为主要投资对象。此外，为更好地实现投资目标，本基金可少量投资于其他资产。</w:t>
      </w:r>
    </w:p>
    <w:p w:rsidR="00682DA0" w:rsidRDefault="00B5345A">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针对境内市场，本基金的投资范围包括境内具有良好流动性的金融工具，包括银行存款、同业存单、货币市场工具以及法律法规或中国证监会允许基金投资的其他金融工具</w:t>
      </w:r>
      <w:r>
        <w:rPr>
          <w:rFonts w:ascii="彩虹粗仿宋" w:eastAsia="彩虹粗仿宋" w:hAnsi="宋体" w:cs="Arial"/>
          <w:bCs/>
          <w:sz w:val="24"/>
        </w:rPr>
        <w:t>。</w:t>
      </w:r>
    </w:p>
    <w:p w:rsidR="00682DA0" w:rsidRDefault="00B5345A">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境外市场投资工具包括：标的ETF基金份额、标的指数成份股及备选成份股、非成份股的港股（包括港股通标的股票）、远期合约、互换及经中国证监会认可的境外交易所上市交易的权证、期权、期货等金融衍生产品。</w:t>
      </w:r>
    </w:p>
    <w:p w:rsidR="00682DA0" w:rsidRDefault="00B5345A">
      <w:pPr>
        <w:ind w:firstLineChars="195" w:firstLine="468"/>
        <w:rPr>
          <w:rFonts w:ascii="彩虹粗仿宋" w:eastAsia="彩虹粗仿宋" w:hAnsi="宋体" w:cs="Arial"/>
          <w:bCs/>
          <w:sz w:val="24"/>
        </w:rPr>
      </w:pPr>
      <w:r>
        <w:rPr>
          <w:rFonts w:ascii="彩虹粗仿宋" w:eastAsia="彩虹粗仿宋" w:hAnsi="宋体" w:cs="Arial" w:hint="eastAsia"/>
          <w:bCs/>
          <w:sz w:val="24"/>
        </w:rPr>
        <w:t>其中在投资香港市场时，本基金可通过合格境内机构投资者（QDII）境外投资额度或内地与香港股票市场交易互联互通机制进行投资。</w:t>
      </w:r>
    </w:p>
    <w:p w:rsidR="00682DA0" w:rsidRDefault="00B5345A">
      <w:pPr>
        <w:ind w:firstLineChars="195" w:firstLine="468"/>
        <w:rPr>
          <w:rFonts w:ascii="彩虹粗仿宋" w:eastAsia="彩虹粗仿宋" w:hAnsi="宋体" w:cs="Arial"/>
          <w:bCs/>
          <w:sz w:val="24"/>
        </w:rPr>
      </w:pPr>
      <w:r>
        <w:rPr>
          <w:rFonts w:ascii="彩虹粗仿宋" w:eastAsia="彩虹粗仿宋" w:hAnsi="宋体" w:cs="Arial" w:hint="eastAsia"/>
          <w:bCs/>
          <w:sz w:val="24"/>
        </w:rPr>
        <w:t>本基金可以进行境外证券借贷交易。</w:t>
      </w:r>
    </w:p>
    <w:p w:rsidR="00682DA0" w:rsidRDefault="00B5345A">
      <w:pPr>
        <w:adjustRightInd w:val="0"/>
        <w:snapToGrid w:val="0"/>
        <w:ind w:firstLineChars="200" w:firstLine="480"/>
        <w:rPr>
          <w:rFonts w:ascii="彩虹粗仿宋" w:eastAsia="彩虹粗仿宋" w:hAnsi="宋体" w:cs="Arial"/>
          <w:bCs/>
          <w:sz w:val="24"/>
        </w:rPr>
      </w:pPr>
      <w:r>
        <w:rPr>
          <w:rFonts w:ascii="彩虹粗仿宋" w:eastAsia="彩虹粗仿宋" w:hAnsi="宋体" w:cs="Arial"/>
          <w:bCs/>
          <w:sz w:val="24"/>
        </w:rPr>
        <w:t>本基金将根据法律法规的规定参与融资及转融通证券出借业务。</w:t>
      </w:r>
    </w:p>
    <w:p w:rsidR="00682DA0" w:rsidRDefault="00B5345A">
      <w:pPr>
        <w:adjustRightInd w:val="0"/>
        <w:snapToGrid w:val="0"/>
        <w:ind w:firstLineChars="200" w:firstLine="480"/>
        <w:rPr>
          <w:rFonts w:ascii="彩虹粗仿宋" w:eastAsia="彩虹粗仿宋" w:hAnsi="宋体" w:cs="Arial"/>
          <w:bCs/>
          <w:sz w:val="24"/>
        </w:rPr>
      </w:pPr>
      <w:r>
        <w:rPr>
          <w:rFonts w:ascii="彩虹粗仿宋" w:eastAsia="彩虹粗仿宋" w:hAnsi="宋体" w:cs="Arial"/>
          <w:bCs/>
          <w:sz w:val="24"/>
        </w:rPr>
        <w:t>如法律法规或监管机构以后允许基金投资其他品种，基金管理人在履行适当程序后，可以将其纳入投资范围。</w:t>
      </w:r>
    </w:p>
    <w:p w:rsidR="00682DA0" w:rsidRDefault="00B5345A">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本基金投资于标的ETF的比例不低于基金资产净值的90%</w:t>
      </w:r>
      <w:r>
        <w:rPr>
          <w:rFonts w:ascii="彩虹粗仿宋" w:eastAsia="彩虹粗仿宋" w:hAnsi="宋体" w:cs="Arial"/>
          <w:bCs/>
          <w:sz w:val="24"/>
        </w:rPr>
        <w:t>，</w:t>
      </w:r>
      <w:r>
        <w:rPr>
          <w:rFonts w:ascii="彩虹粗仿宋" w:eastAsia="彩虹粗仿宋" w:hAnsi="宋体" w:cs="Arial" w:hint="eastAsia"/>
          <w:bCs/>
          <w:sz w:val="24"/>
        </w:rPr>
        <w:t>且不低于非现金基金资产的80%，</w:t>
      </w:r>
      <w:r>
        <w:rPr>
          <w:rFonts w:ascii="彩虹粗仿宋" w:eastAsia="彩虹粗仿宋" w:hAnsi="宋体" w:cs="Arial"/>
          <w:bCs/>
          <w:sz w:val="24"/>
        </w:rPr>
        <w:t>因法律法规的规定而受限制的情形除外。</w:t>
      </w:r>
    </w:p>
    <w:p w:rsidR="00682DA0" w:rsidRDefault="00B5345A">
      <w:pPr>
        <w:adjustRightInd w:val="0"/>
        <w:snapToGrid w:val="0"/>
        <w:ind w:firstLineChars="200" w:firstLine="480"/>
        <w:rPr>
          <w:rFonts w:ascii="彩虹粗仿宋" w:eastAsia="彩虹粗仿宋"/>
          <w:sz w:val="24"/>
        </w:rPr>
      </w:pPr>
      <w:r>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682DA0" w:rsidRDefault="00B5345A">
      <w:pPr>
        <w:adjustRightInd w:val="0"/>
        <w:snapToGrid w:val="0"/>
        <w:ind w:firstLineChars="200" w:firstLine="480"/>
        <w:rPr>
          <w:rFonts w:ascii="彩虹粗仿宋" w:eastAsia="彩虹粗仿宋"/>
          <w:bCs/>
          <w:sz w:val="24"/>
        </w:rPr>
      </w:pPr>
      <w:bookmarkStart w:id="10" w:name="_Hlk35012853"/>
      <w:r>
        <w:rPr>
          <w:rFonts w:ascii="彩虹粗仿宋" w:eastAsia="彩虹粗仿宋" w:hint="eastAsia"/>
          <w:bCs/>
          <w:sz w:val="24"/>
        </w:rPr>
        <w:t>（1）本基金投资于标的ETF的比例不低于基金资产净值的90%，且不低于非现金基金资产的80%；</w:t>
      </w:r>
    </w:p>
    <w:p w:rsidR="00682DA0" w:rsidRDefault="00B5345A">
      <w:pPr>
        <w:adjustRightInd w:val="0"/>
        <w:snapToGrid w:val="0"/>
        <w:ind w:firstLineChars="200" w:firstLine="480"/>
        <w:rPr>
          <w:rFonts w:ascii="彩虹粗仿宋" w:eastAsia="彩虹粗仿宋"/>
          <w:bCs/>
          <w:sz w:val="24"/>
        </w:rPr>
      </w:pPr>
      <w:r>
        <w:rPr>
          <w:rFonts w:ascii="彩虹粗仿宋" w:eastAsia="彩虹粗仿宋" w:hint="eastAsia"/>
          <w:bCs/>
          <w:sz w:val="24"/>
        </w:rPr>
        <w:t>（2）本基金资产总值不得超过基金资产净值的140%；</w:t>
      </w:r>
    </w:p>
    <w:p w:rsidR="00682DA0" w:rsidRDefault="00B5345A">
      <w:pPr>
        <w:adjustRightInd w:val="0"/>
        <w:snapToGrid w:val="0"/>
        <w:ind w:firstLineChars="200" w:firstLine="480"/>
        <w:rPr>
          <w:rFonts w:ascii="彩虹粗仿宋" w:eastAsia="彩虹粗仿宋"/>
          <w:bCs/>
          <w:sz w:val="24"/>
        </w:rPr>
      </w:pPr>
      <w:r>
        <w:rPr>
          <w:rFonts w:ascii="彩虹粗仿宋" w:eastAsia="彩虹粗仿宋" w:hint="eastAsia"/>
          <w:bCs/>
          <w:sz w:val="24"/>
        </w:rPr>
        <w:t>（3）本基金主动投资于流动性受限资产的市值合计不得超过基金资产净值的15%；因证券市场波动、上市公司股票停牌、基金规模变动等基金管理人之外的因素致使基金不符合本款所规定比例限制的，本基金管理人不得主动新增流动性受限资产的投资；</w:t>
      </w:r>
    </w:p>
    <w:p w:rsidR="00682DA0" w:rsidRDefault="00B5345A">
      <w:pPr>
        <w:adjustRightInd w:val="0"/>
        <w:snapToGrid w:val="0"/>
        <w:ind w:firstLineChars="200" w:firstLine="480"/>
        <w:rPr>
          <w:rFonts w:ascii="彩虹粗仿宋" w:eastAsia="彩虹粗仿宋"/>
          <w:bCs/>
          <w:sz w:val="24"/>
        </w:rPr>
      </w:pPr>
      <w:r>
        <w:rPr>
          <w:rFonts w:ascii="彩虹粗仿宋" w:eastAsia="彩虹粗仿宋" w:hint="eastAsia"/>
          <w:bCs/>
          <w:sz w:val="24"/>
        </w:rPr>
        <w:t>（4）本基金所持有的ETF、股票市值和买入、卖出股指期货合约价值，合计（轧差计算）占资产净值的比例不低于</w:t>
      </w:r>
      <w:r>
        <w:rPr>
          <w:rFonts w:ascii="彩虹粗仿宋" w:eastAsia="彩虹粗仿宋"/>
          <w:bCs/>
          <w:sz w:val="24"/>
        </w:rPr>
        <w:t>90%</w:t>
      </w:r>
      <w:r>
        <w:rPr>
          <w:rFonts w:ascii="彩虹粗仿宋" w:eastAsia="彩虹粗仿宋" w:hint="eastAsia"/>
          <w:bCs/>
          <w:sz w:val="24"/>
        </w:rPr>
        <w:t>；</w:t>
      </w:r>
    </w:p>
    <w:p w:rsidR="00682DA0" w:rsidRDefault="00B5345A">
      <w:pPr>
        <w:adjustRightInd w:val="0"/>
        <w:snapToGrid w:val="0"/>
        <w:ind w:firstLineChars="200" w:firstLine="480"/>
        <w:rPr>
          <w:rFonts w:ascii="彩虹粗仿宋" w:eastAsia="彩虹粗仿宋"/>
          <w:bCs/>
          <w:sz w:val="24"/>
        </w:rPr>
      </w:pPr>
      <w:r>
        <w:rPr>
          <w:rFonts w:ascii="彩虹粗仿宋" w:eastAsia="彩虹粗仿宋" w:hint="eastAsia"/>
          <w:bCs/>
          <w:sz w:val="24"/>
        </w:rPr>
        <w:t>本基金境内投资应遵循以下限制：</w:t>
      </w:r>
    </w:p>
    <w:p w:rsidR="00682DA0" w:rsidRDefault="00B5345A">
      <w:pPr>
        <w:adjustRightInd w:val="0"/>
        <w:snapToGrid w:val="0"/>
        <w:ind w:firstLineChars="200" w:firstLine="480"/>
        <w:rPr>
          <w:rFonts w:ascii="彩虹粗仿宋" w:eastAsia="彩虹粗仿宋"/>
          <w:bCs/>
          <w:sz w:val="24"/>
        </w:rPr>
      </w:pPr>
      <w:r>
        <w:rPr>
          <w:rFonts w:ascii="彩虹粗仿宋" w:eastAsia="彩虹粗仿宋" w:hint="eastAsia"/>
          <w:bCs/>
          <w:sz w:val="24"/>
        </w:rPr>
        <w:t>（</w:t>
      </w:r>
      <w:r>
        <w:rPr>
          <w:rFonts w:ascii="彩虹粗仿宋" w:eastAsia="彩虹粗仿宋"/>
          <w:bCs/>
          <w:sz w:val="24"/>
        </w:rPr>
        <w:t>5</w:t>
      </w:r>
      <w:r>
        <w:rPr>
          <w:rFonts w:ascii="彩虹粗仿宋" w:eastAsia="彩虹粗仿宋" w:hint="eastAsia"/>
          <w:bCs/>
          <w:sz w:val="24"/>
        </w:rPr>
        <w:t>）本基金进入全国银行间同业市场进行债券回购的资金余额不得超过基金资产净值的40%，进入全国银行间同业市场进行债券回购的最长期限为1年，债券回购到期后不得展期；</w:t>
      </w:r>
    </w:p>
    <w:p w:rsidR="00682DA0" w:rsidRDefault="00B5345A">
      <w:pPr>
        <w:adjustRightInd w:val="0"/>
        <w:snapToGrid w:val="0"/>
        <w:ind w:firstLineChars="200" w:firstLine="480"/>
        <w:rPr>
          <w:rFonts w:ascii="彩虹粗仿宋" w:eastAsia="彩虹粗仿宋"/>
          <w:bCs/>
          <w:sz w:val="24"/>
        </w:rPr>
      </w:pPr>
      <w:r>
        <w:rPr>
          <w:rFonts w:ascii="彩虹粗仿宋" w:eastAsia="彩虹粗仿宋" w:hint="eastAsia"/>
          <w:bCs/>
          <w:sz w:val="24"/>
        </w:rPr>
        <w:lastRenderedPageBreak/>
        <w:t>（</w:t>
      </w:r>
      <w:r>
        <w:rPr>
          <w:rFonts w:ascii="彩虹粗仿宋" w:eastAsia="彩虹粗仿宋"/>
          <w:bCs/>
          <w:sz w:val="24"/>
        </w:rPr>
        <w:t>6</w:t>
      </w:r>
      <w:r>
        <w:rPr>
          <w:rFonts w:ascii="彩虹粗仿宋" w:eastAsia="彩虹粗仿宋" w:hint="eastAsia"/>
          <w:bCs/>
          <w:sz w:val="24"/>
        </w:rPr>
        <w:t>）本基金可参与融资业务，在任何交易日日终，本基金持有的融资买入股票与其他有价证券市值之和，不得超过基金资产净值的95%；</w:t>
      </w:r>
    </w:p>
    <w:p w:rsidR="00682DA0" w:rsidRDefault="00B5345A">
      <w:pPr>
        <w:adjustRightInd w:val="0"/>
        <w:snapToGrid w:val="0"/>
        <w:ind w:firstLineChars="200" w:firstLine="480"/>
        <w:rPr>
          <w:rFonts w:ascii="彩虹粗仿宋" w:eastAsia="彩虹粗仿宋"/>
          <w:bCs/>
          <w:sz w:val="24"/>
        </w:rPr>
      </w:pPr>
      <w:r>
        <w:rPr>
          <w:rFonts w:ascii="彩虹粗仿宋" w:eastAsia="彩虹粗仿宋" w:hint="eastAsia"/>
          <w:bCs/>
          <w:sz w:val="24"/>
        </w:rPr>
        <w:t>（7）本基金参与转融通证券出借业务，应当符合下列投资限制：</w:t>
      </w:r>
    </w:p>
    <w:p w:rsidR="00682DA0" w:rsidRDefault="00B5345A">
      <w:pPr>
        <w:adjustRightInd w:val="0"/>
        <w:snapToGrid w:val="0"/>
        <w:ind w:firstLineChars="200" w:firstLine="480"/>
        <w:rPr>
          <w:rFonts w:ascii="彩虹粗仿宋" w:eastAsia="彩虹粗仿宋"/>
          <w:bCs/>
          <w:sz w:val="24"/>
        </w:rPr>
      </w:pPr>
      <w:r>
        <w:rPr>
          <w:rFonts w:ascii="彩虹粗仿宋" w:eastAsia="彩虹粗仿宋" w:hint="eastAsia"/>
          <w:bCs/>
          <w:sz w:val="24"/>
        </w:rPr>
        <w:t>1）出借证券资产不得超过基金资产净值的</w:t>
      </w:r>
      <w:r>
        <w:rPr>
          <w:rFonts w:ascii="彩虹粗仿宋" w:eastAsia="彩虹粗仿宋"/>
          <w:bCs/>
          <w:sz w:val="24"/>
        </w:rPr>
        <w:t>30%，出借期限在10个交易日以上的出借证券应纳入《流动性风险管理规定》所述流动性受限证券的范围</w:t>
      </w:r>
      <w:r>
        <w:rPr>
          <w:rFonts w:ascii="彩虹粗仿宋" w:eastAsia="彩虹粗仿宋" w:hint="eastAsia"/>
          <w:bCs/>
          <w:sz w:val="24"/>
        </w:rPr>
        <w:t>；</w:t>
      </w:r>
    </w:p>
    <w:p w:rsidR="00682DA0" w:rsidRDefault="00B5345A">
      <w:pPr>
        <w:adjustRightInd w:val="0"/>
        <w:snapToGrid w:val="0"/>
        <w:ind w:firstLineChars="200" w:firstLine="480"/>
        <w:rPr>
          <w:rFonts w:ascii="彩虹粗仿宋" w:eastAsia="彩虹粗仿宋"/>
          <w:bCs/>
          <w:sz w:val="24"/>
        </w:rPr>
      </w:pPr>
      <w:r>
        <w:rPr>
          <w:rFonts w:ascii="彩虹粗仿宋" w:eastAsia="彩虹粗仿宋" w:hint="eastAsia"/>
          <w:bCs/>
          <w:sz w:val="24"/>
        </w:rPr>
        <w:t>2）参与出借业务的单只证券不得超过基金持有该证券总量的</w:t>
      </w:r>
      <w:r>
        <w:rPr>
          <w:rFonts w:ascii="彩虹粗仿宋" w:eastAsia="彩虹粗仿宋"/>
          <w:bCs/>
          <w:sz w:val="24"/>
        </w:rPr>
        <w:t>30%</w:t>
      </w:r>
      <w:r>
        <w:rPr>
          <w:rFonts w:ascii="彩虹粗仿宋" w:eastAsia="彩虹粗仿宋" w:hint="eastAsia"/>
          <w:bCs/>
          <w:sz w:val="24"/>
        </w:rPr>
        <w:t>；</w:t>
      </w:r>
    </w:p>
    <w:p w:rsidR="00682DA0" w:rsidRDefault="00B5345A">
      <w:pPr>
        <w:adjustRightInd w:val="0"/>
        <w:snapToGrid w:val="0"/>
        <w:ind w:firstLineChars="200" w:firstLine="480"/>
        <w:rPr>
          <w:rFonts w:ascii="彩虹粗仿宋" w:eastAsia="彩虹粗仿宋"/>
          <w:bCs/>
          <w:sz w:val="24"/>
        </w:rPr>
      </w:pPr>
      <w:r>
        <w:rPr>
          <w:rFonts w:ascii="彩虹粗仿宋" w:eastAsia="彩虹粗仿宋" w:hint="eastAsia"/>
          <w:bCs/>
          <w:sz w:val="24"/>
        </w:rPr>
        <w:t>3）最近</w:t>
      </w:r>
      <w:r>
        <w:rPr>
          <w:rFonts w:ascii="彩虹粗仿宋" w:eastAsia="彩虹粗仿宋"/>
          <w:bCs/>
          <w:sz w:val="24"/>
        </w:rPr>
        <w:t>6</w:t>
      </w:r>
      <w:r>
        <w:rPr>
          <w:rFonts w:ascii="彩虹粗仿宋" w:eastAsia="彩虹粗仿宋" w:hint="eastAsia"/>
          <w:bCs/>
          <w:sz w:val="24"/>
        </w:rPr>
        <w:t>个月内日均基金资产净值不得低于</w:t>
      </w:r>
      <w:r>
        <w:rPr>
          <w:rFonts w:ascii="彩虹粗仿宋" w:eastAsia="彩虹粗仿宋"/>
          <w:bCs/>
          <w:sz w:val="24"/>
        </w:rPr>
        <w:t>2</w:t>
      </w:r>
      <w:r>
        <w:rPr>
          <w:rFonts w:ascii="彩虹粗仿宋" w:eastAsia="彩虹粗仿宋" w:hint="eastAsia"/>
          <w:bCs/>
          <w:sz w:val="24"/>
        </w:rPr>
        <w:t>亿元；</w:t>
      </w:r>
    </w:p>
    <w:p w:rsidR="00682DA0" w:rsidRDefault="00B5345A">
      <w:pPr>
        <w:adjustRightInd w:val="0"/>
        <w:snapToGrid w:val="0"/>
        <w:ind w:firstLineChars="200" w:firstLine="480"/>
        <w:rPr>
          <w:rFonts w:ascii="彩虹粗仿宋" w:eastAsia="彩虹粗仿宋"/>
          <w:bCs/>
          <w:sz w:val="24"/>
        </w:rPr>
      </w:pPr>
      <w:r>
        <w:rPr>
          <w:rFonts w:ascii="彩虹粗仿宋" w:eastAsia="彩虹粗仿宋" w:hint="eastAsia"/>
          <w:bCs/>
          <w:sz w:val="24"/>
        </w:rPr>
        <w:t>4）证券出借的平均剩余期限不得超过30天，平均剩余期限按照市值加权平均计算；</w:t>
      </w:r>
    </w:p>
    <w:p w:rsidR="00682DA0" w:rsidRDefault="00B5345A">
      <w:pPr>
        <w:adjustRightInd w:val="0"/>
        <w:snapToGrid w:val="0"/>
        <w:ind w:firstLineChars="200" w:firstLine="480"/>
        <w:rPr>
          <w:rFonts w:ascii="彩虹粗仿宋" w:eastAsia="彩虹粗仿宋"/>
          <w:bCs/>
          <w:sz w:val="24"/>
        </w:rPr>
      </w:pPr>
      <w:r>
        <w:rPr>
          <w:rFonts w:ascii="彩虹粗仿宋" w:eastAsia="彩虹粗仿宋" w:hint="eastAsia"/>
          <w:bCs/>
          <w:sz w:val="24"/>
        </w:rPr>
        <w:t>因证券市场波动、上市公司合并、基金规模变动等基金管理人之外的因素致使基金投资不符合上述规定的，基金管理人不得新增出借业务；</w:t>
      </w:r>
    </w:p>
    <w:p w:rsidR="00682DA0" w:rsidRDefault="00B5345A">
      <w:pPr>
        <w:adjustRightInd w:val="0"/>
        <w:snapToGrid w:val="0"/>
        <w:ind w:firstLineChars="200" w:firstLine="480"/>
        <w:rPr>
          <w:rFonts w:ascii="彩虹粗仿宋" w:eastAsia="彩虹粗仿宋"/>
          <w:bCs/>
          <w:sz w:val="24"/>
        </w:rPr>
      </w:pPr>
      <w:r>
        <w:rPr>
          <w:rFonts w:ascii="彩虹粗仿宋" w:eastAsia="彩虹粗仿宋" w:hint="eastAsia"/>
          <w:bCs/>
          <w:sz w:val="24"/>
        </w:rPr>
        <w:t>本基金境外投资应遵循以下限制：</w:t>
      </w:r>
    </w:p>
    <w:p w:rsidR="00682DA0" w:rsidRDefault="00B5345A">
      <w:pPr>
        <w:adjustRightInd w:val="0"/>
        <w:snapToGrid w:val="0"/>
        <w:ind w:firstLineChars="200" w:firstLine="480"/>
        <w:rPr>
          <w:rFonts w:ascii="彩虹粗仿宋" w:eastAsia="彩虹粗仿宋"/>
          <w:bCs/>
          <w:sz w:val="24"/>
        </w:rPr>
      </w:pPr>
      <w:r>
        <w:rPr>
          <w:rFonts w:ascii="彩虹粗仿宋" w:eastAsia="彩虹粗仿宋" w:hint="eastAsia"/>
          <w:bCs/>
          <w:sz w:val="24"/>
        </w:rPr>
        <w:t>（8）本基金持有非流动性资产市值不得超过基金净值的10%；</w:t>
      </w:r>
    </w:p>
    <w:p w:rsidR="00682DA0" w:rsidRDefault="00B5345A">
      <w:pPr>
        <w:adjustRightInd w:val="0"/>
        <w:snapToGrid w:val="0"/>
        <w:ind w:firstLineChars="200" w:firstLine="480"/>
        <w:rPr>
          <w:rFonts w:ascii="彩虹粗仿宋" w:eastAsia="彩虹粗仿宋"/>
          <w:bCs/>
          <w:sz w:val="24"/>
        </w:rPr>
      </w:pPr>
      <w:r>
        <w:rPr>
          <w:rFonts w:ascii="彩虹粗仿宋" w:eastAsia="彩虹粗仿宋" w:hint="eastAsia"/>
          <w:bCs/>
          <w:sz w:val="24"/>
        </w:rPr>
        <w:t>（9）本基金参与证券借贷交易应当遵守下列规定：</w:t>
      </w:r>
    </w:p>
    <w:p w:rsidR="00682DA0" w:rsidRDefault="00B5345A">
      <w:pPr>
        <w:adjustRightInd w:val="0"/>
        <w:snapToGrid w:val="0"/>
        <w:ind w:firstLineChars="200" w:firstLine="480"/>
        <w:rPr>
          <w:rFonts w:ascii="彩虹粗仿宋" w:eastAsia="彩虹粗仿宋"/>
          <w:bCs/>
          <w:sz w:val="24"/>
        </w:rPr>
      </w:pPr>
      <w:r>
        <w:rPr>
          <w:rFonts w:ascii="彩虹粗仿宋" w:eastAsia="彩虹粗仿宋" w:hint="eastAsia"/>
          <w:bCs/>
          <w:sz w:val="24"/>
        </w:rPr>
        <w:t>1）所有参与交易的对手方（中资商业银行除外）应当具有中国证监会认可的信用评级机构评级。</w:t>
      </w:r>
    </w:p>
    <w:p w:rsidR="00682DA0" w:rsidRDefault="00B5345A">
      <w:pPr>
        <w:adjustRightInd w:val="0"/>
        <w:snapToGrid w:val="0"/>
        <w:ind w:firstLineChars="200" w:firstLine="480"/>
        <w:rPr>
          <w:rFonts w:ascii="彩虹粗仿宋" w:eastAsia="彩虹粗仿宋"/>
          <w:bCs/>
          <w:sz w:val="24"/>
        </w:rPr>
      </w:pPr>
      <w:r>
        <w:rPr>
          <w:rFonts w:ascii="彩虹粗仿宋" w:eastAsia="彩虹粗仿宋"/>
          <w:bCs/>
          <w:sz w:val="24"/>
        </w:rPr>
        <w:t>2</w:t>
      </w:r>
      <w:r>
        <w:rPr>
          <w:rFonts w:ascii="彩虹粗仿宋" w:eastAsia="彩虹粗仿宋" w:hint="eastAsia"/>
          <w:bCs/>
          <w:sz w:val="24"/>
        </w:rPr>
        <w:t>）应当采取市值计价制度进行调整以确保担保物市值不低于已借出证券市值的</w:t>
      </w:r>
      <w:r>
        <w:rPr>
          <w:rFonts w:ascii="彩虹粗仿宋" w:eastAsia="彩虹粗仿宋"/>
          <w:bCs/>
          <w:sz w:val="24"/>
        </w:rPr>
        <w:t>102%.</w:t>
      </w:r>
    </w:p>
    <w:p w:rsidR="00682DA0" w:rsidRDefault="00B5345A">
      <w:pPr>
        <w:adjustRightInd w:val="0"/>
        <w:snapToGrid w:val="0"/>
        <w:ind w:firstLineChars="200" w:firstLine="480"/>
        <w:rPr>
          <w:rFonts w:ascii="彩虹粗仿宋" w:eastAsia="彩虹粗仿宋"/>
          <w:bCs/>
          <w:sz w:val="24"/>
        </w:rPr>
      </w:pPr>
      <w:r>
        <w:rPr>
          <w:rFonts w:ascii="彩虹粗仿宋" w:eastAsia="彩虹粗仿宋" w:hint="eastAsia"/>
          <w:bCs/>
          <w:sz w:val="24"/>
        </w:rPr>
        <w:t>3）借方应当在交易期内及时向本基金支付已借出证券产生的所有股息、利息和分红。一旦借方违约，本基金根据协议和有关法律有权保留和处置担保物以满足索赔需要。</w:t>
      </w:r>
    </w:p>
    <w:p w:rsidR="00682DA0" w:rsidRDefault="00B5345A">
      <w:pPr>
        <w:adjustRightInd w:val="0"/>
        <w:snapToGrid w:val="0"/>
        <w:ind w:firstLineChars="200" w:firstLine="480"/>
        <w:rPr>
          <w:rFonts w:ascii="彩虹粗仿宋" w:eastAsia="彩虹粗仿宋"/>
          <w:bCs/>
          <w:sz w:val="24"/>
        </w:rPr>
      </w:pPr>
      <w:r>
        <w:rPr>
          <w:rFonts w:ascii="彩虹粗仿宋" w:eastAsia="彩虹粗仿宋" w:hint="eastAsia"/>
          <w:bCs/>
          <w:sz w:val="24"/>
        </w:rPr>
        <w:t>4）除中国证监会另有规定外，担保物可以是以下金融工具或品种：现金； 存款证明；商业票据；政府债券；中资商业银行或由不低于中国证监会认可的信用评级机构评级的境外金融机构（作为交易对手方或其关联方的除外）出具的不可撤销信用证。</w:t>
      </w:r>
    </w:p>
    <w:p w:rsidR="00682DA0" w:rsidRDefault="00B5345A">
      <w:pPr>
        <w:adjustRightInd w:val="0"/>
        <w:snapToGrid w:val="0"/>
        <w:ind w:firstLineChars="200" w:firstLine="480"/>
        <w:rPr>
          <w:rFonts w:ascii="彩虹粗仿宋" w:eastAsia="彩虹粗仿宋"/>
          <w:bCs/>
          <w:sz w:val="24"/>
        </w:rPr>
      </w:pPr>
      <w:r>
        <w:rPr>
          <w:rFonts w:ascii="彩虹粗仿宋" w:eastAsia="彩虹粗仿宋" w:hint="eastAsia"/>
          <w:bCs/>
          <w:sz w:val="24"/>
        </w:rPr>
        <w:t>5）本基金有权在任何时候终止证券借贷交易并在正常市场惯例的合理期限内要求归还任一或所有已借出的证券。</w:t>
      </w:r>
    </w:p>
    <w:p w:rsidR="00682DA0" w:rsidRDefault="00B5345A">
      <w:pPr>
        <w:adjustRightInd w:val="0"/>
        <w:snapToGrid w:val="0"/>
        <w:ind w:firstLineChars="200" w:firstLine="480"/>
        <w:rPr>
          <w:rFonts w:ascii="彩虹粗仿宋" w:eastAsia="彩虹粗仿宋"/>
          <w:bCs/>
          <w:sz w:val="24"/>
        </w:rPr>
      </w:pPr>
      <w:r>
        <w:rPr>
          <w:rFonts w:ascii="彩虹粗仿宋" w:eastAsia="彩虹粗仿宋" w:hint="eastAsia"/>
          <w:bCs/>
          <w:sz w:val="24"/>
        </w:rPr>
        <w:t>6）本基金参与证券借贷交易，所有已借出而未归还证券总市值不得超过基金总资产的50%；前述比例限制计算，本基金因参与证券借贷交易而持有的担保物、现金不得计入基金总资产。</w:t>
      </w:r>
    </w:p>
    <w:p w:rsidR="00682DA0" w:rsidRDefault="00B5345A">
      <w:pPr>
        <w:adjustRightInd w:val="0"/>
        <w:snapToGrid w:val="0"/>
        <w:ind w:firstLineChars="200" w:firstLine="480"/>
        <w:rPr>
          <w:rFonts w:ascii="彩虹粗仿宋" w:eastAsia="彩虹粗仿宋"/>
          <w:bCs/>
          <w:sz w:val="24"/>
        </w:rPr>
      </w:pPr>
      <w:r>
        <w:rPr>
          <w:rFonts w:ascii="彩虹粗仿宋" w:eastAsia="彩虹粗仿宋" w:hint="eastAsia"/>
          <w:bCs/>
          <w:sz w:val="24"/>
        </w:rPr>
        <w:t>（10）本基金的金融衍生品全部敞口不得高于基金资产净值的100%。</w:t>
      </w:r>
    </w:p>
    <w:p w:rsidR="00682DA0" w:rsidRDefault="00B5345A">
      <w:pPr>
        <w:adjustRightInd w:val="0"/>
        <w:snapToGrid w:val="0"/>
        <w:ind w:firstLineChars="200" w:firstLine="480"/>
        <w:rPr>
          <w:rFonts w:ascii="彩虹粗仿宋" w:eastAsia="彩虹粗仿宋"/>
          <w:bCs/>
          <w:sz w:val="24"/>
        </w:rPr>
      </w:pPr>
      <w:r>
        <w:rPr>
          <w:rFonts w:ascii="彩虹粗仿宋" w:eastAsia="彩虹粗仿宋" w:hint="eastAsia"/>
          <w:bCs/>
          <w:sz w:val="24"/>
        </w:rPr>
        <w:t>（</w:t>
      </w:r>
      <w:r>
        <w:rPr>
          <w:rFonts w:ascii="彩虹粗仿宋" w:eastAsia="彩虹粗仿宋"/>
          <w:bCs/>
          <w:sz w:val="24"/>
        </w:rPr>
        <w:t>1</w:t>
      </w:r>
      <w:r>
        <w:rPr>
          <w:rFonts w:ascii="彩虹粗仿宋" w:eastAsia="彩虹粗仿宋" w:hint="eastAsia"/>
          <w:bCs/>
          <w:sz w:val="24"/>
        </w:rPr>
        <w:t>1）本基金投资期货支付的初始保证金、投资期权支付或收取的期权费、投资柜台交易衍生品支付的初始费用的总额不得高于基金资产净值的10%。</w:t>
      </w:r>
    </w:p>
    <w:p w:rsidR="00682DA0" w:rsidRDefault="00B5345A">
      <w:pPr>
        <w:adjustRightInd w:val="0"/>
        <w:snapToGrid w:val="0"/>
        <w:ind w:firstLineChars="200" w:firstLine="480"/>
        <w:rPr>
          <w:rFonts w:ascii="彩虹粗仿宋" w:eastAsia="彩虹粗仿宋"/>
          <w:bCs/>
          <w:sz w:val="24"/>
        </w:rPr>
      </w:pPr>
      <w:r>
        <w:rPr>
          <w:rFonts w:ascii="彩虹粗仿宋" w:eastAsia="彩虹粗仿宋" w:hint="eastAsia"/>
          <w:bCs/>
          <w:sz w:val="24"/>
        </w:rPr>
        <w:lastRenderedPageBreak/>
        <w:t>（</w:t>
      </w:r>
      <w:r>
        <w:rPr>
          <w:rFonts w:ascii="彩虹粗仿宋" w:eastAsia="彩虹粗仿宋"/>
          <w:bCs/>
          <w:sz w:val="24"/>
        </w:rPr>
        <w:t>1</w:t>
      </w:r>
      <w:r>
        <w:rPr>
          <w:rFonts w:ascii="彩虹粗仿宋" w:eastAsia="彩虹粗仿宋" w:hint="eastAsia"/>
          <w:bCs/>
          <w:sz w:val="24"/>
        </w:rPr>
        <w:t>2）本基金投资于远期合约、互换等柜台交易金融衍生品，应当符合以下要求：所有参与交易的对手方（中资商业银行除外）应当具有不低于中国证监会认可的信用评级机构评级；交易对手方应当至少每个工作日对交易进行估值，并且基金可在任何时候以公允价值终止交易；任一交易对手方的市值计价敞口不得超过本基金资产净值的20%。</w:t>
      </w:r>
    </w:p>
    <w:p w:rsidR="00682DA0" w:rsidRDefault="00B5345A">
      <w:pPr>
        <w:adjustRightInd w:val="0"/>
        <w:snapToGrid w:val="0"/>
        <w:ind w:firstLineChars="200" w:firstLine="480"/>
        <w:rPr>
          <w:rFonts w:ascii="彩虹粗仿宋" w:eastAsia="彩虹粗仿宋"/>
          <w:bCs/>
          <w:sz w:val="24"/>
        </w:rPr>
      </w:pPr>
      <w:r>
        <w:rPr>
          <w:rFonts w:ascii="彩虹粗仿宋" w:eastAsia="彩虹粗仿宋" w:hint="eastAsia"/>
          <w:bCs/>
          <w:sz w:val="24"/>
        </w:rPr>
        <w:t>（</w:t>
      </w:r>
      <w:r>
        <w:rPr>
          <w:rFonts w:ascii="彩虹粗仿宋" w:eastAsia="彩虹粗仿宋"/>
          <w:bCs/>
          <w:sz w:val="24"/>
        </w:rPr>
        <w:t>1</w:t>
      </w:r>
      <w:r>
        <w:rPr>
          <w:rFonts w:ascii="彩虹粗仿宋" w:eastAsia="彩虹粗仿宋" w:hint="eastAsia"/>
          <w:bCs/>
          <w:sz w:val="24"/>
        </w:rPr>
        <w:t>3）</w:t>
      </w:r>
      <w:r>
        <w:rPr>
          <w:rFonts w:ascii="彩虹粗仿宋" w:eastAsia="彩虹粗仿宋"/>
          <w:bCs/>
          <w:sz w:val="24"/>
        </w:rPr>
        <w:t>法律法规及中国证监会规定的和基金合同约定的其他投资限制。</w:t>
      </w:r>
    </w:p>
    <w:p w:rsidR="00682DA0" w:rsidRDefault="00B5345A">
      <w:pPr>
        <w:adjustRightInd w:val="0"/>
        <w:snapToGrid w:val="0"/>
        <w:ind w:firstLineChars="200" w:firstLine="480"/>
        <w:rPr>
          <w:rFonts w:ascii="彩虹粗仿宋" w:eastAsia="彩虹粗仿宋"/>
          <w:bCs/>
          <w:sz w:val="24"/>
        </w:rPr>
      </w:pPr>
      <w:r>
        <w:rPr>
          <w:rFonts w:ascii="彩虹粗仿宋" w:eastAsia="彩虹粗仿宋"/>
          <w:bCs/>
          <w:sz w:val="24"/>
        </w:rPr>
        <w:t>除上述</w:t>
      </w:r>
      <w:r>
        <w:rPr>
          <w:rFonts w:ascii="彩虹粗仿宋" w:eastAsia="彩虹粗仿宋" w:hint="eastAsia"/>
          <w:bCs/>
          <w:sz w:val="24"/>
        </w:rPr>
        <w:t>（3）、（4）、（7）、（9）、（1</w:t>
      </w:r>
      <w:r>
        <w:rPr>
          <w:rFonts w:ascii="彩虹粗仿宋" w:eastAsia="彩虹粗仿宋"/>
          <w:bCs/>
          <w:sz w:val="24"/>
        </w:rPr>
        <w:t>0</w:t>
      </w:r>
      <w:r>
        <w:rPr>
          <w:rFonts w:ascii="彩虹粗仿宋" w:eastAsia="彩虹粗仿宋" w:hint="eastAsia"/>
          <w:bCs/>
          <w:sz w:val="24"/>
        </w:rPr>
        <w:t>）、（1</w:t>
      </w:r>
      <w:r>
        <w:rPr>
          <w:rFonts w:ascii="彩虹粗仿宋" w:eastAsia="彩虹粗仿宋"/>
          <w:bCs/>
          <w:sz w:val="24"/>
        </w:rPr>
        <w:t>1</w:t>
      </w:r>
      <w:r>
        <w:rPr>
          <w:rFonts w:ascii="彩虹粗仿宋" w:eastAsia="彩虹粗仿宋" w:hint="eastAsia"/>
          <w:bCs/>
          <w:sz w:val="24"/>
        </w:rPr>
        <w:t>）、（12）</w:t>
      </w:r>
      <w:r>
        <w:rPr>
          <w:rFonts w:ascii="彩虹粗仿宋" w:eastAsia="彩虹粗仿宋"/>
          <w:bCs/>
          <w:sz w:val="24"/>
        </w:rPr>
        <w:t>情形之外，因证券、期货市场波动、</w:t>
      </w:r>
      <w:r>
        <w:rPr>
          <w:rFonts w:ascii="彩虹粗仿宋" w:eastAsia="彩虹粗仿宋" w:hint="eastAsia"/>
          <w:bCs/>
          <w:sz w:val="24"/>
        </w:rPr>
        <w:t>证券发行人</w:t>
      </w:r>
      <w:r>
        <w:rPr>
          <w:rFonts w:ascii="彩虹粗仿宋" w:eastAsia="彩虹粗仿宋"/>
          <w:bCs/>
          <w:sz w:val="24"/>
        </w:rPr>
        <w:t>合并、基金规模变动、标的指数成份股调整、标的指数成份股流动性限制等基金管理人之外的因素致使基金投资比例不符合上述规定投资比例的，</w:t>
      </w:r>
      <w:r>
        <w:rPr>
          <w:rFonts w:ascii="彩虹粗仿宋" w:eastAsia="彩虹粗仿宋" w:hint="eastAsia"/>
          <w:bCs/>
          <w:sz w:val="24"/>
        </w:rPr>
        <w:t>基金管理人应当在所涉境内证券可交易之日起10个交易日内进行调整，所涉境外证券可交易之日起30个交易日内进行调整，</w:t>
      </w:r>
      <w:r>
        <w:rPr>
          <w:rFonts w:ascii="彩虹粗仿宋" w:eastAsia="彩虹粗仿宋"/>
          <w:bCs/>
          <w:sz w:val="24"/>
        </w:rPr>
        <w:t>但中国证监会规定的特殊情形除外。</w:t>
      </w:r>
    </w:p>
    <w:p w:rsidR="00682DA0" w:rsidRDefault="00B5345A">
      <w:pPr>
        <w:adjustRightInd w:val="0"/>
        <w:snapToGrid w:val="0"/>
        <w:ind w:firstLineChars="200" w:firstLine="480"/>
        <w:rPr>
          <w:rFonts w:ascii="彩虹粗仿宋" w:eastAsia="彩虹粗仿宋"/>
          <w:sz w:val="24"/>
        </w:rPr>
      </w:pPr>
      <w:r>
        <w:rPr>
          <w:rFonts w:ascii="彩虹粗仿宋" w:eastAsia="彩虹粗仿宋" w:hint="eastAsia"/>
          <w:sz w:val="24"/>
        </w:rPr>
        <w:t>基金管理人应当自《基金合同》生效之日起6个月内使基金的投资组合比例符合《基金合同》的有关约定。期间，基金的投资范围、投资策略应当符合《基金合同》的约定。基金托管人对基金的投资的监督与检查自基金合同生效之日起开始。</w:t>
      </w:r>
    </w:p>
    <w:p w:rsidR="00682DA0" w:rsidRDefault="00B5345A">
      <w:pPr>
        <w:adjustRightInd w:val="0"/>
        <w:snapToGrid w:val="0"/>
        <w:ind w:firstLineChars="200" w:firstLine="480"/>
        <w:rPr>
          <w:rFonts w:ascii="彩虹粗仿宋" w:eastAsia="彩虹粗仿宋"/>
          <w:sz w:val="24"/>
        </w:rPr>
      </w:pPr>
      <w:r>
        <w:rPr>
          <w:rFonts w:ascii="彩虹粗仿宋" w:eastAsia="彩虹粗仿宋" w:hAnsi="宋体" w:cs="Arial"/>
          <w:sz w:val="24"/>
        </w:rPr>
        <w:t>法律法规或监管部门取消或变更上述限制，如适用于本基金，基金管理人在履行适当程序后，则本基金投资不再受相关限制或以变更后的规定为准</w:t>
      </w:r>
      <w:r>
        <w:rPr>
          <w:rFonts w:ascii="彩虹粗仿宋" w:eastAsia="彩虹粗仿宋" w:hAnsi="宋体" w:cs="Arial" w:hint="eastAsia"/>
          <w:sz w:val="24"/>
        </w:rPr>
        <w:t>。</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（三）基金托管人</w:t>
      </w:r>
      <w:bookmarkStart w:id="11" w:name="OLE_LINK1"/>
      <w:r>
        <w:rPr>
          <w:rFonts w:ascii="彩虹粗仿宋" w:eastAsia="彩虹粗仿宋" w:hAnsi="宋体" w:cs="Arial" w:hint="eastAsia"/>
          <w:sz w:val="24"/>
        </w:rPr>
        <w:t>根据有关法律法规的规定及《基金合同》的约定，</w:t>
      </w:r>
      <w:bookmarkEnd w:id="11"/>
      <w:r>
        <w:rPr>
          <w:rFonts w:ascii="彩虹粗仿宋" w:eastAsia="彩虹粗仿宋" w:hAnsi="宋体" w:cs="Arial" w:hint="eastAsia"/>
          <w:sz w:val="24"/>
        </w:rPr>
        <w:t>对本托管协议第十五条第（十二）款基金投资禁止行为进行监督。基金托管人通过事后监督方式对基金管理人基金投资禁止行为进行监督。</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bookmarkEnd w:id="10"/>
    <w:p w:rsidR="00682DA0" w:rsidRDefault="00B5345A">
      <w:pPr>
        <w:adjustRightInd w:val="0"/>
        <w:snapToGrid w:val="0"/>
        <w:ind w:firstLineChars="200" w:firstLine="480"/>
        <w:rPr>
          <w:rFonts w:ascii="彩虹粗仿宋" w:eastAsia="彩虹粗仿宋" w:hAnsi="宋体" w:cs="Arial"/>
        </w:rPr>
      </w:pPr>
      <w:r>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 若管理人未提供交易对手名单，则视同可与所有交易对手进行交易。基金管理人可以每半</w:t>
      </w:r>
      <w:r>
        <w:rPr>
          <w:rFonts w:ascii="彩虹粗仿宋" w:eastAsia="彩虹粗仿宋" w:hAnsi="宋体" w:cs="Arial" w:hint="eastAsia"/>
          <w:sz w:val="24"/>
        </w:rPr>
        <w:lastRenderedPageBreak/>
        <w:t>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color w:val="000000"/>
          <w:sz w:val="24"/>
        </w:rPr>
        <w:t>基金管理人负责对交易对手的资信控制，按银行间债券市场的交易规则进行交易，并</w:t>
      </w:r>
      <w:r>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（五）基金托管人根据有关法律法规的规定及《基金合同》的约定，对基金管理人投资流通受限证券进行监督。</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int="eastAsia"/>
          <w:sz w:val="24"/>
        </w:rPr>
        <w:t>基金管理人投资流通受限证券，应事先根据中国证监会相关规定，明确基金投资流通受限证券的比例，</w:t>
      </w:r>
      <w:r>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682DA0" w:rsidRDefault="00B5345A">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1.本基金</w:t>
      </w:r>
      <w:r>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本基金投资的流通受限证券应保证登记存管在本基金名下，基金管理人负责相关工作的落实和协调，并确</w:t>
      </w:r>
      <w:r>
        <w:rPr>
          <w:rFonts w:ascii="彩虹粗仿宋" w:eastAsia="彩虹粗仿宋" w:hint="eastAsia"/>
          <w:sz w:val="24"/>
        </w:rPr>
        <w:t>保基金托管人能够正常查询。因基金管理人原因产</w:t>
      </w:r>
      <w:r>
        <w:rPr>
          <w:rFonts w:ascii="彩虹粗仿宋" w:eastAsia="彩虹粗仿宋" w:hAnsi="宋体" w:cs="Arial" w:hint="eastAsia"/>
          <w:sz w:val="24"/>
        </w:rPr>
        <w:t>生的流通受限证券登记存管问题，造成基金托管人无法安全保管本基金资产的责任与损失，及因流通受限证券存管直接影响本基金安全的责任及损失，由基金管理人承担。</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本基金投资流通受限证券，不得预付任何形式的保证金。</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2.基金管理人投资非公开发行股票，应制订流动性风险处置预案并经其董事会</w:t>
      </w:r>
      <w:r>
        <w:rPr>
          <w:rFonts w:ascii="彩虹粗仿宋" w:eastAsia="彩虹粗仿宋" w:hAnsi="宋体" w:cs="Arial" w:hint="eastAsia"/>
          <w:sz w:val="24"/>
        </w:rPr>
        <w:lastRenderedPageBreak/>
        <w:t>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（1）中国证监会批准发行非公开发行股票的批准文件。</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（2）非公开发行股票有关发行数量、发行价格、锁定期等发行资料。</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（4）基金拟认购的数量、价格、总成本、账面价值。</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管理人应在本基金投资非公开发行股票后两个交易日内，在中国证监会规定媒介披露所投资非公开发行股票的名称、数量、总成本、账面价值，以及总成本和账面价值占基金资产净值的比例、锁定期等信息。</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本基金有关投资流通受限证券比例如违反有关限制规定，在合理期限内未能进行及时调整，基金管理人应按照《信息</w:t>
      </w:r>
      <w:r>
        <w:rPr>
          <w:rFonts w:ascii="彩虹粗仿宋" w:eastAsia="彩虹粗仿宋" w:hAnsi="宋体" w:cs="Arial"/>
          <w:sz w:val="24"/>
        </w:rPr>
        <w:t>披露办法</w:t>
      </w:r>
      <w:r>
        <w:rPr>
          <w:rFonts w:ascii="彩虹粗仿宋" w:eastAsia="彩虹粗仿宋" w:hAnsi="宋体" w:cs="Arial" w:hint="eastAsia"/>
          <w:sz w:val="24"/>
        </w:rPr>
        <w:t>》的</w:t>
      </w:r>
      <w:r>
        <w:rPr>
          <w:rFonts w:ascii="彩虹粗仿宋" w:eastAsia="彩虹粗仿宋" w:hAnsi="宋体" w:cs="Arial"/>
          <w:sz w:val="24"/>
        </w:rPr>
        <w:t>有关规定</w:t>
      </w:r>
      <w:r>
        <w:rPr>
          <w:rFonts w:ascii="彩虹粗仿宋" w:eastAsia="彩虹粗仿宋" w:hAnsi="宋体" w:cs="Arial" w:hint="eastAsia"/>
          <w:sz w:val="24"/>
        </w:rPr>
        <w:t>编制临时报告书，予以公告。</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5.基金托管人根据有关规定有权对基金管理人进行以下事项监督：</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（1）本基金投资流通受限证券时的法律法规遵守情况。</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（2）在基金投资流通受限证券管理工作方面有关制度、流动性风险处置预案的建立与完善情况。</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（3）有关比例限制的执行情况。</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（4）信息披露情况。</w:t>
      </w:r>
    </w:p>
    <w:p w:rsidR="00682DA0" w:rsidRDefault="00B5345A">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6.</w:t>
      </w:r>
      <w:r>
        <w:rPr>
          <w:rFonts w:ascii="彩虹粗仿宋" w:eastAsia="彩虹粗仿宋" w:hint="eastAsia"/>
          <w:sz w:val="24"/>
        </w:rPr>
        <w:t>相关法律法规对基金投资流通受限证券有新规定的，从其规定。</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（九）若基金托管人发现基金管理人依据交易程序已经生效的指令违反法律、行政法规和其他有关规定，或者违反《基金合同》约定的，应当立即通知基金管理人，由此造成的损失由基金管理人承担。</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682DA0" w:rsidRDefault="00682DA0">
      <w:pPr>
        <w:rPr>
          <w:rFonts w:ascii="彩虹粗仿宋" w:eastAsia="彩虹粗仿宋"/>
          <w:sz w:val="24"/>
        </w:rPr>
      </w:pPr>
    </w:p>
    <w:p w:rsidR="00682DA0" w:rsidRDefault="00B5345A">
      <w:pPr>
        <w:pStyle w:val="2"/>
        <w:jc w:val="center"/>
        <w:rPr>
          <w:rFonts w:ascii="彩虹粗仿宋" w:eastAsia="彩虹粗仿宋"/>
          <w:sz w:val="30"/>
        </w:rPr>
      </w:pPr>
      <w:bookmarkStart w:id="12" w:name="_Toc118212950"/>
      <w:bookmarkStart w:id="13" w:name="_Toc86737929"/>
      <w:bookmarkStart w:id="14" w:name="_Toc86726439"/>
      <w:bookmarkStart w:id="15" w:name="_Toc110765660"/>
      <w:bookmarkStart w:id="16" w:name="_Toc86225291"/>
      <w:bookmarkStart w:id="17" w:name="_Toc120435783"/>
      <w:bookmarkStart w:id="18" w:name="_Toc108512358"/>
      <w:bookmarkStart w:id="19" w:name="_Toc124325888"/>
      <w:bookmarkStart w:id="20" w:name="_Toc86649722"/>
      <w:bookmarkStart w:id="21" w:name="_Toc110830492"/>
      <w:bookmarkStart w:id="22" w:name="_Toc119402710"/>
      <w:bookmarkStart w:id="23" w:name="_Toc118774803"/>
      <w:bookmarkStart w:id="24" w:name="_Toc86223242"/>
      <w:bookmarkStart w:id="25" w:name="_Toc89163368"/>
      <w:bookmarkStart w:id="26" w:name="_Toc110761796"/>
      <w:bookmarkStart w:id="27" w:name="_Toc118972648"/>
      <w:bookmarkStart w:id="28" w:name="_Toc86727355"/>
      <w:r>
        <w:rPr>
          <w:rFonts w:ascii="彩虹粗仿宋" w:eastAsia="彩虹粗仿宋" w:hint="eastAsia"/>
          <w:sz w:val="30"/>
        </w:rPr>
        <w:t>四、基金管理人对基金托管人的业务核查</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682DA0" w:rsidRDefault="00B5345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682DA0" w:rsidRDefault="00B5345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682DA0" w:rsidRDefault="00B5345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682DA0" w:rsidRDefault="00682DA0">
      <w:pPr>
        <w:rPr>
          <w:rFonts w:ascii="彩虹粗仿宋" w:eastAsia="彩虹粗仿宋"/>
          <w:sz w:val="24"/>
        </w:rPr>
      </w:pPr>
    </w:p>
    <w:p w:rsidR="00682DA0" w:rsidRDefault="00B5345A">
      <w:pPr>
        <w:pStyle w:val="2"/>
        <w:jc w:val="center"/>
        <w:rPr>
          <w:rFonts w:ascii="彩虹粗仿宋" w:eastAsia="彩虹粗仿宋"/>
          <w:sz w:val="30"/>
        </w:rPr>
      </w:pPr>
      <w:bookmarkStart w:id="29" w:name="_Toc86225292"/>
      <w:bookmarkStart w:id="30" w:name="_Toc110761797"/>
      <w:bookmarkStart w:id="31" w:name="_Toc119402711"/>
      <w:bookmarkStart w:id="32" w:name="_Toc84234388"/>
      <w:bookmarkStart w:id="33" w:name="_Toc86649723"/>
      <w:bookmarkStart w:id="34" w:name="_Toc118212951"/>
      <w:bookmarkStart w:id="35" w:name="_Toc89163369"/>
      <w:bookmarkStart w:id="36" w:name="_Toc118774804"/>
      <w:bookmarkStart w:id="37" w:name="_Toc110830493"/>
      <w:bookmarkStart w:id="38" w:name="_Toc86204789"/>
      <w:bookmarkStart w:id="39" w:name="_Toc86727356"/>
      <w:bookmarkStart w:id="40" w:name="_Toc84133786"/>
      <w:bookmarkStart w:id="41" w:name="_Toc120435784"/>
      <w:bookmarkStart w:id="42" w:name="_Toc86726440"/>
      <w:bookmarkStart w:id="43" w:name="_Toc108512359"/>
      <w:bookmarkStart w:id="44" w:name="_Toc118972649"/>
      <w:bookmarkStart w:id="45" w:name="_Toc84234435"/>
      <w:bookmarkStart w:id="46" w:name="_Toc86223243"/>
      <w:bookmarkStart w:id="47" w:name="_Toc86737930"/>
      <w:bookmarkStart w:id="48" w:name="_Toc124325889"/>
      <w:bookmarkStart w:id="49" w:name="_Toc110765661"/>
      <w:r>
        <w:rPr>
          <w:rFonts w:ascii="彩虹粗仿宋" w:eastAsia="彩虹粗仿宋" w:hint="eastAsia"/>
          <w:sz w:val="30"/>
        </w:rPr>
        <w:t>五、基金财产的保管</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682DA0" w:rsidRDefault="00B5345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（一）基金财产保管的原则</w:t>
      </w:r>
    </w:p>
    <w:p w:rsidR="00682DA0" w:rsidRDefault="00B5345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1.基金财产应独立于基金管理人、基金托管人、境外托管人的固有财产。</w:t>
      </w:r>
    </w:p>
    <w:p w:rsidR="00682DA0" w:rsidRDefault="00B5345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2.基金托管人应安全保管基金财产。</w:t>
      </w:r>
    </w:p>
    <w:p w:rsidR="00682DA0" w:rsidRDefault="00B5345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3.基金托管人按照规定开设基金财产的资金账户和证券账户。</w:t>
      </w:r>
    </w:p>
    <w:p w:rsidR="00682DA0" w:rsidRDefault="00B5345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4.基金托管人对所托管的不同基金财产分别设置账户，确保基金财产的完整与独立。</w:t>
      </w:r>
    </w:p>
    <w:p w:rsidR="00682DA0" w:rsidRDefault="00B5345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5.基金托管人按照《基金合同》和本协议的约定保管基金财产，如有特殊情况双方可另行协商解决。基金</w:t>
      </w:r>
      <w:r>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rsidR="00682DA0" w:rsidRDefault="00B5345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682DA0" w:rsidRDefault="00B5345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7.除依据法律法规和《基金合同》的规定外，基金托管人不得委托第三人托管基金财产。</w:t>
      </w:r>
    </w:p>
    <w:p w:rsidR="00682DA0" w:rsidRDefault="00B5345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（二）基金募集期间及募集资金的验资</w:t>
      </w:r>
    </w:p>
    <w:p w:rsidR="00682DA0" w:rsidRDefault="00B5345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682DA0" w:rsidRDefault="00B5345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符合《中华人民共和国证券法》规定的会计师事务所进行验资，出具验资报告。出具的验资报告由参加验资的2名或2名以上中国注册会计师签字方为有效。</w:t>
      </w:r>
    </w:p>
    <w:p w:rsidR="00682DA0" w:rsidRDefault="00B5345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3.若基金募集期限届满，未能达到《基金合同》生效的条件，由基金管理人按规定办理退款等事宜。</w:t>
      </w:r>
    </w:p>
    <w:p w:rsidR="00682DA0" w:rsidRDefault="00B5345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（三）基金银行账户的开立和管理</w:t>
      </w:r>
    </w:p>
    <w:p w:rsidR="00682DA0" w:rsidRDefault="00B5345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r>
        <w:rPr>
          <w:rFonts w:ascii="彩虹粗仿宋" w:eastAsia="彩虹粗仿宋" w:hAnsi="宋体" w:cs="Arial" w:hint="eastAsia"/>
          <w:kern w:val="0"/>
          <w:sz w:val="24"/>
        </w:rPr>
        <w:t>基金托管人可委托境外托管人开立资金账户（境外），境外托管人根据基金托管人的指令办理境外资金收付。</w:t>
      </w:r>
    </w:p>
    <w:p w:rsidR="00682DA0" w:rsidRDefault="00B5345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682DA0" w:rsidRDefault="00B5345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3.基金银行账户的开立和管理应符合银行业监督管理机构的有关规定。</w:t>
      </w:r>
    </w:p>
    <w:p w:rsidR="00682DA0" w:rsidRDefault="00B5345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4.在符合法律法规规定的条件下，基金托管人可以通过基金托管人专用账户办理基金资产的支付。</w:t>
      </w:r>
    </w:p>
    <w:p w:rsidR="00682DA0" w:rsidRDefault="00B5345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5.管理人应于托管产品到期后及时完成收益兑付、费用结清及其他应收应付款项资金划转，在确保后续不再发生款项进出后的10个工作日内向托管人发出销户申请。</w:t>
      </w:r>
    </w:p>
    <w:p w:rsidR="00682DA0" w:rsidRDefault="00B5345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（四）基金证券账户和结算备付金账户的开立和管理</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1.基金托管人在中国证券登记结算有限责任公司为基金开立基金托管人与基金联名的证券账户。</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3.基金证券账户的开立和证券账户卡的保管由基金托管人负责，账户资产的管理和运用由基金管理人负责。</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账户注销时，由基金管理人依据中国证券登记结算有限责任公司相关规定，委托有交易关系的证券公司负责办理。销户完成后，基金管理人需将相关证明提供至基金托管人。账户注销期间如需基金托管人提供配合的，基金托管人应予以配合。</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6.若中国证监会或其他监管机构在本托管协议订立日之后允许基金从事其他投资品种的投资业务，涉及相关账户的开立、使用的，若无相关规定，则基金托管人比照上述关于账户开立、使用的规定执行。</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（五）债券托管专户的开设和管理</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（六）其他账户的开立和管理</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682DA0" w:rsidRDefault="00B5345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2.法律法规等有关规定对相关账户的开立和管理另有规定的，从其规定办理。</w:t>
      </w:r>
    </w:p>
    <w:p w:rsidR="00682DA0" w:rsidRDefault="00B5345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（七）基金财产投资的有关有价凭证等的保管</w:t>
      </w:r>
    </w:p>
    <w:p w:rsidR="00682DA0" w:rsidRDefault="00B5345A">
      <w:pPr>
        <w:adjustRightInd w:val="0"/>
        <w:snapToGrid w:val="0"/>
        <w:ind w:firstLineChars="200" w:firstLine="480"/>
        <w:rPr>
          <w:rFonts w:ascii="彩虹粗仿宋" w:eastAsia="彩虹粗仿宋" w:hAnsi="宋体" w:cs="Arial"/>
        </w:rPr>
      </w:pPr>
      <w:r>
        <w:rPr>
          <w:rFonts w:ascii="彩虹粗仿宋" w:eastAsia="彩虹粗仿宋" w:hAnsi="宋体" w:cs="Arial" w:hint="eastAsia"/>
          <w:sz w:val="24"/>
        </w:rPr>
        <w:t>基金财产投资的有关实物证券、银行</w:t>
      </w:r>
      <w:r>
        <w:rPr>
          <w:rFonts w:ascii="彩虹粗仿宋" w:eastAsia="彩虹粗仿宋" w:hint="eastAsia"/>
          <w:sz w:val="24"/>
        </w:rPr>
        <w:t>存款开户证实书</w:t>
      </w:r>
      <w:r>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等有价凭证由基金托管人存放于基金托管人的保管库，也可存入中央国债登记结算有限责任公司、中国证券登记结算有限责任公司上海分公司/深圳分公司/北京分公司、银行间市场清算</w:t>
      </w:r>
      <w:r>
        <w:rPr>
          <w:rFonts w:ascii="彩虹粗仿宋" w:eastAsia="彩虹粗仿宋" w:hAnsi="宋体" w:cs="Arial" w:hint="eastAsia"/>
          <w:sz w:val="24"/>
        </w:rPr>
        <w:lastRenderedPageBreak/>
        <w:t>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（八）与基金财产有关的重大合同的保管</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w:t>
      </w:r>
      <w:r>
        <w:rPr>
          <w:rFonts w:ascii="彩虹粗仿宋" w:eastAsia="彩虹粗仿宋" w:hAnsi="宋体" w:cs="Arial"/>
          <w:sz w:val="24"/>
        </w:rPr>
        <w:t>不低于法律法规的规定</w:t>
      </w:r>
      <w:r>
        <w:rPr>
          <w:rFonts w:ascii="彩虹粗仿宋" w:eastAsia="彩虹粗仿宋" w:hAnsi="宋体" w:cs="Arial" w:hint="eastAsia"/>
          <w:sz w:val="24"/>
        </w:rPr>
        <w:t>。</w:t>
      </w:r>
    </w:p>
    <w:p w:rsidR="00682DA0" w:rsidRDefault="00B5345A">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对于无法取得二份以上的正本的，基金管理人应向基金托管人提供加盖公章的合同传真件，未经双方协商一致，合同原件不得转移。</w:t>
      </w:r>
    </w:p>
    <w:p w:rsidR="00682DA0" w:rsidRDefault="00682DA0">
      <w:pPr>
        <w:adjustRightInd w:val="0"/>
        <w:snapToGrid w:val="0"/>
        <w:ind w:firstLineChars="200" w:firstLine="600"/>
        <w:rPr>
          <w:rFonts w:ascii="彩虹粗仿宋" w:eastAsia="彩虹粗仿宋"/>
          <w:sz w:val="30"/>
          <w:szCs w:val="30"/>
        </w:rPr>
      </w:pPr>
    </w:p>
    <w:p w:rsidR="00682DA0" w:rsidRDefault="00682DA0">
      <w:pPr>
        <w:rPr>
          <w:rFonts w:ascii="彩虹粗仿宋" w:eastAsia="彩虹粗仿宋"/>
          <w:sz w:val="24"/>
        </w:rPr>
      </w:pPr>
    </w:p>
    <w:p w:rsidR="00682DA0" w:rsidRDefault="00B5345A">
      <w:pPr>
        <w:pStyle w:val="2"/>
        <w:jc w:val="center"/>
        <w:rPr>
          <w:rFonts w:ascii="彩虹粗仿宋" w:eastAsia="彩虹粗仿宋"/>
          <w:sz w:val="30"/>
        </w:rPr>
      </w:pPr>
      <w:bookmarkStart w:id="50" w:name="_Toc110830494"/>
      <w:bookmarkStart w:id="51" w:name="_Toc84234436"/>
      <w:bookmarkStart w:id="52" w:name="_Toc118972650"/>
      <w:bookmarkStart w:id="53" w:name="_Toc118212952"/>
      <w:bookmarkStart w:id="54" w:name="_Toc86223244"/>
      <w:bookmarkStart w:id="55" w:name="_Toc86204790"/>
      <w:bookmarkStart w:id="56" w:name="_Toc108512360"/>
      <w:bookmarkStart w:id="57" w:name="_Toc110765662"/>
      <w:bookmarkStart w:id="58" w:name="_Toc120435785"/>
      <w:bookmarkStart w:id="59" w:name="_Toc84234389"/>
      <w:bookmarkStart w:id="60" w:name="_Toc86727357"/>
      <w:bookmarkStart w:id="61" w:name="_Toc84133787"/>
      <w:bookmarkStart w:id="62" w:name="_Toc86726441"/>
      <w:bookmarkStart w:id="63" w:name="_Toc124325890"/>
      <w:bookmarkStart w:id="64" w:name="_Toc118774805"/>
      <w:bookmarkStart w:id="65" w:name="_Toc119402712"/>
      <w:bookmarkStart w:id="66" w:name="_Toc86737931"/>
      <w:bookmarkStart w:id="67" w:name="_Toc110761798"/>
      <w:bookmarkStart w:id="68" w:name="_Toc86225293"/>
      <w:bookmarkStart w:id="69" w:name="_Toc89163370"/>
      <w:bookmarkStart w:id="70" w:name="_Toc86649724"/>
      <w:r>
        <w:rPr>
          <w:rFonts w:ascii="彩虹粗仿宋" w:eastAsia="彩虹粗仿宋" w:hint="eastAsia"/>
          <w:sz w:val="30"/>
        </w:rPr>
        <w:t>六、指令的发送、确认及执行</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682DA0" w:rsidRDefault="00B5345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682DA0" w:rsidRDefault="00B5345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（一）基金管理人对发送指令人员的书面授权</w:t>
      </w:r>
    </w:p>
    <w:p w:rsidR="00682DA0" w:rsidRDefault="00B5345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1.基金管理人应指定专人向基金托管人发送指令。</w:t>
      </w:r>
    </w:p>
    <w:p w:rsidR="00682DA0" w:rsidRDefault="00B5345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682DA0" w:rsidRDefault="00B5345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rsidR="00682DA0" w:rsidRDefault="00B5345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682DA0" w:rsidRDefault="00B5345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（二）指令的内容</w:t>
      </w:r>
    </w:p>
    <w:p w:rsidR="00682DA0" w:rsidRDefault="00B5345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1.指令包括付款指令以及其他资金划拨指令等。</w:t>
      </w:r>
    </w:p>
    <w:p w:rsidR="00682DA0" w:rsidRDefault="00B5345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682DA0" w:rsidRDefault="00B5345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（三）指令的发送、确认及执行的时间和程序</w:t>
      </w:r>
    </w:p>
    <w:p w:rsidR="00682DA0" w:rsidRDefault="00B5345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1.指令的发送</w:t>
      </w:r>
    </w:p>
    <w:p w:rsidR="00682DA0" w:rsidRDefault="00B5345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指令应采用SWIFT、境外网银、传真方式或双方协商一致的其他方式。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并且基金托管人根据本协议确认后，则对于此后该交易指令发送人员无权发送的指令，或超权限发送的指令，基金管理人不承担责任，授权已更改但未经基金托管人确认的情况除外。</w:t>
      </w:r>
    </w:p>
    <w:p w:rsidR="00682DA0" w:rsidRDefault="00B5345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指令发出后，基金管理人应及时以电话方式向基金托管人确认。</w:t>
      </w:r>
    </w:p>
    <w:p w:rsidR="00682DA0" w:rsidRDefault="00B5345A">
      <w:pPr>
        <w:adjustRightInd w:val="0"/>
        <w:snapToGrid w:val="0"/>
        <w:ind w:firstLine="480"/>
        <w:rPr>
          <w:rFonts w:ascii="彩虹粗仿宋" w:eastAsia="彩虹粗仿宋" w:hAnsi="宋体" w:cs="Arial"/>
          <w:sz w:val="24"/>
        </w:rPr>
      </w:pPr>
      <w:r>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682DA0" w:rsidRDefault="00B5345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2.指令的确认</w:t>
      </w:r>
    </w:p>
    <w:p w:rsidR="00682DA0" w:rsidRDefault="00B5345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通知进行表面真实性及权限范围核对，复核无误后应在规定期限内执行，不得延误，如有疑问必须及时通知基金管理人。</w:t>
      </w:r>
    </w:p>
    <w:p w:rsidR="00682DA0" w:rsidRDefault="00B5345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3.指令的时间和执行</w:t>
      </w:r>
    </w:p>
    <w:p w:rsidR="00682DA0" w:rsidRDefault="00B5345A">
      <w:pPr>
        <w:pStyle w:val="a5"/>
        <w:spacing w:line="240" w:lineRule="auto"/>
        <w:ind w:firstLineChars="0"/>
        <w:rPr>
          <w:rFonts w:ascii="彩虹粗仿宋" w:eastAsia="彩虹粗仿宋" w:hAnsi="宋体" w:cs="Arial"/>
        </w:rPr>
      </w:pPr>
      <w:r>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w:t>
      </w:r>
      <w:r>
        <w:rPr>
          <w:rFonts w:ascii="彩虹粗仿宋" w:eastAsia="彩虹粗仿宋" w:hAnsi="宋体" w:cs="Arial" w:hint="eastAsia"/>
          <w:szCs w:val="24"/>
        </w:rPr>
        <w:t>对于中国证券登记结算有限责任公司实行T+0非担保交收的业务，基金管理人应在交易日14：00</w:t>
      </w:r>
      <w:r>
        <w:rPr>
          <w:rFonts w:ascii="彩虹粗仿宋" w:eastAsia="彩虹粗仿宋" w:hAnsi="宋体" w:cs="Arial" w:hint="eastAsia"/>
        </w:rPr>
        <w:t>前</w:t>
      </w:r>
      <w:r>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将划款指令发送至托管人。因基金管理人指令传输不及时，致使资金未能及时划入中登公司所造成的损失由基金管理人承担，包括赔偿在该市场引起其他托管客户交易失败、赔偿因占用</w:t>
      </w:r>
      <w:r>
        <w:rPr>
          <w:rFonts w:ascii="彩虹粗仿宋" w:eastAsia="彩虹粗仿宋" w:hAnsi="宋体" w:cs="Arial" w:hint="eastAsia"/>
        </w:rPr>
        <w:t>结算参与人</w:t>
      </w:r>
      <w:r>
        <w:rPr>
          <w:rFonts w:ascii="彩虹粗仿宋" w:eastAsia="彩虹粗仿宋" w:hAnsi="宋体" w:cs="Arial" w:hint="eastAsia"/>
          <w:szCs w:val="24"/>
        </w:rPr>
        <w:t>最低备付金带来的利息损失</w:t>
      </w:r>
      <w:r>
        <w:rPr>
          <w:rFonts w:ascii="彩虹粗仿宋" w:eastAsia="彩虹粗仿宋" w:hAnsi="宋体" w:cs="Arial" w:hint="eastAsia"/>
        </w:rPr>
        <w:t>。</w:t>
      </w:r>
      <w:r>
        <w:rPr>
          <w:rFonts w:ascii="彩虹粗仿宋" w:eastAsia="彩虹粗仿宋" w:hAnsi="宋体" w:cs="Arial" w:hint="eastAsia"/>
          <w:szCs w:val="24"/>
        </w:rPr>
        <w:t>基金管理人应确保基金托管人在执行指令</w:t>
      </w:r>
      <w:r>
        <w:rPr>
          <w:rFonts w:ascii="彩虹粗仿宋" w:eastAsia="彩虹粗仿宋" w:hAnsi="宋体" w:cs="Arial" w:hint="eastAsia"/>
          <w:szCs w:val="24"/>
        </w:rPr>
        <w:lastRenderedPageBreak/>
        <w:t>时，基金资金账户有足够的资金余额，</w:t>
      </w:r>
      <w:r>
        <w:rPr>
          <w:rFonts w:ascii="彩虹粗仿宋" w:eastAsia="彩虹粗仿宋" w:hAnsi="宋体" w:cs="Arial" w:hint="eastAsia"/>
        </w:rPr>
        <w:t>在基金资金头寸充足的情况下，基金托管人对基金管理人符合法律法规、《基金合同》、本协议的指令不得拖延或拒绝执行。</w:t>
      </w:r>
    </w:p>
    <w:p w:rsidR="00682DA0" w:rsidRDefault="00B5345A">
      <w:pPr>
        <w:pStyle w:val="a5"/>
        <w:spacing w:line="240" w:lineRule="auto"/>
        <w:ind w:firstLineChars="0"/>
        <w:rPr>
          <w:rFonts w:ascii="彩虹粗仿宋" w:eastAsia="彩虹粗仿宋" w:hAnsi="宋体" w:cs="Arial"/>
        </w:rPr>
      </w:pPr>
      <w:r>
        <w:rPr>
          <w:rFonts w:ascii="彩虹粗仿宋" w:eastAsia="彩虹粗仿宋" w:hAnsi="宋体" w:cs="Arial" w:hint="eastAsia"/>
        </w:rPr>
        <w:t>对于结售汇指令，应于交易日当日16：00前向基金托管人发送交割指令并确认。对于跨境划款指令，应于付款日前1个工作日17:30前向基金托管人发送指令并确认。对于境外证券交割指令，根据所投资市场的不同另行约定。由基金管理人或其授权的境外投资顾问原因造成的指令传输不及时、未能留出足够划款所需时间，致使资金未能及时到账所造成的损失由基金管理人承担。基金管理人应确保基金托管人在执行指令时，托管资金账户有足够的资金余额，在资金头寸充足的情况下，基金托管人对符合法律法规、本合同要求的指令不得拖延或拒绝执行。</w:t>
      </w:r>
    </w:p>
    <w:p w:rsidR="00682DA0" w:rsidRDefault="00B5345A">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基金托管人应当按照收到的基金管理人的指令行事。若基金托管人合理确定基金管理人指令有任何模糊或不完整，其应在收到指令后及时就该等指令向基金管理人寻求澄清或确认，以保证在约定的结算截止时限以前对其境外托管人发送交割指令。在未收到基金管理人澄清或确认的情况下，基金托管人可以本着诚信原则拒绝执行有关指令，基金托管人不对在寻求澄清或确认期间造成的延误所导致的损失负责，由于基金托管人的故意不当行为、欺诈、疏忽或者违约造成的除外。</w:t>
      </w:r>
    </w:p>
    <w:p w:rsidR="00682DA0" w:rsidRDefault="00B5345A">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如果没有其他另外的说明，所有的指令在取消或被取代前均是有效的。</w:t>
      </w:r>
    </w:p>
    <w:p w:rsidR="00682DA0" w:rsidRDefault="00B5345A">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由于基金托管人按照法律法规执行基金管理人指令而引起的任何可能发生的损失，均由基金管理人负责，由于基金托管人的故意、疏忽、失职或不诚之举造成的除外。</w:t>
      </w:r>
    </w:p>
    <w:p w:rsidR="00682DA0" w:rsidRDefault="00B5345A">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基金管理人在下达指令时，应给基金托管人留出足够、合理的划款时间。</w:t>
      </w:r>
    </w:p>
    <w:p w:rsidR="00682DA0" w:rsidRDefault="00B5345A">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由于头寸管理不善导致的透支及相关损失，由基金管理人承担。</w:t>
      </w:r>
    </w:p>
    <w:p w:rsidR="00682DA0" w:rsidRDefault="00682DA0">
      <w:pPr>
        <w:pStyle w:val="a5"/>
        <w:spacing w:line="240" w:lineRule="auto"/>
        <w:ind w:firstLineChars="0"/>
        <w:rPr>
          <w:rFonts w:ascii="彩虹粗仿宋" w:eastAsia="彩虹粗仿宋" w:hAnsi="宋体" w:cs="Arial"/>
          <w:szCs w:val="24"/>
          <w:shd w:val="pct10" w:color="auto" w:fill="FFFFFF"/>
        </w:rPr>
      </w:pPr>
    </w:p>
    <w:p w:rsidR="00682DA0" w:rsidRDefault="00B5345A">
      <w:pPr>
        <w:pStyle w:val="a5"/>
        <w:spacing w:line="240" w:lineRule="auto"/>
        <w:ind w:firstLineChars="0"/>
        <w:rPr>
          <w:rFonts w:ascii="彩虹粗仿宋" w:eastAsia="彩虹粗仿宋" w:hAnsi="宋体" w:cs="Arial"/>
        </w:rPr>
      </w:pPr>
      <w:r>
        <w:rPr>
          <w:rFonts w:ascii="彩虹粗仿宋" w:eastAsia="彩虹粗仿宋" w:hAnsi="宋体" w:cs="Arial" w:hint="eastAsia"/>
        </w:rPr>
        <w:t>（四）基金管理人发送错误指令的情形和处理程序</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基金管理人发送错误指令的情形包括指令违反法律法规和《基金合同》，指令发送人员无权或超越权限发送指令。</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682DA0" w:rsidRDefault="00B5345A">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基金托管人没有调查任何指令是否符合境外法律法规规定或市场惯例的义务，但如果基金托管人有合理理由，认为指令与境外投资地法律、法规和市场惯例不符，基金托管人可无须按指令行事，基金托管人应当在收到指令后及时通知基金</w:t>
      </w:r>
      <w:r>
        <w:rPr>
          <w:rFonts w:ascii="彩虹粗仿宋" w:eastAsia="彩虹粗仿宋" w:hAnsi="宋体" w:cs="Arial" w:hint="eastAsia"/>
          <w:kern w:val="0"/>
          <w:sz w:val="24"/>
        </w:rPr>
        <w:lastRenderedPageBreak/>
        <w:t>管理人并出具拒绝执行指令的合理证据或理由，并要求基金管理人予以修订或修正。在未收到基金管理人修订或修正的情况下，基金托管人可以本着诚信原则拒绝执行有关指令，直至基金管理人发送经修订或修正的指令为止。</w:t>
      </w:r>
    </w:p>
    <w:p w:rsidR="00682DA0" w:rsidRDefault="00682DA0">
      <w:pPr>
        <w:adjustRightInd w:val="0"/>
        <w:snapToGrid w:val="0"/>
        <w:ind w:firstLineChars="200" w:firstLine="480"/>
        <w:rPr>
          <w:rFonts w:ascii="彩虹粗仿宋" w:eastAsia="彩虹粗仿宋" w:hAnsi="宋体" w:cs="Arial"/>
          <w:sz w:val="24"/>
        </w:rPr>
      </w:pP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（五）基金托管人依照法律法规暂缓、拒绝执行指令的情形和处理程序</w:t>
      </w:r>
    </w:p>
    <w:p w:rsidR="00682DA0" w:rsidRDefault="00B5345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若基金托管人发现基金管理人的指令违反法律法规，或者违反《基金合同》约定的，应当拒绝执行，立即通知基金管理人。</w:t>
      </w:r>
    </w:p>
    <w:p w:rsidR="00682DA0" w:rsidRDefault="00B5345A">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基金管理人和基金托管人将另行约定某些指令的接收截止时间。如果非因基金托管人本身原因，基金托管人在截止时间后收到指令，为保障基金管理人交易安全，应在收到指令后及时通知基金管理人并要求基金管理人确认是否继续执行。在未收到基金管理人确认的情况下，基金托管人可以本着诚信原则拒绝执行有关指令，直至基金管理人确认继续执行为止。同时，基金托管人不对基金管理人因指令在规定时间后发出所造成的损失承担责任，由于基金托管人的故意不当行为、欺诈、疏忽或者违约造成的除外。</w:t>
      </w:r>
    </w:p>
    <w:p w:rsidR="00682DA0" w:rsidRDefault="00682DA0">
      <w:pPr>
        <w:adjustRightInd w:val="0"/>
        <w:snapToGrid w:val="0"/>
        <w:ind w:firstLine="480"/>
        <w:rPr>
          <w:rFonts w:ascii="彩虹粗仿宋" w:eastAsia="彩虹粗仿宋" w:hAnsi="宋体" w:cs="Arial"/>
          <w:sz w:val="24"/>
        </w:rPr>
      </w:pPr>
    </w:p>
    <w:p w:rsidR="00682DA0" w:rsidRDefault="00B5345A">
      <w:pPr>
        <w:pStyle w:val="a5"/>
        <w:spacing w:line="240" w:lineRule="auto"/>
        <w:ind w:firstLineChars="0"/>
        <w:rPr>
          <w:rFonts w:ascii="彩虹粗仿宋" w:eastAsia="彩虹粗仿宋" w:hAnsi="宋体" w:cs="Arial"/>
        </w:rPr>
      </w:pPr>
      <w:r>
        <w:rPr>
          <w:rFonts w:ascii="彩虹粗仿宋" w:eastAsia="彩虹粗仿宋" w:hAnsi="宋体" w:cs="Arial" w:hint="eastAsia"/>
        </w:rPr>
        <w:t>（六）指令授权</w:t>
      </w:r>
    </w:p>
    <w:p w:rsidR="00682DA0" w:rsidRDefault="00B5345A">
      <w:pPr>
        <w:pStyle w:val="a5"/>
        <w:spacing w:line="240" w:lineRule="auto"/>
        <w:ind w:firstLineChars="0"/>
        <w:rPr>
          <w:rFonts w:ascii="彩虹粗仿宋" w:eastAsia="彩虹粗仿宋" w:hAnsi="宋体" w:cs="Arial"/>
        </w:rPr>
      </w:pPr>
      <w:r>
        <w:rPr>
          <w:rFonts w:ascii="彩虹粗仿宋" w:eastAsia="彩虹粗仿宋" w:hAnsi="宋体" w:cs="Arial" w:hint="eastAsia"/>
        </w:rPr>
        <w:t>基金管理人需提供经授权的业务操作人员名单，并预留授权人签章样本，在指令无法以SWIFT发送的情况下，由经授权人员签章，发出相应书面指令。基金托管人在以合理审慎对签章进行形式审查后方可执行，但在任何情况下，上述形式审查不得延误对指令的执行。基金管理人应负责确保只由被授权人向基金托管人发送该等书面指令。</w:t>
      </w:r>
    </w:p>
    <w:p w:rsidR="00682DA0" w:rsidRDefault="00B5345A">
      <w:pPr>
        <w:pStyle w:val="a5"/>
        <w:spacing w:line="240" w:lineRule="auto"/>
        <w:ind w:firstLineChars="0"/>
        <w:rPr>
          <w:rFonts w:ascii="彩虹粗仿宋" w:eastAsia="彩虹粗仿宋" w:hAnsi="宋体" w:cs="Arial"/>
        </w:rPr>
      </w:pPr>
      <w:r>
        <w:rPr>
          <w:rFonts w:ascii="彩虹粗仿宋" w:eastAsia="彩虹粗仿宋" w:hAnsi="宋体" w:cs="Arial" w:hint="eastAsia"/>
        </w:rPr>
        <w:t>（七）授权变更</w:t>
      </w:r>
    </w:p>
    <w:p w:rsidR="00682DA0" w:rsidRDefault="00B5345A">
      <w:pPr>
        <w:pStyle w:val="a5"/>
        <w:spacing w:line="240" w:lineRule="auto"/>
        <w:ind w:firstLineChars="0"/>
        <w:rPr>
          <w:rFonts w:ascii="彩虹粗仿宋" w:eastAsia="彩虹粗仿宋" w:hAnsi="宋体" w:cs="Arial"/>
        </w:rPr>
      </w:pPr>
      <w:r>
        <w:rPr>
          <w:rFonts w:ascii="彩虹粗仿宋" w:eastAsia="彩虹粗仿宋" w:hAnsi="宋体" w:cs="Arial" w:hint="eastAsia"/>
        </w:rPr>
        <w:t>基金管理人更改或终止被授权人的授权，应提前通知基金托管人并提供新的被授权人名单、预留签章样本。基金托管人应在收到授权文件原件当日银行营业时间结束前将回函传真至基金管理人并电话确认。被授权人变更或终止通知，自基金管理人收到基金托管人以传真形式发出的回函确认时开始生效。</w:t>
      </w:r>
    </w:p>
    <w:p w:rsidR="00682DA0" w:rsidRDefault="00B5345A">
      <w:pPr>
        <w:pStyle w:val="a5"/>
        <w:spacing w:line="240" w:lineRule="auto"/>
        <w:ind w:firstLineChars="0"/>
        <w:rPr>
          <w:rFonts w:ascii="彩虹粗仿宋" w:eastAsia="彩虹粗仿宋" w:hAnsi="宋体" w:cs="Arial"/>
        </w:rPr>
      </w:pPr>
      <w:r>
        <w:rPr>
          <w:rFonts w:ascii="彩虹粗仿宋" w:eastAsia="彩虹粗仿宋" w:hAnsi="宋体" w:cs="Arial" w:hint="eastAsia"/>
        </w:rPr>
        <w:t>基金管理人发送的指令，应在基金托管人规定的截止时间发出。指令传输不及时、未能留出足够的划款时间，致使资金未能及时到账所造成的损失由基金管理人承担。</w:t>
      </w:r>
    </w:p>
    <w:p w:rsidR="00682DA0" w:rsidRDefault="00B5345A">
      <w:pPr>
        <w:adjustRightInd w:val="0"/>
        <w:snapToGrid w:val="0"/>
        <w:ind w:firstLine="480"/>
        <w:rPr>
          <w:rFonts w:ascii="彩虹粗仿宋" w:eastAsia="彩虹粗仿宋" w:hAnsi="宋体" w:cs="Arial"/>
          <w:bCs/>
          <w:sz w:val="24"/>
        </w:rPr>
      </w:pPr>
      <w:r>
        <w:rPr>
          <w:rFonts w:ascii="彩虹粗仿宋" w:eastAsia="彩虹粗仿宋" w:hAnsi="宋体" w:cs="Arial" w:hint="eastAsia"/>
          <w:sz w:val="24"/>
        </w:rPr>
        <w:t>（八）</w:t>
      </w:r>
      <w:r>
        <w:rPr>
          <w:rFonts w:ascii="彩虹粗仿宋" w:eastAsia="彩虹粗仿宋" w:hAnsi="宋体" w:cs="Arial" w:hint="eastAsia"/>
          <w:bCs/>
          <w:sz w:val="24"/>
        </w:rPr>
        <w:t>委托第三方发送指令的情形</w:t>
      </w:r>
    </w:p>
    <w:p w:rsidR="00682DA0" w:rsidRDefault="00B5345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1.基金管理人可委托第三方发送指令，</w:t>
      </w:r>
      <w:r>
        <w:rPr>
          <w:rFonts w:ascii="彩虹粗仿宋" w:eastAsia="彩虹粗仿宋" w:hAnsi="宋体" w:cs="Arial" w:hint="eastAsia"/>
          <w:kern w:val="0"/>
          <w:sz w:val="24"/>
        </w:rPr>
        <w:t>基金管理人在委托第三方发送指令前，应提供正式的书面授权，</w:t>
      </w:r>
      <w:r>
        <w:rPr>
          <w:rFonts w:ascii="彩虹粗仿宋" w:eastAsia="彩虹粗仿宋" w:hAnsi="宋体" w:cs="Arial" w:hint="eastAsia"/>
          <w:sz w:val="24"/>
        </w:rPr>
        <w:t>基金托管人视同为基金管理人发送的有效指令需载明如下内容：</w:t>
      </w:r>
    </w:p>
    <w:p w:rsidR="00682DA0" w:rsidRDefault="00B5345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（1）SWIFT指令发报方BIC（Bank Identifier Code）；</w:t>
      </w:r>
    </w:p>
    <w:p w:rsidR="00682DA0" w:rsidRDefault="00B5345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（2）SWIFT指令账户栏位中载明境外证券投资托管账户号；</w:t>
      </w:r>
    </w:p>
    <w:p w:rsidR="00682DA0" w:rsidRDefault="00B5345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（3）适用的SWIFT 报文类型和SWIFT报文发送时间。</w:t>
      </w:r>
    </w:p>
    <w:p w:rsidR="00682DA0" w:rsidRDefault="00B5345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上述内容由基金管理人提前以书面形式告知基金托管人。</w:t>
      </w:r>
    </w:p>
    <w:p w:rsidR="00682DA0" w:rsidRDefault="00B5345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若第三方发送指令存在错误、延误等不当行为，由此给基金资产以及交易对手方、经纪商等相关第三方造成的损失，由基金管理人承担责任；由于第三方发送指令存在错误、延误等不当行为所造成的一切法律后果，基金托管人均不承担任何责任。</w:t>
      </w:r>
    </w:p>
    <w:p w:rsidR="00682DA0" w:rsidRDefault="00B5345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（九）其他事项</w:t>
      </w:r>
    </w:p>
    <w:p w:rsidR="00682DA0" w:rsidRDefault="00B5345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682DA0" w:rsidRDefault="00B5345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682DA0" w:rsidRDefault="00B5345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经与基金托管人及境外托管人协商一致，当基金管理人需要时，基金托管人及境外托管人可以提供备用信贷服务，具体操作按照届时签订的备用信贷操作备忘录执行。</w:t>
      </w:r>
    </w:p>
    <w:p w:rsidR="00682DA0" w:rsidRDefault="00682DA0">
      <w:pPr>
        <w:adjustRightInd w:val="0"/>
        <w:snapToGrid w:val="0"/>
        <w:rPr>
          <w:rFonts w:ascii="彩虹粗仿宋" w:eastAsia="彩虹粗仿宋" w:hAnsi="宋体" w:cs="Arial"/>
          <w:sz w:val="24"/>
        </w:rPr>
      </w:pPr>
    </w:p>
    <w:p w:rsidR="00682DA0" w:rsidRDefault="00B5345A">
      <w:pPr>
        <w:pStyle w:val="2"/>
        <w:jc w:val="center"/>
        <w:rPr>
          <w:rFonts w:ascii="彩虹粗仿宋" w:eastAsia="彩虹粗仿宋"/>
          <w:sz w:val="30"/>
        </w:rPr>
      </w:pPr>
      <w:bookmarkStart w:id="71" w:name="_Toc120435786"/>
      <w:bookmarkStart w:id="72" w:name="_Toc118774806"/>
      <w:bookmarkStart w:id="73" w:name="_Toc86223245"/>
      <w:bookmarkStart w:id="74" w:name="_Toc86737932"/>
      <w:bookmarkStart w:id="75" w:name="_Toc110830495"/>
      <w:bookmarkStart w:id="76" w:name="_Toc108512361"/>
      <w:bookmarkStart w:id="77" w:name="_Toc86727358"/>
      <w:bookmarkStart w:id="78" w:name="_Toc110761799"/>
      <w:bookmarkStart w:id="79" w:name="_Toc86225294"/>
      <w:bookmarkStart w:id="80" w:name="_Toc86726442"/>
      <w:bookmarkStart w:id="81" w:name="_Toc124325891"/>
      <w:bookmarkStart w:id="82" w:name="_Toc110765663"/>
      <w:bookmarkStart w:id="83" w:name="_Toc118972651"/>
      <w:bookmarkStart w:id="84" w:name="_Toc118212953"/>
      <w:bookmarkStart w:id="85" w:name="_Toc86649725"/>
      <w:bookmarkStart w:id="86" w:name="_Toc89163371"/>
      <w:bookmarkStart w:id="87" w:name="_Toc84234437"/>
      <w:bookmarkStart w:id="88" w:name="_Toc86204791"/>
      <w:bookmarkStart w:id="89" w:name="_Toc119402713"/>
      <w:bookmarkStart w:id="90" w:name="_Toc84234390"/>
      <w:bookmarkStart w:id="91" w:name="_Toc84133788"/>
      <w:r>
        <w:rPr>
          <w:rFonts w:ascii="彩虹粗仿宋" w:eastAsia="彩虹粗仿宋" w:hint="eastAsia"/>
          <w:sz w:val="30"/>
        </w:rPr>
        <w:t>七、交易及清算交收安排</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682DA0" w:rsidRDefault="00B5345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（一）选择证券、期货买卖的证券、期货经营机构</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负责选择代理本基金股指期货交易的期货经纪机构，并与其签订期货经纪合同，其他事宜根据法律法规、《基金合同》的相关规定执行，若无明确规定的，可参照有关证券买卖、证券经纪机构选择的规则执行。</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本基金在开始进行期货投资之前，应与基金托管人、期货公司三方一同就期</w:t>
      </w:r>
      <w:r>
        <w:rPr>
          <w:rFonts w:ascii="彩虹粗仿宋" w:eastAsia="彩虹粗仿宋" w:hAnsi="宋体" w:cs="Arial" w:hint="eastAsia"/>
          <w:sz w:val="24"/>
        </w:rPr>
        <w:lastRenderedPageBreak/>
        <w:t>货开户、清算、估值、交收等事宜另行签署《期货投资托管操作三方备忘录》。</w:t>
      </w:r>
    </w:p>
    <w:p w:rsidR="00682DA0" w:rsidRDefault="00682DA0">
      <w:pPr>
        <w:adjustRightInd w:val="0"/>
        <w:snapToGrid w:val="0"/>
        <w:ind w:firstLineChars="200" w:firstLine="480"/>
        <w:rPr>
          <w:rFonts w:ascii="彩虹粗仿宋" w:eastAsia="彩虹粗仿宋" w:hAnsi="宋体" w:cs="Arial"/>
          <w:sz w:val="24"/>
        </w:rPr>
      </w:pPr>
    </w:p>
    <w:p w:rsidR="00682DA0" w:rsidRDefault="00B5345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（二）基金投资证券后的清算交收安排</w:t>
      </w:r>
    </w:p>
    <w:p w:rsidR="00682DA0" w:rsidRDefault="00B5345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1.清算与交割</w:t>
      </w:r>
    </w:p>
    <w:p w:rsidR="00682DA0" w:rsidRDefault="00B5345A">
      <w:pPr>
        <w:adjustRightInd w:val="0"/>
        <w:snapToGrid w:val="0"/>
        <w:ind w:firstLine="480"/>
        <w:rPr>
          <w:rFonts w:ascii="彩虹粗仿宋" w:eastAsia="彩虹粗仿宋"/>
          <w:sz w:val="24"/>
        </w:rPr>
      </w:pPr>
      <w:r>
        <w:rPr>
          <w:rFonts w:ascii="彩虹粗仿宋" w:eastAsia="彩虹粗仿宋" w:hint="eastAsia"/>
          <w:sz w:val="24"/>
        </w:rPr>
        <w:t>基金管理人与基金托管人应根据有关法律法规及相关业务规则，签订《托管银行证券资金结算协议》，如投资港股通，还需签订《证券投资基金港股通结算补充协议》用以具体明确基金管理人与基金托管人在证券交易资金结算业务中的责任。</w:t>
      </w:r>
    </w:p>
    <w:p w:rsidR="00682DA0" w:rsidRDefault="00B5345A">
      <w:pPr>
        <w:adjustRightInd w:val="0"/>
        <w:snapToGrid w:val="0"/>
        <w:ind w:firstLine="480"/>
        <w:rPr>
          <w:rFonts w:ascii="彩虹粗仿宋" w:eastAsia="彩虹粗仿宋"/>
          <w:bCs/>
          <w:sz w:val="24"/>
        </w:rPr>
      </w:pPr>
      <w:r>
        <w:rPr>
          <w:rFonts w:ascii="彩虹粗仿宋" w:eastAsia="彩虹粗仿宋" w:hint="eastAsia"/>
          <w:bCs/>
          <w:sz w:val="24"/>
        </w:rPr>
        <w:t>（</w:t>
      </w:r>
      <w:r>
        <w:rPr>
          <w:rFonts w:ascii="彩虹粗仿宋" w:eastAsia="彩虹粗仿宋"/>
          <w:bCs/>
          <w:sz w:val="24"/>
        </w:rPr>
        <w:t>1</w:t>
      </w:r>
      <w:r>
        <w:rPr>
          <w:rFonts w:ascii="彩虹粗仿宋" w:eastAsia="彩虹粗仿宋" w:hint="eastAsia"/>
          <w:bCs/>
          <w:sz w:val="24"/>
        </w:rPr>
        <w:t>）境外证券结算指令</w:t>
      </w:r>
    </w:p>
    <w:p w:rsidR="00682DA0" w:rsidRDefault="00B5345A">
      <w:pPr>
        <w:adjustRightInd w:val="0"/>
        <w:snapToGrid w:val="0"/>
        <w:ind w:firstLine="480"/>
        <w:rPr>
          <w:rFonts w:ascii="彩虹粗仿宋" w:eastAsia="彩虹粗仿宋"/>
          <w:sz w:val="24"/>
        </w:rPr>
      </w:pPr>
      <w:r>
        <w:rPr>
          <w:rFonts w:ascii="彩虹粗仿宋" w:eastAsia="彩虹粗仿宋" w:hint="eastAsia"/>
          <w:sz w:val="24"/>
        </w:rPr>
        <w:t>基金托管人可将基金买卖证券的清算交收、资金汇划及交易过户记录获取等职责委托给境外托管人。</w:t>
      </w:r>
    </w:p>
    <w:p w:rsidR="00682DA0" w:rsidRDefault="00B5345A">
      <w:pPr>
        <w:adjustRightInd w:val="0"/>
        <w:snapToGrid w:val="0"/>
        <w:ind w:firstLine="480"/>
        <w:rPr>
          <w:rFonts w:ascii="彩虹粗仿宋" w:eastAsia="彩虹粗仿宋"/>
          <w:sz w:val="24"/>
        </w:rPr>
      </w:pPr>
      <w:r>
        <w:rPr>
          <w:rFonts w:ascii="彩虹粗仿宋" w:eastAsia="彩虹粗仿宋" w:hint="eastAsia"/>
          <w:sz w:val="24"/>
        </w:rPr>
        <w:t>基金管理人在结算指令截止时间（另行约定）之前向基金托管人发出结算指令，该等指令需按照双方约定，包含所有要素。基金托管人应及时将该结算指令按约定方式发送给其委托的境外托管人。境外托管人根据投资地交易规则准确及时地办理结算。除基金托管人或其委托的境外托管人故意不当行为、欺诈、疏忽或者违约之外，基金托管人或其委托的境外托管人不承担其以符合法律法规、相关投资产品的条款条件及有关市场规则的方式在收到对手方的对价之前交付金融资产或者支付资金的风险损失。基金托管人或其委托的境外托管人在基金管理人的要求下，应协助基金管理人提起法律诉讼或对责任方采取类似措施以追究责任，由此发生的合理费用由基金管理人负责解决，基金托管人不予承担。对于未成功交割的结算指令以及特殊情况下的延迟交收，基金托管人或其委托的境外托管人应及时通知基金管理人，以便于基金管理人和基金托管人共同联系解决。</w:t>
      </w:r>
    </w:p>
    <w:p w:rsidR="00682DA0" w:rsidRDefault="00B5345A">
      <w:pPr>
        <w:adjustRightInd w:val="0"/>
        <w:snapToGrid w:val="0"/>
        <w:ind w:firstLine="480"/>
        <w:rPr>
          <w:rFonts w:ascii="彩虹粗仿宋" w:eastAsia="彩虹粗仿宋"/>
          <w:sz w:val="24"/>
        </w:rPr>
      </w:pPr>
      <w:r>
        <w:rPr>
          <w:rFonts w:ascii="彩虹粗仿宋" w:eastAsia="彩虹粗仿宋" w:hint="eastAsia"/>
          <w:sz w:val="24"/>
        </w:rPr>
        <w:t>基金托管人按基金管理人发送的成交回报或清算交割指令进行相应的会计记录，基金托管人及其境外托管人可根据实际交割情况调整按基金管理人发送的指令所作出的会计记录，基金托管人应通知基金管理人。此种调整所发生的任何支出由基金管理人负责协调解决。</w:t>
      </w:r>
    </w:p>
    <w:p w:rsidR="00682DA0" w:rsidRDefault="00B5345A">
      <w:pPr>
        <w:adjustRightInd w:val="0"/>
        <w:snapToGrid w:val="0"/>
        <w:ind w:firstLine="480"/>
        <w:rPr>
          <w:rFonts w:ascii="彩虹粗仿宋" w:eastAsia="彩虹粗仿宋"/>
          <w:sz w:val="24"/>
        </w:rPr>
      </w:pPr>
      <w:r>
        <w:rPr>
          <w:rFonts w:ascii="彩虹粗仿宋" w:eastAsia="彩虹粗仿宋" w:hint="eastAsia"/>
          <w:sz w:val="24"/>
        </w:rPr>
        <w:t>因基金管理人对基金资产流动性管理不慎，造成的基金资产损失，由基金管理人承担。</w:t>
      </w:r>
    </w:p>
    <w:p w:rsidR="00682DA0" w:rsidRDefault="00B5345A">
      <w:pPr>
        <w:adjustRightInd w:val="0"/>
        <w:snapToGrid w:val="0"/>
        <w:ind w:firstLine="480"/>
        <w:rPr>
          <w:rFonts w:ascii="彩虹粗仿宋" w:eastAsia="彩虹粗仿宋"/>
          <w:bCs/>
          <w:sz w:val="24"/>
        </w:rPr>
      </w:pPr>
      <w:r>
        <w:rPr>
          <w:rFonts w:ascii="彩虹粗仿宋" w:eastAsia="彩虹粗仿宋" w:hint="eastAsia"/>
          <w:bCs/>
          <w:sz w:val="24"/>
        </w:rPr>
        <w:t>（</w:t>
      </w:r>
      <w:r>
        <w:rPr>
          <w:rFonts w:ascii="彩虹粗仿宋" w:eastAsia="彩虹粗仿宋"/>
          <w:bCs/>
          <w:sz w:val="24"/>
        </w:rPr>
        <w:t>2</w:t>
      </w:r>
      <w:r>
        <w:rPr>
          <w:rFonts w:ascii="彩虹粗仿宋" w:eastAsia="彩虹粗仿宋" w:hint="eastAsia"/>
          <w:bCs/>
          <w:sz w:val="24"/>
        </w:rPr>
        <w:t>）期货保证金的划拨</w:t>
      </w:r>
    </w:p>
    <w:p w:rsidR="00682DA0" w:rsidRDefault="00B5345A">
      <w:pPr>
        <w:adjustRightInd w:val="0"/>
        <w:snapToGrid w:val="0"/>
        <w:ind w:firstLine="480"/>
        <w:rPr>
          <w:rFonts w:ascii="彩虹粗仿宋" w:eastAsia="彩虹粗仿宋"/>
          <w:sz w:val="24"/>
        </w:rPr>
      </w:pPr>
      <w:r>
        <w:rPr>
          <w:rFonts w:ascii="彩虹粗仿宋" w:eastAsia="彩虹粗仿宋" w:hint="eastAsia"/>
          <w:sz w:val="24"/>
        </w:rPr>
        <w:t>基金管理人应于T+1日14：00之前以电邮、传真等方式发送期货经纪商的关于追加保证金等事项的报告（statement）给基金托管人，并同时在与基金托管人确认的截至时间点前发送境外账户划付保证金的指令。基金管理人保证境外账户资金余额足够支付保证金。</w:t>
      </w:r>
    </w:p>
    <w:p w:rsidR="00682DA0" w:rsidRDefault="00B5345A">
      <w:pPr>
        <w:adjustRightInd w:val="0"/>
        <w:snapToGrid w:val="0"/>
        <w:ind w:firstLine="480"/>
        <w:rPr>
          <w:rFonts w:ascii="彩虹粗仿宋" w:eastAsia="彩虹粗仿宋"/>
          <w:sz w:val="24"/>
        </w:rPr>
      </w:pPr>
      <w:r>
        <w:rPr>
          <w:rFonts w:ascii="彩虹粗仿宋" w:eastAsia="彩虹粗仿宋" w:hint="eastAsia"/>
          <w:sz w:val="24"/>
        </w:rPr>
        <w:lastRenderedPageBreak/>
        <w:t>如出现影响按时划付保证金的异常情况，基金管理人应及时通知基金托管人，并尽力与期货经纪商争取宽限期或其他解决方法。如因基金管理人提供的付款时效或金额错误而出现影响及时划付保证金的异常情况，由基金管理人承担责任；如果由于基金托管人的故意或过失而出现影响及时划付保证金的异常情况，由基金托管人承担责任。</w:t>
      </w:r>
    </w:p>
    <w:p w:rsidR="00682DA0" w:rsidRDefault="00B5345A">
      <w:pPr>
        <w:adjustRightInd w:val="0"/>
        <w:snapToGrid w:val="0"/>
        <w:ind w:firstLine="480"/>
        <w:rPr>
          <w:rFonts w:ascii="彩虹粗仿宋" w:eastAsia="彩虹粗仿宋"/>
          <w:sz w:val="24"/>
        </w:rPr>
      </w:pPr>
      <w:r>
        <w:rPr>
          <w:rFonts w:ascii="彩虹粗仿宋" w:eastAsia="彩虹粗仿宋" w:hint="eastAsia"/>
          <w:sz w:val="24"/>
        </w:rPr>
        <w:t>基金管理人应负责基金项下现货、期货、赎回等资金的头寸管理，在资金头寸不足的情况下，由基金托管人尽力通知基金管理人，基金管理人应向基金托管人明示清算顺序，如无基金管理人明示的清算顺序，则由境外托管银行按照先现货，后期货的清算顺序进行清算。</w:t>
      </w:r>
    </w:p>
    <w:p w:rsidR="00682DA0" w:rsidRDefault="00B5345A">
      <w:pPr>
        <w:adjustRightInd w:val="0"/>
        <w:snapToGrid w:val="0"/>
        <w:ind w:firstLine="480"/>
        <w:rPr>
          <w:rFonts w:ascii="彩虹粗仿宋" w:eastAsia="彩虹粗仿宋"/>
          <w:sz w:val="24"/>
        </w:rPr>
      </w:pPr>
      <w:r>
        <w:rPr>
          <w:rFonts w:ascii="彩虹粗仿宋" w:eastAsia="彩虹粗仿宋" w:hint="eastAsia"/>
          <w:sz w:val="24"/>
        </w:rPr>
        <w:t>由于头寸管理不善导致的透支及相关损失，由基金管理人承担。</w:t>
      </w:r>
    </w:p>
    <w:p w:rsidR="00682DA0" w:rsidRDefault="00B5345A">
      <w:pPr>
        <w:adjustRightInd w:val="0"/>
        <w:snapToGrid w:val="0"/>
        <w:ind w:firstLine="480"/>
        <w:rPr>
          <w:rFonts w:ascii="彩虹粗仿宋" w:eastAsia="彩虹粗仿宋"/>
          <w:sz w:val="24"/>
        </w:rPr>
      </w:pPr>
      <w:r>
        <w:rPr>
          <w:rFonts w:ascii="彩虹粗仿宋" w:eastAsia="彩虹粗仿宋" w:hint="eastAsia"/>
          <w:sz w:val="24"/>
        </w:rPr>
        <w:t>从保证金账户划出保证金的指令由基金管理人直接发送给期货清算经纪商，基金管理人负责核对其前台交易数据与期货清算经纪商数据，确认保证金金额准确，并保证其得到安全划出，并立即通知境内托管人。如果保证金出现任何未能及时到账的异常情况，基金托管人应及时通知基金管理人。</w:t>
      </w:r>
    </w:p>
    <w:p w:rsidR="00682DA0" w:rsidRDefault="00B5345A">
      <w:pPr>
        <w:adjustRightInd w:val="0"/>
        <w:snapToGrid w:val="0"/>
        <w:ind w:firstLine="480"/>
        <w:rPr>
          <w:rFonts w:ascii="彩虹粗仿宋" w:eastAsia="彩虹粗仿宋"/>
          <w:sz w:val="24"/>
        </w:rPr>
      </w:pPr>
      <w:r>
        <w:rPr>
          <w:rFonts w:ascii="彩虹粗仿宋" w:eastAsia="彩虹粗仿宋" w:hint="eastAsia"/>
          <w:sz w:val="24"/>
        </w:rPr>
        <w:t>对非基金托管人过失造成的资金划拨延迟或资金损失，基金托管人不承担责任。</w:t>
      </w:r>
    </w:p>
    <w:p w:rsidR="00682DA0" w:rsidRDefault="00B5345A">
      <w:pPr>
        <w:adjustRightInd w:val="0"/>
        <w:snapToGrid w:val="0"/>
        <w:ind w:firstLine="480"/>
        <w:rPr>
          <w:rFonts w:ascii="彩虹粗仿宋" w:eastAsia="彩虹粗仿宋"/>
          <w:sz w:val="24"/>
        </w:rPr>
      </w:pPr>
      <w:r>
        <w:rPr>
          <w:rFonts w:ascii="彩虹粗仿宋" w:eastAsia="彩虹粗仿宋" w:hint="eastAsia"/>
          <w:sz w:val="24"/>
        </w:rPr>
        <w:t>基金托管人不对期货保证金进行垫付。对基金托管人过失造成的资金划拨延迟或资金损失，基金托管人承担责任。</w:t>
      </w:r>
    </w:p>
    <w:p w:rsidR="00682DA0" w:rsidRDefault="00B5345A">
      <w:pPr>
        <w:adjustRightInd w:val="0"/>
        <w:snapToGrid w:val="0"/>
        <w:ind w:firstLine="480"/>
        <w:rPr>
          <w:rFonts w:ascii="彩虹粗仿宋" w:eastAsia="彩虹粗仿宋"/>
          <w:sz w:val="24"/>
        </w:rPr>
      </w:pPr>
      <w:r>
        <w:rPr>
          <w:rFonts w:ascii="彩虹粗仿宋" w:eastAsia="彩虹粗仿宋" w:hint="eastAsia"/>
          <w:sz w:val="24"/>
        </w:rPr>
        <w:t>（3）境内证券结算指令</w:t>
      </w:r>
    </w:p>
    <w:p w:rsidR="00682DA0" w:rsidRDefault="00B5345A">
      <w:pPr>
        <w:adjustRightInd w:val="0"/>
        <w:snapToGrid w:val="0"/>
        <w:ind w:firstLine="480"/>
        <w:rPr>
          <w:rFonts w:ascii="彩虹粗仿宋" w:eastAsia="彩虹粗仿宋" w:hAnsi="宋体" w:cs="Arial"/>
          <w:sz w:val="24"/>
        </w:rPr>
      </w:pPr>
      <w:r>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682DA0" w:rsidRDefault="00B5345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682DA0" w:rsidRDefault="00B5345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如果因为基金托管人</w:t>
      </w:r>
      <w:r>
        <w:rPr>
          <w:rFonts w:ascii="彩虹粗仿宋" w:eastAsia="彩虹粗仿宋" w:hAnsi="宋体" w:cs="Arial" w:hint="eastAsia"/>
          <w:kern w:val="0"/>
          <w:sz w:val="24"/>
        </w:rPr>
        <w:t>故意或重大过失</w:t>
      </w:r>
      <w:r>
        <w:rPr>
          <w:rFonts w:ascii="彩虹粗仿宋" w:eastAsia="彩虹粗仿宋" w:hAnsi="宋体" w:cs="Arial" w:hint="eastAsia"/>
          <w:sz w:val="24"/>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w:t>
      </w:r>
      <w:r>
        <w:rPr>
          <w:rFonts w:ascii="彩虹粗仿宋" w:eastAsia="彩虹粗仿宋" w:hAnsi="宋体" w:cs="Arial" w:hint="eastAsia"/>
          <w:sz w:val="24"/>
        </w:rPr>
        <w:lastRenderedPageBreak/>
        <w:t>的由基金管理人承担；如果由于基金管理人违反市场操作规则的规定进行超买、超卖及质押券欠库等原因造成基金投资清算困难和风险的，基金托管人在预清算结束后应通知基金管理人预透支和预欠库事项，基金管理人应保持联系方式畅通，后续补缴等事宜由基金管理人负责解决，由此给基金托管人、本基金和基金托管人托管的其他资产造成的直接损失由基金管理人承担。</w:t>
      </w:r>
    </w:p>
    <w:p w:rsidR="00682DA0" w:rsidRDefault="00B5345A">
      <w:pPr>
        <w:adjustRightInd w:val="0"/>
        <w:snapToGrid w:val="0"/>
        <w:ind w:firstLine="480"/>
        <w:rPr>
          <w:rFonts w:ascii="彩虹粗仿宋" w:eastAsia="彩虹粗仿宋" w:hAnsi="宋体" w:cs="宋体"/>
          <w:color w:val="000000"/>
          <w:kern w:val="0"/>
          <w:sz w:val="24"/>
        </w:rPr>
      </w:pPr>
      <w:r>
        <w:rPr>
          <w:rFonts w:ascii="彩虹粗仿宋" w:eastAsia="彩虹粗仿宋" w:hAnsi="宋体" w:cs="宋体" w:hint="eastAsia"/>
          <w:color w:val="000000"/>
          <w:kern w:val="0"/>
          <w:sz w:val="24"/>
        </w:rPr>
        <w:t>基金管理人应采取合理、必要措施，确保T日日终有足够的资金头寸完成 T+1日</w:t>
      </w:r>
      <w:r>
        <w:rPr>
          <w:rFonts w:ascii="彩虹粗仿宋" w:eastAsia="彩虹粗仿宋" w:hint="eastAsia"/>
          <w:sz w:val="24"/>
        </w:rPr>
        <w:t>中国证券登记结算有限责任公司的资金</w:t>
      </w:r>
      <w:r>
        <w:rPr>
          <w:rFonts w:ascii="彩虹粗仿宋" w:eastAsia="彩虹粗仿宋"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682DA0" w:rsidRDefault="00B5345A">
      <w:pPr>
        <w:adjustRightInd w:val="0"/>
        <w:snapToGrid w:val="0"/>
        <w:ind w:firstLine="480"/>
        <w:rPr>
          <w:rFonts w:ascii="彩虹粗仿宋" w:eastAsia="彩虹粗仿宋" w:hAnsi="宋体" w:cs="Arial"/>
          <w:sz w:val="24"/>
        </w:rPr>
      </w:pPr>
      <w:r>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682DA0" w:rsidRDefault="00B5345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实行场内T+0交收的资金清算按照基金托管人的相关规定流程执行。</w:t>
      </w:r>
    </w:p>
    <w:p w:rsidR="00682DA0" w:rsidRDefault="00B5345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2.交易记录、资金和证券账目核对的时间和方式</w:t>
      </w:r>
    </w:p>
    <w:p w:rsidR="00682DA0" w:rsidRDefault="00B5345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（1）交易记录的核对</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682DA0" w:rsidRDefault="00B5345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（2）资金账目的核对</w:t>
      </w:r>
    </w:p>
    <w:p w:rsidR="00682DA0" w:rsidRDefault="00B5345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资金账目按日核实。</w:t>
      </w:r>
    </w:p>
    <w:p w:rsidR="00682DA0" w:rsidRDefault="00B5345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（3）证券账目的核对</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rsidR="00682DA0" w:rsidRDefault="00B5345A">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（三）基金份额申购和赎回业务处理的基本规定</w:t>
      </w:r>
    </w:p>
    <w:p w:rsidR="00682DA0" w:rsidRDefault="00B5345A">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1.</w:t>
      </w:r>
      <w:r>
        <w:rPr>
          <w:rFonts w:hint="eastAsia"/>
          <w:szCs w:val="21"/>
        </w:rPr>
        <w:t xml:space="preserve"> </w:t>
      </w:r>
      <w:r>
        <w:rPr>
          <w:rFonts w:ascii="彩虹粗仿宋" w:eastAsia="彩虹粗仿宋" w:hAnsi="宋体" w:cs="Arial" w:hint="eastAsia"/>
          <w:sz w:val="24"/>
        </w:rPr>
        <w:t>基金管理人和基金托管人应当按照《基金合同》、《招募说明书》的约定，在基金申购、赎回的时间、场所、方式、程序、价格、费用、收款或付款等各方面相互配合，积极履行各自的义务，保证基金的申购、赎回工作能够顺利进行。</w:t>
      </w:r>
    </w:p>
    <w:p w:rsidR="00682DA0" w:rsidRDefault="00B5345A">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sz w:val="24"/>
        </w:rPr>
        <w:t>现金替代、现金替代退补款、现金差额等的交收由基金管理人根据基金招募</w:t>
      </w:r>
      <w:r>
        <w:rPr>
          <w:rFonts w:ascii="彩虹粗仿宋" w:eastAsia="彩虹粗仿宋" w:hAnsi="宋体" w:cs="Arial"/>
          <w:sz w:val="24"/>
        </w:rPr>
        <w:lastRenderedPageBreak/>
        <w:t>说明书办理。如遇特殊</w:t>
      </w:r>
      <w:r>
        <w:rPr>
          <w:rFonts w:ascii="彩虹粗仿宋" w:eastAsia="彩虹粗仿宋" w:hAnsi="宋体" w:cs="Arial" w:hint="eastAsia"/>
          <w:sz w:val="24"/>
        </w:rPr>
        <w:t>情况</w:t>
      </w:r>
      <w:r>
        <w:rPr>
          <w:rFonts w:ascii="彩虹粗仿宋" w:eastAsia="彩虹粗仿宋" w:hAnsi="宋体" w:cs="Arial"/>
          <w:sz w:val="24"/>
        </w:rPr>
        <w:t xml:space="preserve">，双方协商处理。 </w:t>
      </w:r>
    </w:p>
    <w:p w:rsidR="00682DA0" w:rsidRDefault="00B5345A">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（四）申赎</w:t>
      </w:r>
      <w:r>
        <w:rPr>
          <w:rFonts w:ascii="彩虹粗仿宋" w:eastAsia="彩虹粗仿宋" w:hAnsi="宋体" w:cs="Arial"/>
          <w:sz w:val="24"/>
        </w:rPr>
        <w:t xml:space="preserve">的清算交收 </w:t>
      </w:r>
    </w:p>
    <w:p w:rsidR="00682DA0" w:rsidRDefault="00B5345A">
      <w:pPr>
        <w:adjustRightInd w:val="0"/>
        <w:snapToGrid w:val="0"/>
        <w:ind w:firstLine="480"/>
        <w:outlineLvl w:val="0"/>
        <w:rPr>
          <w:rFonts w:ascii="彩虹粗仿宋" w:eastAsia="彩虹粗仿宋" w:hAnsi="宋体" w:cs="Arial"/>
          <w:bCs/>
          <w:sz w:val="24"/>
        </w:rPr>
      </w:pPr>
      <w:r>
        <w:rPr>
          <w:rFonts w:ascii="彩虹粗仿宋" w:eastAsia="彩虹粗仿宋" w:hAnsi="宋体" w:cs="Arial"/>
          <w:bCs/>
          <w:sz w:val="24"/>
        </w:rPr>
        <w:t>本基金申购赎回过程中涉及的基金份额、</w:t>
      </w:r>
      <w:r>
        <w:rPr>
          <w:rFonts w:ascii="彩虹粗仿宋" w:eastAsia="彩虹粗仿宋" w:hAnsi="宋体" w:cs="Arial" w:hint="eastAsia"/>
          <w:bCs/>
          <w:sz w:val="24"/>
        </w:rPr>
        <w:t>组合证券、</w:t>
      </w:r>
      <w:r>
        <w:rPr>
          <w:rFonts w:ascii="彩虹粗仿宋" w:eastAsia="彩虹粗仿宋" w:hAnsi="宋体" w:cs="Arial"/>
          <w:bCs/>
          <w:sz w:val="24"/>
        </w:rPr>
        <w:t>现金替代、现金差额及其他对价的清算交收适用</w:t>
      </w:r>
      <w:r>
        <w:rPr>
          <w:rFonts w:ascii="彩虹粗仿宋" w:eastAsia="彩虹粗仿宋" w:hAnsi="宋体" w:cs="Arial" w:hint="eastAsia"/>
          <w:sz w:val="24"/>
        </w:rPr>
        <w:t>相关业务规则</w:t>
      </w:r>
      <w:r>
        <w:rPr>
          <w:rFonts w:ascii="彩虹粗仿宋" w:eastAsia="彩虹粗仿宋" w:hAnsi="宋体" w:cs="Arial"/>
          <w:bCs/>
          <w:sz w:val="24"/>
        </w:rPr>
        <w:t>和参与各方相关协议</w:t>
      </w:r>
      <w:r>
        <w:rPr>
          <w:rFonts w:ascii="彩虹粗仿宋" w:eastAsia="彩虹粗仿宋" w:hAnsi="宋体" w:cs="Arial" w:hint="eastAsia"/>
          <w:sz w:val="24"/>
        </w:rPr>
        <w:t>及其不时修订</w:t>
      </w:r>
      <w:r>
        <w:rPr>
          <w:rFonts w:ascii="彩虹粗仿宋" w:eastAsia="彩虹粗仿宋" w:hAnsi="宋体" w:cs="Arial"/>
          <w:bCs/>
          <w:sz w:val="24"/>
        </w:rPr>
        <w:t>的有关规定</w:t>
      </w:r>
      <w:r>
        <w:rPr>
          <w:rFonts w:ascii="彩虹粗仿宋" w:eastAsia="彩虹粗仿宋" w:hAnsi="宋体" w:cs="Arial" w:hint="eastAsia"/>
          <w:bCs/>
          <w:sz w:val="24"/>
        </w:rPr>
        <w:t>，具体规则在招募说明书中列示。如上海证券交易所、中国证券登记结算有限责任公司修改或更新上述规则并适用于本基金的，则按照新的规则执行，并在招募说明书中进行更新。</w:t>
      </w:r>
    </w:p>
    <w:p w:rsidR="00682DA0" w:rsidRDefault="00B5345A">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（五）基金现金分红</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1.基金管理人确定分红方案通知基金托管人，双方核定后</w:t>
      </w:r>
      <w:r>
        <w:rPr>
          <w:rFonts w:ascii="彩虹粗仿宋" w:eastAsia="彩虹粗仿宋" w:hint="eastAsia"/>
          <w:sz w:val="24"/>
          <w:szCs w:val="18"/>
        </w:rPr>
        <w:t>依照《信息披露办法》的有关规定在中国证监会规定媒介上公告</w:t>
      </w:r>
      <w:r>
        <w:rPr>
          <w:rFonts w:ascii="彩虹粗仿宋" w:eastAsia="彩虹粗仿宋" w:hAnsi="宋体" w:cs="Arial" w:hint="eastAsia"/>
          <w:sz w:val="24"/>
        </w:rPr>
        <w:t>。</w:t>
      </w:r>
    </w:p>
    <w:p w:rsidR="00682DA0" w:rsidRDefault="00B5345A">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682DA0" w:rsidRDefault="00B5345A">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3.基金管理人在下达指令时，应给基金托管人留出必需的划款时间。</w:t>
      </w:r>
    </w:p>
    <w:p w:rsidR="00682DA0" w:rsidRDefault="00B5345A">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（六）投资银行存款的特别约定</w:t>
      </w:r>
    </w:p>
    <w:p w:rsidR="00682DA0" w:rsidRDefault="00B5345A">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1.本基金投资银行存款前，基金管理人应与存款银行签订具体存款协议，包括但不限于以下内容：</w:t>
      </w:r>
    </w:p>
    <w:p w:rsidR="00682DA0" w:rsidRDefault="00B5345A">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rsidR="00682DA0" w:rsidRDefault="00B5345A">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682DA0" w:rsidRDefault="00B5345A">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（3）约定存款证实书的具体传递交接方式及交接期限。</w:t>
      </w:r>
    </w:p>
    <w:p w:rsidR="00682DA0" w:rsidRDefault="00B5345A">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（4）资金划转过程中需要使用存款银行过渡账户的，存款银行须保证资金在过渡账户中不出现滞留，不被挪用。</w:t>
      </w:r>
    </w:p>
    <w:p w:rsidR="00682DA0" w:rsidRDefault="00B5345A">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（1）建立风险预警机制，对于实物凭证未送达集中度较高的存款银行，主动发函管理人尽量避免在此类银行进行存款投资；</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（2）在定期报告中，对未按约定送达托管人保管的实物凭证信息进行规定范围信息披露；</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未送达实物凭证超过送单截止日后30个工作日，且累计超过3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rsidR="00682DA0" w:rsidRDefault="00682DA0">
      <w:pPr>
        <w:adjustRightInd w:val="0"/>
        <w:snapToGrid w:val="0"/>
        <w:ind w:firstLineChars="200" w:firstLine="480"/>
        <w:rPr>
          <w:rFonts w:ascii="彩虹粗仿宋" w:eastAsia="彩虹粗仿宋" w:hAnsi="宋体" w:cs="Arial"/>
          <w:sz w:val="24"/>
        </w:rPr>
      </w:pPr>
    </w:p>
    <w:p w:rsidR="00682DA0" w:rsidRDefault="00B5345A">
      <w:pPr>
        <w:pStyle w:val="2"/>
        <w:jc w:val="center"/>
        <w:rPr>
          <w:rFonts w:ascii="彩虹粗仿宋" w:eastAsia="彩虹粗仿宋"/>
          <w:sz w:val="30"/>
        </w:rPr>
      </w:pPr>
      <w:bookmarkStart w:id="92" w:name="_Toc124325892"/>
      <w:r>
        <w:rPr>
          <w:rFonts w:ascii="彩虹粗仿宋" w:eastAsia="彩虹粗仿宋" w:hint="eastAsia"/>
          <w:sz w:val="30"/>
        </w:rPr>
        <w:t xml:space="preserve"> 八、基金资产净值计算和会计核算</w:t>
      </w:r>
      <w:bookmarkEnd w:id="92"/>
    </w:p>
    <w:p w:rsidR="00682DA0" w:rsidRDefault="00B5345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（一）基金资产净值的计算、复核与完成的时间及程序</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1.基金资产净值是指基金资产总值减去负债后的金额。</w:t>
      </w:r>
      <w:bookmarkStart w:id="93" w:name="_Hlk35022142"/>
      <w:r>
        <w:rPr>
          <w:rFonts w:ascii="彩虹粗仿宋" w:eastAsia="彩虹粗仿宋" w:hAnsi="宋体" w:cs="Arial" w:hint="eastAsia"/>
          <w:sz w:val="24"/>
        </w:rPr>
        <w:t>基金份额净值是按照每个估值日闭市后，基金资产净值除以当日基金份额的余额数量计算，精确到0.0001元，小数点后第五位四舍五入。</w:t>
      </w:r>
      <w:bookmarkStart w:id="94" w:name="_Hlk31978462"/>
      <w:r>
        <w:rPr>
          <w:rFonts w:ascii="彩虹粗仿宋" w:eastAsia="彩虹粗仿宋" w:hAnsi="宋体" w:cs="Arial"/>
          <w:sz w:val="24"/>
        </w:rPr>
        <w:t>基金管理人可以设立大额赎回情形下的净值精度应急调整机制。</w:t>
      </w:r>
      <w:bookmarkEnd w:id="94"/>
      <w:r>
        <w:rPr>
          <w:rFonts w:ascii="彩虹粗仿宋" w:eastAsia="彩虹粗仿宋" w:hAnsi="宋体" w:cs="Arial" w:hint="eastAsia"/>
          <w:sz w:val="24"/>
        </w:rPr>
        <w:t>国家另有规定的，从其规定。</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基金管理人于每个估值日计算基金资产净值及基金份额净值，并按规定公告。</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应每个估值日对基金资产估值。但基金管理人根据法律法规或《基金合同》的规定暂停估值时除外。基金管理人每个估值日对基金资产估值后，将基金份额净值结果发送基金托管人，经基金托管人复核无误后，由基金管理人对外公布。</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（二）基金资产估值方法和特殊情形的处理</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1.估值对象</w:t>
      </w:r>
    </w:p>
    <w:p w:rsidR="00682DA0" w:rsidRDefault="00B5345A">
      <w:pPr>
        <w:adjustRightInd w:val="0"/>
        <w:snapToGrid w:val="0"/>
        <w:ind w:firstLineChars="200" w:firstLine="480"/>
        <w:rPr>
          <w:rFonts w:ascii="彩虹粗仿宋" w:eastAsia="彩虹粗仿宋" w:hAnsi="宋体" w:cs="Arial"/>
          <w:bCs/>
          <w:sz w:val="24"/>
        </w:rPr>
      </w:pPr>
      <w:r>
        <w:rPr>
          <w:rFonts w:ascii="彩虹粗仿宋" w:eastAsia="彩虹粗仿宋" w:hAnsi="宋体" w:cs="Arial"/>
          <w:bCs/>
          <w:sz w:val="24"/>
        </w:rPr>
        <w:t>基金所拥有的标的</w:t>
      </w:r>
      <w:r>
        <w:rPr>
          <w:rFonts w:ascii="彩虹粗仿宋" w:eastAsia="彩虹粗仿宋" w:hAnsi="宋体" w:cs="Arial" w:hint="eastAsia"/>
          <w:bCs/>
          <w:sz w:val="24"/>
        </w:rPr>
        <w:t>E</w:t>
      </w:r>
      <w:r>
        <w:rPr>
          <w:rFonts w:ascii="彩虹粗仿宋" w:eastAsia="彩虹粗仿宋" w:hAnsi="宋体" w:cs="Arial"/>
          <w:bCs/>
          <w:sz w:val="24"/>
        </w:rPr>
        <w:t>TF</w:t>
      </w:r>
      <w:r>
        <w:rPr>
          <w:rFonts w:ascii="彩虹粗仿宋" w:eastAsia="彩虹粗仿宋" w:hAnsi="宋体" w:cs="Arial" w:hint="eastAsia"/>
          <w:bCs/>
          <w:sz w:val="24"/>
        </w:rPr>
        <w:t>基金份额、</w:t>
      </w:r>
      <w:r>
        <w:rPr>
          <w:rFonts w:ascii="彩虹粗仿宋" w:eastAsia="彩虹粗仿宋" w:hAnsi="宋体" w:cs="Arial"/>
          <w:bCs/>
          <w:sz w:val="24"/>
        </w:rPr>
        <w:t>股票、债券、股指期货合约和银行存款本息、应收款项、其它投资等资产及负债。</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2.估值方法</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本基金所持有的投资品种，按如下原则进行估值 ：</w:t>
      </w:r>
    </w:p>
    <w:p w:rsidR="00682DA0" w:rsidRDefault="00B5345A">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w:t>
      </w:r>
      <w:r>
        <w:rPr>
          <w:rFonts w:ascii="彩虹粗仿宋" w:eastAsia="彩虹粗仿宋" w:hAnsi="宋体" w:cs="Arial"/>
          <w:bCs/>
          <w:sz w:val="24"/>
        </w:rPr>
        <w:t>1</w:t>
      </w:r>
      <w:r>
        <w:rPr>
          <w:rFonts w:ascii="彩虹粗仿宋" w:eastAsia="彩虹粗仿宋" w:hAnsi="宋体" w:cs="Arial" w:hint="eastAsia"/>
          <w:bCs/>
          <w:sz w:val="24"/>
        </w:rPr>
        <w:t>）标的ETF估值方法</w:t>
      </w:r>
    </w:p>
    <w:p w:rsidR="00682DA0" w:rsidRDefault="00B5345A">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lastRenderedPageBreak/>
        <w:t>本基金投资的标的ETF份额按照估值日标的ETF的二级市场价格（收盘价）估值。</w:t>
      </w:r>
    </w:p>
    <w:p w:rsidR="00682DA0" w:rsidRDefault="00B5345A">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基金管理人认为按上述价格不能客观反映其公允价值的，基金管理人可根据具体情况与基金托管人协商后，按最能反映其公允价值的价格估值。（2）</w:t>
      </w:r>
      <w:r>
        <w:rPr>
          <w:rFonts w:ascii="彩虹粗仿宋" w:eastAsia="彩虹粗仿宋" w:hAnsi="宋体" w:cs="Arial"/>
          <w:bCs/>
          <w:sz w:val="24"/>
        </w:rPr>
        <w:t>证券交易所上市的有价证券的估值</w:t>
      </w:r>
    </w:p>
    <w:p w:rsidR="00682DA0" w:rsidRDefault="00B5345A">
      <w:pPr>
        <w:adjustRightInd w:val="0"/>
        <w:snapToGrid w:val="0"/>
        <w:ind w:firstLineChars="200" w:firstLine="480"/>
        <w:rPr>
          <w:rFonts w:ascii="彩虹粗仿宋" w:eastAsia="彩虹粗仿宋" w:hAnsi="宋体" w:cs="Arial"/>
          <w:bCs/>
          <w:sz w:val="24"/>
        </w:rPr>
      </w:pPr>
      <w:r>
        <w:rPr>
          <w:rFonts w:ascii="Arial Unicode MS" w:eastAsia="Arial Unicode MS" w:hAnsi="Arial Unicode MS" w:cs="Arial Unicode MS" w:hint="eastAsia"/>
          <w:bCs/>
          <w:sz w:val="24"/>
        </w:rPr>
        <w:t>①</w:t>
      </w:r>
      <w:r>
        <w:rPr>
          <w:rFonts w:ascii="彩虹粗仿宋" w:eastAsia="彩虹粗仿宋" w:hAnsi="宋体" w:cs="Arial"/>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Pr>
          <w:rFonts w:ascii="彩虹粗仿宋" w:eastAsia="彩虹粗仿宋" w:hAnsi="宋体" w:cs="Arial" w:hint="eastAsia"/>
          <w:bCs/>
          <w:sz w:val="24"/>
        </w:rPr>
        <w:t>；</w:t>
      </w:r>
    </w:p>
    <w:p w:rsidR="00682DA0" w:rsidRDefault="00B5345A">
      <w:pPr>
        <w:adjustRightInd w:val="0"/>
        <w:snapToGrid w:val="0"/>
        <w:ind w:firstLineChars="200" w:firstLine="480"/>
        <w:rPr>
          <w:rFonts w:ascii="彩虹粗仿宋" w:eastAsia="彩虹粗仿宋" w:hAnsi="宋体" w:cs="Arial"/>
          <w:sz w:val="24"/>
        </w:rPr>
      </w:pPr>
      <w:r>
        <w:rPr>
          <w:rFonts w:ascii="Arial Unicode MS" w:eastAsia="Arial Unicode MS" w:hAnsi="Arial Unicode MS" w:cs="Arial Unicode MS" w:hint="eastAsia"/>
          <w:sz w:val="24"/>
        </w:rPr>
        <w:t>②</w:t>
      </w:r>
      <w:r>
        <w:rPr>
          <w:rFonts w:ascii="彩虹粗仿宋" w:eastAsia="彩虹粗仿宋" w:hAnsi="宋体" w:cs="Arial"/>
          <w:sz w:val="24"/>
        </w:rPr>
        <w:t>交易所上市交易或挂牌转让的不含权固定收益品种，选取估值日第三方估值机构提供的相应品种当日的估值净价进行估值；</w:t>
      </w:r>
    </w:p>
    <w:p w:rsidR="00682DA0" w:rsidRDefault="00B5345A">
      <w:pPr>
        <w:adjustRightInd w:val="0"/>
        <w:snapToGrid w:val="0"/>
        <w:ind w:firstLineChars="200" w:firstLine="480"/>
        <w:rPr>
          <w:rFonts w:ascii="彩虹粗仿宋" w:eastAsia="彩虹粗仿宋" w:hAnsi="宋体" w:cs="Arial"/>
          <w:sz w:val="24"/>
        </w:rPr>
      </w:pPr>
      <w:r>
        <w:rPr>
          <w:rFonts w:ascii="Arial Unicode MS" w:eastAsia="Arial Unicode MS" w:hAnsi="Arial Unicode MS" w:cs="Arial Unicode MS" w:hint="eastAsia"/>
          <w:sz w:val="24"/>
        </w:rPr>
        <w:t>③</w:t>
      </w:r>
      <w:r>
        <w:rPr>
          <w:rFonts w:ascii="彩虹粗仿宋" w:eastAsia="彩虹粗仿宋" w:hAnsi="宋体" w:cs="Arial"/>
          <w:sz w:val="24"/>
        </w:rPr>
        <w:t>交易所上市交易或挂牌转让的含权固定收益品种，选取估值日第三方估值机构提供的相应品种当日的唯一估值净价或推荐估值净价进行估值；</w:t>
      </w:r>
    </w:p>
    <w:p w:rsidR="00682DA0" w:rsidRDefault="00B5345A">
      <w:pPr>
        <w:adjustRightInd w:val="0"/>
        <w:snapToGrid w:val="0"/>
        <w:ind w:firstLineChars="200" w:firstLine="480"/>
        <w:rPr>
          <w:rFonts w:ascii="彩虹粗仿宋" w:eastAsia="彩虹粗仿宋" w:hAnsi="宋体" w:cs="Arial"/>
          <w:sz w:val="24"/>
        </w:rPr>
      </w:pPr>
      <w:r>
        <w:rPr>
          <w:rFonts w:ascii="Arial Unicode MS" w:eastAsia="Arial Unicode MS" w:hAnsi="Arial Unicode MS" w:cs="Arial Unicode MS" w:hint="eastAsia"/>
          <w:sz w:val="24"/>
        </w:rPr>
        <w:t>④</w:t>
      </w:r>
      <w:r>
        <w:rPr>
          <w:rFonts w:ascii="彩虹粗仿宋" w:eastAsia="彩虹粗仿宋" w:hAnsi="宋体" w:cs="Arial"/>
          <w:sz w:val="24"/>
        </w:rPr>
        <w:t>交易所上市交易的可转换债券以每日收盘价作为估值全价；</w:t>
      </w:r>
      <w:r>
        <w:rPr>
          <w:rFonts w:ascii="彩虹粗仿宋" w:eastAsia="彩虹粗仿宋" w:hAnsi="宋体" w:cs="Arial" w:hint="eastAsia"/>
          <w:sz w:val="24"/>
        </w:rPr>
        <w:t>交易所上市实行全价交易的债券（可转债除外），选取第三方估值机构提供的估值全价减去估值全价中所含的债券（税后）应收利息得到的净价进行估值；</w:t>
      </w:r>
    </w:p>
    <w:p w:rsidR="00682DA0" w:rsidRDefault="00B5345A">
      <w:pPr>
        <w:adjustRightInd w:val="0"/>
        <w:snapToGrid w:val="0"/>
        <w:ind w:firstLineChars="200" w:firstLine="480"/>
        <w:rPr>
          <w:rFonts w:ascii="彩虹粗仿宋" w:eastAsia="彩虹粗仿宋" w:hAnsi="宋体" w:cs="Arial"/>
          <w:sz w:val="24"/>
        </w:rPr>
      </w:pPr>
      <w:r>
        <w:rPr>
          <w:rFonts w:ascii="Arial Unicode MS" w:eastAsia="Arial Unicode MS" w:hAnsi="Arial Unicode MS" w:cs="Arial Unicode MS" w:hint="eastAsia"/>
          <w:bCs/>
          <w:sz w:val="24"/>
        </w:rPr>
        <w:t>⑤</w:t>
      </w:r>
      <w:r>
        <w:rPr>
          <w:rFonts w:ascii="彩虹粗仿宋" w:eastAsia="彩虹粗仿宋" w:hAnsi="宋体" w:cs="Arial"/>
          <w:bCs/>
          <w:sz w:val="24"/>
        </w:rPr>
        <w:t>交易所上市不存在活跃市场的有价证券，采用估值技术确定公允价值。</w:t>
      </w:r>
      <w:r>
        <w:rPr>
          <w:rFonts w:ascii="彩虹粗仿宋" w:eastAsia="彩虹粗仿宋" w:hAnsi="宋体" w:cs="Arial"/>
          <w:sz w:val="24"/>
        </w:rPr>
        <w:t>交易所市场挂牌转让的资产支持证券</w:t>
      </w:r>
      <w:r>
        <w:rPr>
          <w:rFonts w:ascii="彩虹粗仿宋" w:eastAsia="彩虹粗仿宋" w:hAnsi="宋体" w:cs="Arial"/>
          <w:bCs/>
          <w:sz w:val="24"/>
        </w:rPr>
        <w:t>，采用估值技术确定公允价值；</w:t>
      </w:r>
    </w:p>
    <w:p w:rsidR="00682DA0" w:rsidRDefault="00B5345A">
      <w:pPr>
        <w:adjustRightInd w:val="0"/>
        <w:snapToGrid w:val="0"/>
        <w:ind w:firstLineChars="200" w:firstLine="480"/>
        <w:rPr>
          <w:rFonts w:ascii="彩虹粗仿宋" w:eastAsia="彩虹粗仿宋" w:hAnsi="宋体" w:cs="Arial"/>
          <w:bCs/>
          <w:sz w:val="24"/>
        </w:rPr>
      </w:pPr>
      <w:r>
        <w:rPr>
          <w:rFonts w:ascii="Arial Unicode MS" w:eastAsia="Arial Unicode MS" w:hAnsi="Arial Unicode MS" w:cs="Arial Unicode MS" w:hint="eastAsia"/>
          <w:sz w:val="24"/>
        </w:rPr>
        <w:t>⑥</w:t>
      </w:r>
      <w:r>
        <w:rPr>
          <w:rFonts w:ascii="彩虹粗仿宋" w:eastAsia="彩虹粗仿宋" w:hAnsi="宋体" w:cs="Arial"/>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682DA0" w:rsidRDefault="00B5345A">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（3）</w:t>
      </w:r>
      <w:r>
        <w:rPr>
          <w:rFonts w:ascii="彩虹粗仿宋" w:eastAsia="彩虹粗仿宋" w:hAnsi="宋体" w:cs="Arial"/>
          <w:bCs/>
          <w:sz w:val="24"/>
        </w:rPr>
        <w:t>处于未上市期间的有价证券应区分如下情况处理：</w:t>
      </w:r>
    </w:p>
    <w:p w:rsidR="00682DA0" w:rsidRDefault="00B5345A">
      <w:pPr>
        <w:adjustRightInd w:val="0"/>
        <w:snapToGrid w:val="0"/>
        <w:ind w:firstLineChars="200" w:firstLine="480"/>
        <w:rPr>
          <w:rFonts w:ascii="彩虹粗仿宋" w:eastAsia="彩虹粗仿宋" w:hAnsi="宋体" w:cs="Arial"/>
          <w:bCs/>
          <w:sz w:val="24"/>
        </w:rPr>
      </w:pPr>
      <w:r>
        <w:rPr>
          <w:rFonts w:ascii="Arial Unicode MS" w:eastAsia="Arial Unicode MS" w:hAnsi="Arial Unicode MS" w:cs="Arial Unicode MS" w:hint="eastAsia"/>
          <w:bCs/>
          <w:sz w:val="24"/>
        </w:rPr>
        <w:t>①</w:t>
      </w:r>
      <w:r>
        <w:rPr>
          <w:rFonts w:ascii="彩虹粗仿宋" w:eastAsia="彩虹粗仿宋" w:hAnsi="宋体" w:cs="Arial"/>
          <w:bCs/>
          <w:sz w:val="24"/>
        </w:rPr>
        <w:t>送股、转增股、配股和公开增发的新股，按估值日在证券交易所挂牌的同一股票的估值方法估值；该日无交易的，以最近一日的市价（收盘价）估值；</w:t>
      </w:r>
    </w:p>
    <w:p w:rsidR="00682DA0" w:rsidRDefault="00B5345A">
      <w:pPr>
        <w:adjustRightInd w:val="0"/>
        <w:snapToGrid w:val="0"/>
        <w:ind w:firstLineChars="200" w:firstLine="480"/>
        <w:rPr>
          <w:rFonts w:ascii="彩虹粗仿宋" w:eastAsia="彩虹粗仿宋" w:hAnsi="宋体" w:cs="Arial"/>
          <w:bCs/>
          <w:sz w:val="24"/>
        </w:rPr>
      </w:pPr>
      <w:r>
        <w:rPr>
          <w:rFonts w:ascii="Arial Unicode MS" w:eastAsia="Arial Unicode MS" w:hAnsi="Arial Unicode MS" w:cs="Arial Unicode MS" w:hint="eastAsia"/>
          <w:bCs/>
          <w:sz w:val="24"/>
        </w:rPr>
        <w:t>②</w:t>
      </w:r>
      <w:r>
        <w:rPr>
          <w:rFonts w:ascii="彩虹粗仿宋" w:eastAsia="彩虹粗仿宋" w:hAnsi="宋体" w:cs="Arial"/>
          <w:bCs/>
          <w:sz w:val="24"/>
        </w:rPr>
        <w:t>首次公开发行未上市的股票、债券，采用估值技术确定公允价值，在估值技术难以可靠计量公允价值的情况下，按成本估值</w:t>
      </w:r>
      <w:r>
        <w:rPr>
          <w:rFonts w:ascii="彩虹粗仿宋" w:eastAsia="彩虹粗仿宋" w:hAnsi="宋体" w:cs="Arial" w:hint="eastAsia"/>
          <w:bCs/>
          <w:sz w:val="24"/>
        </w:rPr>
        <w:t>；</w:t>
      </w:r>
    </w:p>
    <w:p w:rsidR="00682DA0" w:rsidRDefault="00B5345A">
      <w:pPr>
        <w:adjustRightInd w:val="0"/>
        <w:snapToGrid w:val="0"/>
        <w:ind w:firstLineChars="200" w:firstLine="480"/>
        <w:rPr>
          <w:rFonts w:ascii="彩虹粗仿宋" w:eastAsia="彩虹粗仿宋" w:hAnsi="宋体" w:cs="Arial"/>
          <w:bCs/>
          <w:sz w:val="24"/>
        </w:rPr>
      </w:pPr>
      <w:r>
        <w:rPr>
          <w:rFonts w:ascii="Arial Unicode MS" w:eastAsia="Arial Unicode MS" w:hAnsi="Arial Unicode MS" w:cs="Arial Unicode MS" w:hint="eastAsia"/>
          <w:bCs/>
          <w:sz w:val="24"/>
        </w:rPr>
        <w:t>③</w:t>
      </w:r>
      <w:r>
        <w:rPr>
          <w:rFonts w:ascii="彩虹粗仿宋" w:eastAsia="彩虹粗仿宋" w:hAnsi="宋体" w:cs="Arial"/>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w:t>
      </w:r>
      <w:r>
        <w:rPr>
          <w:rFonts w:ascii="彩虹粗仿宋" w:eastAsia="彩虹粗仿宋" w:hAnsi="宋体" w:cs="Arial"/>
          <w:bCs/>
          <w:sz w:val="24"/>
        </w:rPr>
        <w:t>按监管</w:t>
      </w:r>
      <w:r>
        <w:rPr>
          <w:rFonts w:ascii="彩虹粗仿宋" w:eastAsia="彩虹粗仿宋" w:hAnsi="宋体" w:cs="Arial"/>
          <w:bCs/>
          <w:sz w:val="24"/>
        </w:rPr>
        <w:lastRenderedPageBreak/>
        <w:t>机构或行业协会有关规定确定公允价值。</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bCs/>
          <w:sz w:val="24"/>
        </w:rPr>
        <w:t>（4）</w:t>
      </w:r>
      <w:r>
        <w:rPr>
          <w:rFonts w:ascii="彩虹粗仿宋" w:eastAsia="彩虹粗仿宋" w:hAnsi="宋体" w:cs="Arial"/>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682DA0" w:rsidRDefault="00B5345A">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（5）</w:t>
      </w:r>
      <w:r>
        <w:rPr>
          <w:rFonts w:ascii="彩虹粗仿宋" w:eastAsia="彩虹粗仿宋" w:hAnsi="宋体" w:cs="Arial"/>
          <w:bCs/>
          <w:sz w:val="24"/>
        </w:rPr>
        <w:t>同一</w:t>
      </w:r>
      <w:r>
        <w:rPr>
          <w:rFonts w:ascii="彩虹粗仿宋" w:eastAsia="彩虹粗仿宋" w:hAnsi="宋体" w:cs="Arial" w:hint="eastAsia"/>
          <w:bCs/>
          <w:sz w:val="24"/>
        </w:rPr>
        <w:t>证券</w:t>
      </w:r>
      <w:r>
        <w:rPr>
          <w:rFonts w:ascii="彩虹粗仿宋" w:eastAsia="彩虹粗仿宋" w:hAnsi="宋体" w:cs="Arial"/>
          <w:bCs/>
          <w:sz w:val="24"/>
        </w:rPr>
        <w:t>同时在两个或者两个以上市场交易的，按</w:t>
      </w:r>
      <w:r>
        <w:rPr>
          <w:rFonts w:ascii="彩虹粗仿宋" w:eastAsia="彩虹粗仿宋" w:hAnsi="宋体" w:cs="Arial" w:hint="eastAsia"/>
          <w:bCs/>
          <w:sz w:val="24"/>
        </w:rPr>
        <w:t>证券</w:t>
      </w:r>
      <w:r>
        <w:rPr>
          <w:rFonts w:ascii="彩虹粗仿宋" w:eastAsia="彩虹粗仿宋" w:hAnsi="宋体" w:cs="Arial"/>
          <w:bCs/>
          <w:sz w:val="24"/>
        </w:rPr>
        <w:t>所处的市场分别估值。</w:t>
      </w:r>
    </w:p>
    <w:p w:rsidR="00682DA0" w:rsidRDefault="00B5345A">
      <w:pPr>
        <w:adjustRightInd w:val="0"/>
        <w:snapToGrid w:val="0"/>
        <w:ind w:firstLineChars="200" w:firstLine="480"/>
        <w:rPr>
          <w:rFonts w:ascii="彩虹粗仿宋" w:eastAsia="彩虹粗仿宋" w:hAnsi="宋体" w:cs="Arial"/>
          <w:bCs/>
          <w:sz w:val="24"/>
        </w:rPr>
      </w:pPr>
      <w:bookmarkStart w:id="95" w:name="_Hlk407637557"/>
      <w:r>
        <w:rPr>
          <w:rFonts w:ascii="彩虹粗仿宋" w:eastAsia="彩虹粗仿宋" w:hAnsi="宋体" w:cs="Arial" w:hint="eastAsia"/>
          <w:bCs/>
          <w:sz w:val="24"/>
        </w:rPr>
        <w:t>（6）衍生品估值方法：</w:t>
      </w:r>
    </w:p>
    <w:p w:rsidR="00682DA0" w:rsidRDefault="00B5345A">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w:t>
      </w:r>
      <w:r>
        <w:rPr>
          <w:rFonts w:ascii="彩虹粗仿宋" w:eastAsia="彩虹粗仿宋" w:hAnsi="宋体" w:cs="Arial"/>
          <w:bCs/>
          <w:sz w:val="24"/>
        </w:rPr>
        <w:t>1</w:t>
      </w:r>
      <w:r>
        <w:rPr>
          <w:rFonts w:ascii="彩虹粗仿宋" w:eastAsia="彩虹粗仿宋" w:hAnsi="宋体" w:cs="Arial" w:hint="eastAsia"/>
          <w:bCs/>
          <w:sz w:val="24"/>
        </w:rPr>
        <w:t>）境外上市流通衍生品按估值日其所在证券交易所的收盘价估值；估值日无交易的，以最近交易日的收盘价估值。</w:t>
      </w:r>
    </w:p>
    <w:p w:rsidR="00682DA0" w:rsidRDefault="00B5345A">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w:t>
      </w:r>
      <w:r>
        <w:rPr>
          <w:rFonts w:ascii="彩虹粗仿宋" w:eastAsia="彩虹粗仿宋" w:hAnsi="宋体" w:cs="Arial"/>
          <w:bCs/>
          <w:sz w:val="24"/>
        </w:rPr>
        <w:t>2</w:t>
      </w:r>
      <w:r>
        <w:rPr>
          <w:rFonts w:ascii="彩虹粗仿宋" w:eastAsia="彩虹粗仿宋" w:hAnsi="宋体" w:cs="Arial" w:hint="eastAsia"/>
          <w:bCs/>
          <w:sz w:val="24"/>
        </w:rPr>
        <w:t>）境外未上市衍生品按成本价估值，如成本价不能反映公允价值，则采用估值技术确定公允价值；若衍生品价格无法通过公开信息取得，由基金管理人负责从其经纪商处取得，并及时告知基金托管人。</w:t>
      </w:r>
    </w:p>
    <w:bookmarkEnd w:id="95"/>
    <w:p w:rsidR="00682DA0" w:rsidRDefault="00B5345A">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（7）本基金参与融资和转融通证券出借业务，应参照</w:t>
      </w:r>
      <w:r>
        <w:rPr>
          <w:rFonts w:ascii="彩虹粗仿宋" w:eastAsia="彩虹粗仿宋" w:hAnsi="宋体" w:cs="Arial"/>
          <w:bCs/>
          <w:sz w:val="24"/>
        </w:rPr>
        <w:t>监管机构或行业协会</w:t>
      </w:r>
      <w:r>
        <w:rPr>
          <w:rFonts w:ascii="彩虹粗仿宋" w:eastAsia="彩虹粗仿宋" w:hAnsi="宋体" w:cs="Arial" w:hint="eastAsia"/>
          <w:bCs/>
          <w:sz w:val="24"/>
        </w:rPr>
        <w:t>的相关规定进行估值，确保估值的公允性。</w:t>
      </w:r>
    </w:p>
    <w:p w:rsidR="00682DA0" w:rsidRDefault="00B5345A">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（8）估值计算中涉及港币对人民币汇率的，将依据下列信息提供机构所提供的汇率为基准：当日中国人民银行公布的人民币与港币的中间价。</w:t>
      </w:r>
    </w:p>
    <w:p w:rsidR="00682DA0" w:rsidRDefault="00B5345A">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9）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682DA0" w:rsidRDefault="00B5345A">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对于非代扣代缴的税收，基金管理人可聘请税收顾问对相关投资市场的税收情况给予意见和建议。境外托管人根据基金管理人的指示具体协调基金在海外税务的申报、缴纳及索取税收返还等相关工作。基金根据国家法律法规和基金投资所在地的法律法规规定及中国与该国家或地区签署的相关税收协定履行纳税义务。</w:t>
      </w:r>
    </w:p>
    <w:p w:rsidR="00682DA0" w:rsidRDefault="00B5345A">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除因基金管理人或基金托管人疏忽、故意行为导致的基金在税收方面造成的损失外，基金管理人和基金托管人不承担责任。</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bCs/>
          <w:sz w:val="24"/>
        </w:rPr>
        <w:t>（</w:t>
      </w:r>
      <w:r>
        <w:rPr>
          <w:rFonts w:ascii="彩虹粗仿宋" w:eastAsia="彩虹粗仿宋" w:hAnsi="宋体" w:cs="Arial"/>
          <w:bCs/>
          <w:sz w:val="24"/>
        </w:rPr>
        <w:t>1</w:t>
      </w:r>
      <w:r>
        <w:rPr>
          <w:rFonts w:ascii="彩虹粗仿宋" w:eastAsia="彩虹粗仿宋" w:hAnsi="宋体" w:cs="Arial" w:hint="eastAsia"/>
          <w:bCs/>
          <w:sz w:val="24"/>
        </w:rPr>
        <w:t>0）</w:t>
      </w:r>
      <w:r>
        <w:rPr>
          <w:rFonts w:ascii="彩虹粗仿宋" w:eastAsia="彩虹粗仿宋" w:hAnsi="宋体" w:cs="Arial"/>
          <w:bCs/>
          <w:sz w:val="24"/>
        </w:rPr>
        <w:t>如有确凿证据表明按上述方法进行估值不能客观反映其公允价值的，基金管理人可根据具体情况与基金托管人商定后，按最能反映公允价值的价格估</w:t>
      </w:r>
      <w:r>
        <w:rPr>
          <w:rFonts w:ascii="彩虹粗仿宋" w:eastAsia="彩虹粗仿宋" w:hAnsi="宋体" w:cs="Arial"/>
          <w:bCs/>
          <w:sz w:val="24"/>
        </w:rPr>
        <w:lastRenderedPageBreak/>
        <w:t>值。</w:t>
      </w:r>
    </w:p>
    <w:p w:rsidR="00682DA0" w:rsidRDefault="00B5345A">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w:t>
      </w:r>
      <w:r>
        <w:rPr>
          <w:rFonts w:ascii="彩虹粗仿宋" w:eastAsia="彩虹粗仿宋" w:hAnsi="宋体" w:cs="Arial"/>
          <w:bCs/>
          <w:sz w:val="24"/>
        </w:rPr>
        <w:t>1</w:t>
      </w:r>
      <w:r>
        <w:rPr>
          <w:rFonts w:ascii="彩虹粗仿宋" w:eastAsia="彩虹粗仿宋" w:hAnsi="宋体" w:cs="Arial" w:hint="eastAsia"/>
          <w:bCs/>
          <w:sz w:val="24"/>
        </w:rPr>
        <w:t>1）</w:t>
      </w:r>
      <w:r>
        <w:rPr>
          <w:rFonts w:ascii="彩虹粗仿宋" w:eastAsia="彩虹粗仿宋" w:hAnsi="宋体" w:cs="Arial"/>
          <w:bCs/>
          <w:sz w:val="24"/>
        </w:rPr>
        <w:t>相关法律法规以及监管部门有强制规定的，从其规定。如有新增事项，按国家最新规定估值。</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净值信息的计算结果对外予以公布。</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3.特殊情形的处理</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（1）基金管理人或基金托管人按估值方法的第（</w:t>
      </w:r>
      <w:r>
        <w:rPr>
          <w:rFonts w:ascii="彩虹粗仿宋" w:eastAsia="彩虹粗仿宋" w:hAnsi="宋体" w:cs="Arial"/>
          <w:sz w:val="24"/>
        </w:rPr>
        <w:t>1</w:t>
      </w:r>
      <w:r>
        <w:rPr>
          <w:rFonts w:ascii="彩虹粗仿宋" w:eastAsia="彩虹粗仿宋" w:hAnsi="宋体" w:cs="Arial" w:hint="eastAsia"/>
          <w:sz w:val="24"/>
        </w:rPr>
        <w:t>0）项进行估值时，所造成的误差不作为基金资产估值错误处理；</w:t>
      </w:r>
    </w:p>
    <w:p w:rsidR="00682DA0" w:rsidRDefault="00B5345A">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（2）</w:t>
      </w:r>
      <w:r>
        <w:rPr>
          <w:rFonts w:ascii="彩虹粗仿宋" w:eastAsia="彩虹粗仿宋" w:hint="eastAsia"/>
          <w:sz w:val="24"/>
        </w:rPr>
        <w:t>对于因税收规定调整或其他原因导致基金实际交纳税金与基金按照权责发生制进行估值的应交税金有差异的，相关估值调整不作为基金资产估值错误处理。</w:t>
      </w:r>
    </w:p>
    <w:p w:rsidR="00682DA0" w:rsidRDefault="00B5345A">
      <w:pPr>
        <w:adjustRightInd w:val="0"/>
        <w:snapToGrid w:val="0"/>
        <w:ind w:firstLineChars="200" w:firstLine="480"/>
        <w:rPr>
          <w:rFonts w:ascii="彩虹粗仿宋" w:eastAsia="彩虹粗仿宋"/>
          <w:sz w:val="24"/>
        </w:rPr>
      </w:pPr>
      <w:r>
        <w:rPr>
          <w:rFonts w:ascii="彩虹粗仿宋" w:eastAsia="彩虹粗仿宋" w:hint="eastAsia"/>
          <w:sz w:val="24"/>
        </w:rPr>
        <w:t>（3）由于时差、通讯或其他非可控的客观原因，在本基金管理人和本基金托管人协商一致的时间点前无法确认的交易，导致的对基金资产净值的影响，不作为基金资产估值错误处理。</w:t>
      </w:r>
    </w:p>
    <w:p w:rsidR="00682DA0" w:rsidRDefault="00B5345A">
      <w:pPr>
        <w:adjustRightInd w:val="0"/>
        <w:snapToGrid w:val="0"/>
        <w:ind w:firstLineChars="200" w:firstLine="480"/>
        <w:rPr>
          <w:rStyle w:val="read"/>
          <w:rFonts w:ascii="彩虹粗仿宋" w:eastAsia="彩虹粗仿宋"/>
          <w:sz w:val="24"/>
        </w:rPr>
      </w:pPr>
      <w:r>
        <w:rPr>
          <w:rFonts w:ascii="彩虹粗仿宋" w:eastAsia="彩虹粗仿宋" w:hint="eastAsia"/>
          <w:sz w:val="24"/>
        </w:rPr>
        <w:t>（4）</w:t>
      </w:r>
      <w:r>
        <w:rPr>
          <w:rFonts w:ascii="彩虹粗仿宋" w:eastAsia="彩虹粗仿宋" w:hint="eastAsia"/>
          <w:sz w:val="24"/>
          <w:szCs w:val="21"/>
        </w:rPr>
        <w:t>由于不可抗力，或证券、期货交易所、登记结算公司、存款银行等机构发送的数据错误等原因，或国家会计政策变更、市场规则变更等非基金管理人或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bookmarkEnd w:id="93"/>
    <w:p w:rsidR="00682DA0" w:rsidRDefault="00B5345A">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（三）基金份额净值错误的处理方式</w:t>
      </w:r>
    </w:p>
    <w:p w:rsidR="00682DA0" w:rsidRDefault="00B5345A">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1.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Pr>
          <w:rFonts w:ascii="彩虹粗仿宋" w:eastAsia="彩虹粗仿宋" w:cs="Arial" w:hint="eastAsia"/>
          <w:sz w:val="24"/>
        </w:rPr>
        <w:t>；错误偏差达到基金份额净值的</w:t>
      </w:r>
      <w:r>
        <w:rPr>
          <w:rFonts w:ascii="彩虹粗仿宋" w:eastAsia="彩虹粗仿宋" w:hAnsi="宋体" w:hint="eastAsia"/>
          <w:sz w:val="24"/>
        </w:rPr>
        <w:t>0.5%时，基金管理人应当公告</w:t>
      </w:r>
      <w:r>
        <w:rPr>
          <w:rFonts w:ascii="彩虹粗仿宋" w:eastAsia="彩虹粗仿宋" w:hAnsi="宋体"/>
          <w:sz w:val="24"/>
        </w:rPr>
        <w:t>，并报中国证监会备案</w:t>
      </w:r>
      <w:r>
        <w:rPr>
          <w:rFonts w:ascii="彩虹粗仿宋" w:eastAsia="彩虹粗仿宋" w:hAnsi="宋体" w:hint="eastAsia"/>
          <w:sz w:val="24"/>
        </w:rPr>
        <w:t>；当发</w:t>
      </w:r>
      <w:r>
        <w:rPr>
          <w:rStyle w:val="read"/>
          <w:rFonts w:ascii="彩虹粗仿宋" w:eastAsia="彩虹粗仿宋" w:hint="eastAsia"/>
          <w:sz w:val="24"/>
        </w:rPr>
        <w:t>生净值计算错误时，由基金管理人负责处理，由此给基金份额持有人和基金造成损</w:t>
      </w:r>
      <w:r>
        <w:rPr>
          <w:rStyle w:val="read"/>
          <w:rFonts w:ascii="彩虹粗仿宋" w:eastAsia="彩虹粗仿宋" w:hint="eastAsia"/>
          <w:sz w:val="24"/>
        </w:rPr>
        <w:lastRenderedPageBreak/>
        <w:t>失的，应由基金管理人先行赔付，基金管理人按差错情形，有权向其他当事人追偿。</w:t>
      </w:r>
    </w:p>
    <w:p w:rsidR="00682DA0" w:rsidRDefault="00B5345A">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682DA0" w:rsidRDefault="00B5345A">
      <w:pPr>
        <w:adjustRightInd w:val="0"/>
        <w:snapToGrid w:val="0"/>
        <w:ind w:firstLineChars="200" w:firstLine="480"/>
        <w:rPr>
          <w:rFonts w:ascii="彩虹粗仿宋" w:eastAsia="彩虹粗仿宋" w:hAnsi="宋体" w:cs="Arial"/>
          <w:sz w:val="24"/>
        </w:rPr>
      </w:pPr>
      <w:r>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Pr>
          <w:rFonts w:ascii="彩虹粗仿宋" w:eastAsia="彩虹粗仿宋" w:hAnsi="宋体" w:cs="Arial" w:hint="eastAsia"/>
          <w:sz w:val="24"/>
        </w:rPr>
        <w:t>损失，由基金管理人负责赔付。</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3.基金管理人和基金托管人由于各自技术系统设置而产生的净值计算尾差，以基金管理人计算结果为准。</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4.前述内容如法律法规或者监管部门另有规定的，从其规定。如果行业另有通行做法，双方当事人应本着平等和保护基金份额持有人利益的原则进行协商。</w:t>
      </w:r>
    </w:p>
    <w:p w:rsidR="00682DA0" w:rsidRDefault="00B5345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（四）暂停估值与公告基金份额净值的情形</w:t>
      </w:r>
    </w:p>
    <w:p w:rsidR="00682DA0" w:rsidRDefault="00B5345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1.基金投资所涉及的证券、期货交易市场</w:t>
      </w:r>
      <w:r>
        <w:rPr>
          <w:rFonts w:ascii="彩虹粗仿宋" w:eastAsia="彩虹粗仿宋" w:hAnsi="宋体" w:cs="Arial" w:hint="eastAsia"/>
          <w:bCs/>
          <w:sz w:val="24"/>
        </w:rPr>
        <w:t>或外汇市场</w:t>
      </w:r>
      <w:r>
        <w:rPr>
          <w:rFonts w:ascii="彩虹粗仿宋" w:eastAsia="彩虹粗仿宋" w:hAnsi="宋体" w:cs="Arial" w:hint="eastAsia"/>
          <w:sz w:val="24"/>
        </w:rPr>
        <w:t>遇法定节假日或因其他原因暂停营业时；</w:t>
      </w:r>
    </w:p>
    <w:p w:rsidR="00682DA0" w:rsidRDefault="00B5345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2.因不可抗力致使基金管理人、基金托管人无法准确评估基金资产价值时；</w:t>
      </w:r>
    </w:p>
    <w:p w:rsidR="00682DA0" w:rsidRDefault="00B5345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3.当前一估值日基金资产净值50%以上的资产出现无可参考的活跃市场价格且采用估值技术仍导致公允价值存在重大不确定性时，经与基金托管人协商确认后，基金管理人应当暂停基金估值；</w:t>
      </w:r>
    </w:p>
    <w:p w:rsidR="00682DA0" w:rsidRDefault="00B5345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4.</w:t>
      </w:r>
      <w:r>
        <w:rPr>
          <w:rFonts w:hint="eastAsia"/>
        </w:rPr>
        <w:t xml:space="preserve"> </w:t>
      </w:r>
      <w:r>
        <w:rPr>
          <w:rFonts w:ascii="彩虹粗仿宋" w:eastAsia="彩虹粗仿宋" w:hAnsi="宋体" w:cs="Arial" w:hint="eastAsia"/>
          <w:sz w:val="24"/>
        </w:rPr>
        <w:t>本基金所投资的标的ETF发生暂停估值、暂停公告基金份额净值的情形；</w:t>
      </w:r>
    </w:p>
    <w:p w:rsidR="00682DA0" w:rsidRDefault="00B5345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5</w:t>
      </w:r>
      <w:r>
        <w:rPr>
          <w:rFonts w:ascii="彩虹粗仿宋" w:eastAsia="彩虹粗仿宋" w:hAnsi="宋体" w:cs="Arial" w:hint="eastAsia"/>
          <w:sz w:val="24"/>
        </w:rPr>
        <w:t>、中国证监会和《基金合同》认定的其他情形。</w:t>
      </w:r>
    </w:p>
    <w:p w:rsidR="00682DA0" w:rsidRDefault="00B5345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lastRenderedPageBreak/>
        <w:t>（五）基金会计制度</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按国家有关部门规定的会计制度执行。</w:t>
      </w:r>
    </w:p>
    <w:p w:rsidR="00682DA0" w:rsidRDefault="00B5345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（六）基金账册的建立</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净值信息的计算和公告的，以基金管理人的账册为准。</w:t>
      </w:r>
    </w:p>
    <w:p w:rsidR="00682DA0" w:rsidRDefault="00B5345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（七）基金财务报表与报告的编制和复核</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1.财务报表的编制</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基金财务报表由基金管理人编制，基金托管人复核。</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2.报表复核</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3.财务报表的编制与复核时间安排</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(1)报表的编制</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两个月内完成基金中期报告的编制；在每年结束之日起三个月内完成基金年度报告的编制。基金年度报告的财务会计报告应当经过符合《中华人民共和国证券法》规定的会计师事务所审计。《基金合同》生效不足两个月的，基金管理人可以不编制当期季度报告、中期报告或者年度报告。</w:t>
      </w:r>
    </w:p>
    <w:p w:rsidR="00682DA0" w:rsidRDefault="00B5345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(2)报表的复核</w:t>
      </w:r>
    </w:p>
    <w:p w:rsidR="00682DA0" w:rsidRDefault="00B5345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682DA0" w:rsidRDefault="00B5345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基金管理人应留足充分的时间，便于基金托管人复核相关报表及报告。</w:t>
      </w:r>
    </w:p>
    <w:p w:rsidR="00682DA0" w:rsidRDefault="00B5345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（八）基金管理人应在编制季度报告、中期报告或者年度报告之前及时向基金托管人提供基金业绩比较基准的基础数据和编制结果。</w:t>
      </w:r>
    </w:p>
    <w:p w:rsidR="00682DA0" w:rsidRDefault="00682DA0">
      <w:pPr>
        <w:pStyle w:val="a0"/>
        <w:adjustRightInd w:val="0"/>
        <w:snapToGrid w:val="0"/>
        <w:ind w:firstLineChars="0" w:firstLine="0"/>
        <w:rPr>
          <w:rFonts w:ascii="彩虹粗仿宋" w:eastAsia="彩虹粗仿宋" w:hAnsi="宋体" w:cs="Arial"/>
          <w:sz w:val="24"/>
        </w:rPr>
      </w:pPr>
    </w:p>
    <w:p w:rsidR="00682DA0" w:rsidRDefault="00B5345A">
      <w:pPr>
        <w:pStyle w:val="2"/>
        <w:jc w:val="center"/>
        <w:rPr>
          <w:rFonts w:ascii="彩虹粗仿宋" w:eastAsia="彩虹粗仿宋"/>
          <w:sz w:val="30"/>
        </w:rPr>
      </w:pPr>
      <w:bookmarkStart w:id="96" w:name="_Toc124325893"/>
      <w:r>
        <w:rPr>
          <w:rFonts w:ascii="彩虹粗仿宋" w:eastAsia="彩虹粗仿宋" w:hint="eastAsia"/>
          <w:sz w:val="30"/>
        </w:rPr>
        <w:t>九、基金收益分配</w:t>
      </w:r>
      <w:bookmarkEnd w:id="96"/>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基金收益分配是指按规定将基金的可分配收益按基金份额进行比例分配。</w:t>
      </w:r>
    </w:p>
    <w:p w:rsidR="00682DA0" w:rsidRDefault="00B5345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lastRenderedPageBreak/>
        <w:t>（一）基金收益分配的原则</w:t>
      </w:r>
    </w:p>
    <w:p w:rsidR="00682DA0" w:rsidRDefault="00B5345A">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1、每一基金份额享有同等分配权；</w:t>
      </w:r>
    </w:p>
    <w:p w:rsidR="00682DA0" w:rsidRDefault="00B5345A">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2、当基金累计报酬率超过标的指数同期累计报酬率达到1％以上，可进行收益分配；</w:t>
      </w:r>
    </w:p>
    <w:p w:rsidR="00682DA0" w:rsidRDefault="00B5345A">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3、在符合有关基金收益分配条件的前提下，本基金收益每年最多分配4次，每次基金收益分配数额由基金管理人根据实际情况确定。基于本基金的性质和特点，本基金收益分配不须以弥补浮动亏损为前提，收益分配后有可能使基金份额净值低于面值；</w:t>
      </w:r>
    </w:p>
    <w:p w:rsidR="00682DA0" w:rsidRDefault="00B5345A">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4、若《基金合同》生效不满3个月可不进行收益分配；</w:t>
      </w:r>
    </w:p>
    <w:p w:rsidR="00682DA0" w:rsidRDefault="00B5345A">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5、本基金收益分配采用现金方式；</w:t>
      </w:r>
    </w:p>
    <w:p w:rsidR="00682DA0" w:rsidRDefault="00B5345A">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6、法律法规、监管机关、登记机构、上海证券交易所另有规定的，从其规定。</w:t>
      </w:r>
    </w:p>
    <w:p w:rsidR="00682DA0" w:rsidRDefault="00B5345A">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基金管理人对基金累计报酬率和标的指数同期累计报酬率的计算方法参见招募说明书。</w:t>
      </w:r>
    </w:p>
    <w:p w:rsidR="00682DA0" w:rsidRDefault="00B5345A">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在不违反法律法规且对现有基金份额持有人利益无重大实质不利影响的情况下，基金管理人、登记机构可对基金收益分配原则进行调整，不需召开基金份额持有人大会。</w:t>
      </w:r>
    </w:p>
    <w:p w:rsidR="00682DA0" w:rsidRDefault="00B5345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（二）基金收益分配的时间和程序</w:t>
      </w:r>
    </w:p>
    <w:p w:rsidR="00682DA0" w:rsidRDefault="00B5345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本基金收益分配方案由基金管理人拟订，并由基金托管人复核，依照《信息披露办法》的有关规定在规定媒介公告。</w:t>
      </w:r>
      <w:r>
        <w:rPr>
          <w:rFonts w:ascii="彩虹粗仿宋" w:eastAsia="彩虹粗仿宋" w:hint="eastAsia"/>
          <w:sz w:val="24"/>
        </w:rPr>
        <w:t>基金收益分配方案中应载明基金超额收益、基金收益分配对象、分配时间、分配数额及比例、分配方式等内容。</w:t>
      </w:r>
      <w:r>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682DA0" w:rsidRDefault="00B5345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基金收益分配时所发生的银行转账或其他手续费用由投资者自行承担。</w:t>
      </w:r>
    </w:p>
    <w:p w:rsidR="00682DA0" w:rsidRDefault="00682DA0">
      <w:pPr>
        <w:adjustRightInd w:val="0"/>
        <w:snapToGrid w:val="0"/>
        <w:rPr>
          <w:rFonts w:ascii="彩虹粗仿宋" w:eastAsia="彩虹粗仿宋" w:hAnsi="宋体" w:cs="Arial"/>
          <w:sz w:val="24"/>
        </w:rPr>
      </w:pPr>
    </w:p>
    <w:p w:rsidR="00682DA0" w:rsidRDefault="00B5345A">
      <w:pPr>
        <w:pStyle w:val="2"/>
        <w:jc w:val="center"/>
        <w:rPr>
          <w:rFonts w:ascii="彩虹粗仿宋" w:eastAsia="彩虹粗仿宋"/>
          <w:sz w:val="30"/>
        </w:rPr>
      </w:pPr>
      <w:bookmarkStart w:id="97" w:name="_Toc124325894"/>
      <w:r>
        <w:rPr>
          <w:rFonts w:ascii="彩虹粗仿宋" w:eastAsia="彩虹粗仿宋" w:hint="eastAsia"/>
          <w:sz w:val="30"/>
        </w:rPr>
        <w:t>十、基金信息披露</w:t>
      </w:r>
      <w:bookmarkEnd w:id="97"/>
    </w:p>
    <w:p w:rsidR="00682DA0" w:rsidRDefault="00B5345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（一）保密义务</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1.非因基金管理人和基金托管人的原因导致保密信息被披露、泄露或公开；</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2.基金管理人和基金托管人为遵守和服从法院判决或裁定、仲裁裁决或中国证监会等监管机构的命令、决定所做出的信息披露或公开。</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（二）信息披露的内容</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的信息披露内容主要包括基金招募说明书、《基金合同》、托管协议、基金产品资料概要、基金份额发售公告、基金合同生效公告、基金份额折算日公告、基金份额折算结果公告、基金份额上市交易公告书、基金净值信息、基金份额申购、赎回对价、申购、赎回清单、基金定期报告，包括基金年度报告、基金中期报告和基金季度报告、临时报告、清算报告、澄清公告、基金份额持有人大会决议、参与境内融资交易和转融通证券出借业务的信息披露、</w:t>
      </w:r>
      <w:r>
        <w:rPr>
          <w:rFonts w:ascii="彩虹粗仿宋" w:eastAsia="彩虹粗仿宋" w:hAnsi="宋体" w:cs="Arial" w:hint="eastAsia"/>
          <w:bCs/>
          <w:sz w:val="24"/>
        </w:rPr>
        <w:t>投资港股通标的股票</w:t>
      </w:r>
      <w:r>
        <w:rPr>
          <w:rFonts w:ascii="彩虹粗仿宋" w:eastAsia="彩虹粗仿宋" w:hAnsi="宋体" w:cs="Arial"/>
          <w:bCs/>
          <w:sz w:val="24"/>
        </w:rPr>
        <w:t>的相关公告</w:t>
      </w:r>
      <w:r>
        <w:rPr>
          <w:rFonts w:ascii="彩虹粗仿宋" w:eastAsia="彩虹粗仿宋" w:hAnsi="宋体" w:cs="Arial" w:hint="eastAsia"/>
          <w:bCs/>
          <w:sz w:val="24"/>
        </w:rPr>
        <w:t>、</w:t>
      </w:r>
      <w:r>
        <w:rPr>
          <w:rFonts w:ascii="彩虹粗仿宋" w:eastAsia="彩虹粗仿宋" w:hAnsi="宋体" w:cs="Arial" w:hint="eastAsia"/>
          <w:sz w:val="24"/>
        </w:rPr>
        <w:t>中国证监会规定的其他信息。基金年度报告中的财务会计报告需经符合《中华人民共和国证券法》规定的会计师事务所审计后，方可披露。</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（三）基金托管人和基金管理人在信息披露中的职责和信息披露程序</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1.职责</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对于不需要基金托管人(或基金管理人)复核的信息，基金管理人(或基金托管人)在公告前应告知基金托管人(或基金管理人)。</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基金管理人和基金托管人应积极配合、互相监督，保证其履行按照法定方式和限时披露的义务。</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基金管理人、基金托管人应当在规定媒介披露本基金信息。基金管理人、基金托管人应当向中国证监会基金电子披露网站报送拟披露的基金信息，并保证相关报送信息的真实、准确、完整、及时。</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当出现下述情况时，基金管理人和基金托管人可暂停或延迟披露基金相关信息：</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(2)发生暂停估值的情形；</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(3)法律法规规定、中国证监会或基金合同认定的其他情形。</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2.程序</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w:t>
      </w:r>
      <w:r>
        <w:rPr>
          <w:rFonts w:ascii="彩虹粗仿宋" w:eastAsia="彩虹粗仿宋" w:hAnsi="宋体" w:cs="Arial" w:hint="eastAsia"/>
          <w:sz w:val="24"/>
        </w:rPr>
        <w:lastRenderedPageBreak/>
        <w:t>时，按《基金合同》规定公布。</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3.信息文本的存放</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依法必须披露的信息发布后，基金管理人、基金托管人应当按照相关法律法规规定将信息置备于各自住所、基金上市交易的证券交易所，供社会公众免费查阅。投资者在支付工本费后可在合理时间获得上述文件的复制件或复印件。基金管理人和基金托管人应保证文本的内容与所公告的内容完全一致。</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（四）本协议下基金的信息披露事项以法律法规规定、基金合同“第二十部分 基金的信息披露”及本章节约定的内容为准。</w:t>
      </w:r>
    </w:p>
    <w:p w:rsidR="00682DA0" w:rsidRDefault="00682DA0">
      <w:pPr>
        <w:pStyle w:val="a0"/>
        <w:ind w:firstLineChars="0" w:firstLine="0"/>
        <w:rPr>
          <w:rFonts w:ascii="彩虹粗仿宋" w:eastAsia="彩虹粗仿宋" w:hAnsi="宋体" w:cs="Arial"/>
          <w:sz w:val="24"/>
        </w:rPr>
      </w:pPr>
    </w:p>
    <w:p w:rsidR="00682DA0" w:rsidRDefault="00B5345A">
      <w:pPr>
        <w:pStyle w:val="2"/>
        <w:jc w:val="center"/>
        <w:rPr>
          <w:rFonts w:ascii="彩虹粗仿宋" w:eastAsia="彩虹粗仿宋"/>
          <w:sz w:val="30"/>
        </w:rPr>
      </w:pPr>
      <w:bookmarkStart w:id="98" w:name="_Toc124325895"/>
      <w:r>
        <w:rPr>
          <w:rFonts w:ascii="彩虹粗仿宋" w:eastAsia="彩虹粗仿宋" w:hint="eastAsia"/>
          <w:sz w:val="30"/>
        </w:rPr>
        <w:t>十一、基金费用</w:t>
      </w:r>
      <w:bookmarkEnd w:id="98"/>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（一）基金管理费的计提比例和计提方法</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本基金的管理费按前一日基金资产净值的0.20%年费率计提。管理费的计算方法如下：</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H＝E×年管理费率÷当年天数</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H为每日应计提的基金管理费</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（二）基金托管费的计提比例和计提方法</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本基金的托管费按前一日基金资产净值的</w:t>
      </w:r>
      <w:r>
        <w:rPr>
          <w:rFonts w:ascii="彩虹粗仿宋" w:eastAsia="彩虹粗仿宋" w:hAnsi="宋体" w:cs="Arial" w:hint="eastAsia"/>
          <w:sz w:val="24"/>
          <w:u w:val="single"/>
        </w:rPr>
        <w:t>0.05%</w:t>
      </w:r>
      <w:r>
        <w:rPr>
          <w:rFonts w:ascii="彩虹粗仿宋" w:eastAsia="彩虹粗仿宋" w:hAnsi="宋体" w:cs="Arial" w:hint="eastAsia"/>
          <w:sz w:val="24"/>
        </w:rPr>
        <w:t>年费率计提。托管费的计算方法如下：</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H＝E×年托管费率÷当年天数</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H为每日应计提的基金托管费</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rsidR="00682DA0" w:rsidRDefault="00B5345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w:t>
      </w:r>
      <w:r>
        <w:rPr>
          <w:rFonts w:ascii="彩虹粗仿宋" w:eastAsia="彩虹粗仿宋" w:hAnsi="宋体" w:cs="Arial"/>
          <w:bCs/>
          <w:sz w:val="24"/>
        </w:rPr>
        <w:t>基金合同生效后与基金相关的会计师费、律师费、仲裁费和诉讼费；基金份额持有人大会费用；</w:t>
      </w:r>
      <w:r>
        <w:rPr>
          <w:rFonts w:ascii="彩虹粗仿宋" w:eastAsia="彩虹粗仿宋" w:hAnsi="宋体" w:cs="Arial" w:hint="eastAsia"/>
          <w:bCs/>
          <w:sz w:val="24"/>
        </w:rPr>
        <w:t>基金投资标的ETF、港股</w:t>
      </w:r>
      <w:r>
        <w:rPr>
          <w:rFonts w:ascii="彩虹粗仿宋" w:eastAsia="彩虹粗仿宋" w:hAnsi="宋体" w:cs="Arial" w:hint="eastAsia"/>
          <w:sz w:val="24"/>
        </w:rPr>
        <w:t>而产生的各项合理费用</w:t>
      </w:r>
      <w:r>
        <w:rPr>
          <w:rFonts w:ascii="彩虹粗仿宋" w:eastAsia="彩虹粗仿宋" w:hAnsi="宋体" w:cs="Arial" w:hint="eastAsia"/>
          <w:bCs/>
          <w:sz w:val="24"/>
        </w:rPr>
        <w:t>（包括但不限于标的ETF的交易费用、申购赎回费用等）</w:t>
      </w:r>
      <w:r>
        <w:rPr>
          <w:rFonts w:ascii="彩虹粗仿宋" w:eastAsia="彩虹粗仿宋" w:hAnsi="宋体" w:cs="Arial"/>
          <w:bCs/>
          <w:sz w:val="24"/>
        </w:rPr>
        <w:t>；</w:t>
      </w:r>
      <w:r>
        <w:rPr>
          <w:rFonts w:ascii="彩虹粗仿宋" w:eastAsia="彩虹粗仿宋" w:hAnsi="宋体" w:cs="Arial" w:hint="eastAsia"/>
          <w:bCs/>
          <w:sz w:val="24"/>
        </w:rPr>
        <w:t>基金的证券/期货账户开立费用、证券/期货交易费用及在境外市场的交易、清算、登记等实际发生的费用（out-of-pocket fees），包括但不限于经手费、印花税、证管费、过户费、手续费、券商佣金、权证交易的结算费及其他类似性质的费用等；</w:t>
      </w:r>
      <w:r>
        <w:rPr>
          <w:rFonts w:ascii="彩虹粗仿宋" w:eastAsia="彩虹粗仿宋" w:hAnsi="宋体" w:cs="Arial"/>
          <w:bCs/>
          <w:sz w:val="24"/>
        </w:rPr>
        <w:t>基金的银行汇划费用；</w:t>
      </w:r>
      <w:r>
        <w:rPr>
          <w:rFonts w:ascii="彩虹粗仿宋" w:eastAsia="彩虹粗仿宋" w:hAnsi="宋体" w:cs="Arial" w:hint="eastAsia"/>
          <w:bCs/>
          <w:sz w:val="24"/>
        </w:rPr>
        <w:t>基金进行外汇兑换交易的相关费用；基金依照有关法律法规应当缴纳的，购买或处置证券有关的任何税收、征费、关税、印花税、交易及其他税收及预扣提税（以及与前述各项有关的任何利息及费用），以及为基金利益聘请税务顾问产生</w:t>
      </w:r>
      <w:r>
        <w:rPr>
          <w:rFonts w:ascii="彩虹粗仿宋" w:eastAsia="彩虹粗仿宋" w:hAnsi="宋体" w:cs="Arial" w:hint="eastAsia"/>
          <w:bCs/>
          <w:sz w:val="24"/>
        </w:rPr>
        <w:lastRenderedPageBreak/>
        <w:t>的费用；</w:t>
      </w:r>
      <w:r>
        <w:rPr>
          <w:rFonts w:ascii="彩虹粗仿宋" w:eastAsia="彩虹粗仿宋" w:hAnsi="宋体" w:cs="Arial"/>
          <w:bCs/>
          <w:sz w:val="24"/>
        </w:rPr>
        <w:t>基金的开户费用、账户维护费用；基金上市费及年费</w:t>
      </w:r>
      <w:r>
        <w:rPr>
          <w:rFonts w:ascii="彩虹粗仿宋" w:eastAsia="彩虹粗仿宋" w:hAnsi="宋体" w:cs="Arial" w:hint="eastAsia"/>
          <w:bCs/>
          <w:sz w:val="24"/>
        </w:rPr>
        <w:t>、登记结算费用、</w:t>
      </w:r>
      <w:r>
        <w:rPr>
          <w:rFonts w:ascii="彩虹粗仿宋" w:eastAsia="彩虹粗仿宋" w:hAnsi="宋体" w:cs="Arial"/>
          <w:bCs/>
          <w:sz w:val="24"/>
        </w:rPr>
        <w:t>IOPV计算与发布费用；</w:t>
      </w:r>
      <w:r>
        <w:rPr>
          <w:rFonts w:ascii="彩虹粗仿宋" w:eastAsia="彩虹粗仿宋" w:hAnsi="宋体" w:cs="Arial" w:hint="eastAsia"/>
          <w:bCs/>
          <w:sz w:val="24"/>
        </w:rPr>
        <w:t>除去基金管理人和基金托管人因自身原因而导致的更换基金管理人、更换基金托管人及基金资产由原任基金托管人转移至新任基金托管人以及由于境外托管人更换导致基金资产转移所引起的费用；</w:t>
      </w:r>
      <w:r>
        <w:rPr>
          <w:rFonts w:ascii="彩虹粗仿宋" w:eastAsia="彩虹粗仿宋" w:hAnsi="宋体" w:cs="Arial"/>
          <w:bCs/>
          <w:sz w:val="24"/>
        </w:rPr>
        <w:t>按照国家有关规定和基金合同约定，可以在基金财产中列支的其他费用</w:t>
      </w:r>
      <w:r>
        <w:rPr>
          <w:rFonts w:ascii="彩虹粗仿宋" w:eastAsia="彩虹粗仿宋" w:hAnsi="宋体" w:cs="Arial" w:hint="eastAsia"/>
          <w:sz w:val="24"/>
        </w:rPr>
        <w:t>。</w:t>
      </w:r>
    </w:p>
    <w:p w:rsidR="00682DA0" w:rsidRDefault="00B5345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（四）不列入基金费用的项目</w:t>
      </w:r>
    </w:p>
    <w:p w:rsidR="00682DA0" w:rsidRDefault="00B5345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下列费用不列入基金费用：</w:t>
      </w:r>
    </w:p>
    <w:p w:rsidR="00682DA0" w:rsidRDefault="00B5345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1.基金管理人和基金托管人因未履行或未完全履行义务导致的费用支出或基金财产的损失；</w:t>
      </w:r>
    </w:p>
    <w:p w:rsidR="00682DA0" w:rsidRDefault="00B5345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2.基金管理人和基金托管人处理与基金运作无关的事项发生的费用；</w:t>
      </w:r>
    </w:p>
    <w:p w:rsidR="00682DA0" w:rsidRDefault="00B5345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3.《基金合同》生效前的相关费用；</w:t>
      </w:r>
    </w:p>
    <w:p w:rsidR="00682DA0" w:rsidRDefault="00B5345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4.指数许可使用费，指数许可使用费由基金管理人承担；</w:t>
      </w:r>
    </w:p>
    <w:p w:rsidR="00682DA0" w:rsidRDefault="00B5345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5.其他根据相关法律法规及中国证监会的有关规定不得列入基金费用的项目。</w:t>
      </w:r>
    </w:p>
    <w:p w:rsidR="00682DA0" w:rsidRDefault="00B5345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（五）基金管理费和基金托管费的复核程序、支付方式和时间</w:t>
      </w:r>
    </w:p>
    <w:p w:rsidR="00682DA0" w:rsidRDefault="00B5345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1.复核程序</w:t>
      </w:r>
    </w:p>
    <w:p w:rsidR="00682DA0" w:rsidRDefault="00B5345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基金托管人对基金管理人计提的基金管理费和基金托管费等，根据本托管协议和《基金合同》的有关规定进行复核。</w:t>
      </w:r>
    </w:p>
    <w:p w:rsidR="00682DA0" w:rsidRDefault="00B5345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2.支付方式和时间</w:t>
      </w:r>
    </w:p>
    <w:p w:rsidR="00682DA0" w:rsidRDefault="00B5345A">
      <w:pPr>
        <w:adjustRightInd w:val="0"/>
        <w:snapToGrid w:val="0"/>
        <w:ind w:firstLineChars="200" w:firstLine="480"/>
        <w:rPr>
          <w:rFonts w:ascii="彩虹粗仿宋" w:eastAsia="彩虹粗仿宋" w:hAnsi="宋体" w:cs="Arial"/>
          <w:sz w:val="24"/>
        </w:rPr>
      </w:pPr>
      <w:bookmarkStart w:id="99" w:name="_Hlk35023409"/>
      <w:r>
        <w:rPr>
          <w:rFonts w:ascii="彩虹粗仿宋" w:eastAsia="彩虹粗仿宋" w:hAnsi="宋体" w:cs="Arial" w:hint="eastAsia"/>
          <w:sz w:val="24"/>
        </w:rPr>
        <w:t>基金管理费、基金托管费</w:t>
      </w:r>
      <w:bookmarkStart w:id="100" w:name="_Hlk35023237"/>
      <w:r>
        <w:rPr>
          <w:rFonts w:ascii="彩虹粗仿宋" w:eastAsia="彩虹粗仿宋" w:hAnsi="宋体" w:cs="Arial" w:hint="eastAsia"/>
          <w:sz w:val="24"/>
        </w:rPr>
        <w:t>每日计提，逐日累计至每月月末，按月支付。由托管人根据与管理人核对一致的财务数据，自动在月初5个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p>
    <w:bookmarkEnd w:id="99"/>
    <w:bookmarkEnd w:id="100"/>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（六）违规处理方式</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w:t>
      </w:r>
      <w:r>
        <w:rPr>
          <w:rFonts w:ascii="彩虹粗仿宋" w:eastAsia="彩虹粗仿宋" w:hAnsi="宋体" w:cs="Arial"/>
          <w:sz w:val="24"/>
        </w:rPr>
        <w:t>基金税收</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本基金运作过程中涉及的各纳税主体，其纳税义务按国家税收法律、法规执行。基金财产投资的相关税收，由基金份额持有人承担，基金管理人或者其他扣</w:t>
      </w:r>
      <w:r>
        <w:rPr>
          <w:rFonts w:ascii="彩虹粗仿宋" w:eastAsia="彩虹粗仿宋" w:hAnsi="宋体" w:cs="Arial"/>
          <w:sz w:val="24"/>
        </w:rPr>
        <w:lastRenderedPageBreak/>
        <w:t>缴义务人按照国家有关税收征收的规定代扣代缴。</w:t>
      </w:r>
      <w:r>
        <w:rPr>
          <w:rFonts w:ascii="彩虹粗仿宋" w:eastAsia="彩虹粗仿宋" w:hAnsi="宋体" w:cs="Arial" w:hint="eastAsia"/>
          <w:sz w:val="24"/>
        </w:rPr>
        <w:t>本基金投资境外市场的税收按照投资目的地的税收规定执行。</w:t>
      </w:r>
    </w:p>
    <w:p w:rsidR="00682DA0" w:rsidRDefault="00682DA0">
      <w:pPr>
        <w:adjustRightInd w:val="0"/>
        <w:snapToGrid w:val="0"/>
        <w:ind w:firstLineChars="200" w:firstLine="480"/>
        <w:rPr>
          <w:rFonts w:ascii="彩虹粗仿宋" w:eastAsia="彩虹粗仿宋" w:hAnsi="宋体" w:cs="Arial"/>
          <w:sz w:val="24"/>
        </w:rPr>
      </w:pPr>
    </w:p>
    <w:p w:rsidR="00682DA0" w:rsidRDefault="00682DA0">
      <w:pPr>
        <w:adjustRightInd w:val="0"/>
        <w:snapToGrid w:val="0"/>
        <w:rPr>
          <w:rFonts w:ascii="彩虹粗仿宋" w:eastAsia="彩虹粗仿宋" w:hAnsi="宋体" w:cs="Arial"/>
          <w:sz w:val="24"/>
        </w:rPr>
      </w:pPr>
    </w:p>
    <w:p w:rsidR="00682DA0" w:rsidRDefault="00B5345A">
      <w:pPr>
        <w:pStyle w:val="2"/>
        <w:jc w:val="center"/>
        <w:rPr>
          <w:rFonts w:ascii="彩虹粗仿宋" w:eastAsia="彩虹粗仿宋"/>
          <w:sz w:val="30"/>
        </w:rPr>
      </w:pPr>
      <w:bookmarkStart w:id="101" w:name="_Toc124325896"/>
      <w:r>
        <w:rPr>
          <w:rFonts w:ascii="彩虹粗仿宋" w:eastAsia="彩虹粗仿宋" w:hint="eastAsia"/>
          <w:sz w:val="30"/>
        </w:rPr>
        <w:t>十二、基金份额持有人名册的保管</w:t>
      </w:r>
      <w:bookmarkEnd w:id="101"/>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w:t>
      </w:r>
      <w:r>
        <w:rPr>
          <w:rFonts w:ascii="彩虹粗仿宋" w:eastAsia="彩虹粗仿宋" w:hAnsi="宋体" w:cs="Arial"/>
          <w:sz w:val="24"/>
        </w:rPr>
        <w:t>限不低于法律法规的规定</w:t>
      </w:r>
      <w:r>
        <w:rPr>
          <w:rFonts w:ascii="彩虹粗仿宋" w:eastAsia="彩虹粗仿宋" w:hAnsi="宋体" w:cs="Arial" w:hint="eastAsia"/>
          <w:sz w:val="24"/>
        </w:rPr>
        <w:t>。如不能妥善保管，则按相关法规承担责任。</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在基金托管人要求或编制中期报告和年度报告前，基金管理人应将有关资料送交基金托管人，不得无故拒绝或延误提供，并保证其真实性、准确性和完整性。</w:t>
      </w:r>
      <w:r>
        <w:rPr>
          <w:rFonts w:ascii="彩虹粗仿宋" w:eastAsia="彩虹粗仿宋" w:hAnsi="宋体" w:hint="eastAsia"/>
          <w:kern w:val="0"/>
          <w:sz w:val="24"/>
        </w:rPr>
        <w:t>基金托管人不得将所保管的基金份额持有人名册用于基金托管业务以外的其他用途，并应遵守保密义务。</w:t>
      </w:r>
    </w:p>
    <w:p w:rsidR="00682DA0" w:rsidRDefault="00682DA0">
      <w:pPr>
        <w:adjustRightInd w:val="0"/>
        <w:snapToGrid w:val="0"/>
        <w:rPr>
          <w:rFonts w:ascii="彩虹粗仿宋" w:eastAsia="彩虹粗仿宋" w:hAnsi="宋体" w:cs="Arial"/>
          <w:sz w:val="24"/>
        </w:rPr>
      </w:pPr>
    </w:p>
    <w:p w:rsidR="00682DA0" w:rsidRDefault="00B5345A">
      <w:pPr>
        <w:pStyle w:val="2"/>
        <w:jc w:val="center"/>
        <w:rPr>
          <w:rFonts w:ascii="彩虹粗仿宋" w:eastAsia="彩虹粗仿宋"/>
          <w:sz w:val="30"/>
        </w:rPr>
      </w:pPr>
      <w:bookmarkStart w:id="102" w:name="_Toc124325897"/>
      <w:r>
        <w:rPr>
          <w:rFonts w:ascii="彩虹粗仿宋" w:eastAsia="彩虹粗仿宋" w:hint="eastAsia"/>
          <w:sz w:val="30"/>
        </w:rPr>
        <w:t>十三、基金有关文件档案的保存</w:t>
      </w:r>
      <w:bookmarkEnd w:id="102"/>
    </w:p>
    <w:p w:rsidR="00682DA0" w:rsidRDefault="00B5345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（一）档案保存</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w:t>
      </w:r>
      <w:r>
        <w:rPr>
          <w:rFonts w:ascii="彩虹粗仿宋" w:eastAsia="彩虹粗仿宋" w:hAnsi="宋体" w:cs="Arial"/>
          <w:sz w:val="24"/>
        </w:rPr>
        <w:t>法律法规</w:t>
      </w:r>
      <w:r>
        <w:rPr>
          <w:rFonts w:ascii="彩虹粗仿宋" w:eastAsia="彩虹粗仿宋" w:hAnsi="宋体" w:cs="Arial" w:hint="eastAsia"/>
          <w:sz w:val="24"/>
        </w:rPr>
        <w:t>规定的期限保管。</w:t>
      </w:r>
    </w:p>
    <w:p w:rsidR="00682DA0" w:rsidRDefault="00B5345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（二）合同档案的建立</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1.基金管理人签署重大合同文本后，应及时将合同文本正本送达基金托管人处。</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2.基金管理人应及时将与本基金账务处理、资金划拨等有关的合同、协议传真基金托管人。</w:t>
      </w:r>
    </w:p>
    <w:p w:rsidR="00682DA0" w:rsidRDefault="00B5345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（三）变更与协助</w:t>
      </w:r>
    </w:p>
    <w:p w:rsidR="00682DA0" w:rsidRDefault="00B5345A">
      <w:pPr>
        <w:adjustRightInd w:val="0"/>
        <w:snapToGrid w:val="0"/>
        <w:ind w:firstLineChars="200" w:firstLine="480"/>
        <w:rPr>
          <w:rFonts w:ascii="彩虹粗仿宋" w:eastAsia="彩虹粗仿宋"/>
          <w:b/>
          <w:bCs/>
          <w:sz w:val="30"/>
          <w:szCs w:val="30"/>
        </w:rPr>
      </w:pPr>
      <w:r>
        <w:rPr>
          <w:rFonts w:ascii="彩虹粗仿宋" w:eastAsia="彩虹粗仿宋" w:hAnsi="宋体" w:cs="Arial" w:hint="eastAsia"/>
          <w:sz w:val="24"/>
        </w:rPr>
        <w:t>若基金管理人/基金托管人发生变更，未变更的一方有义务协助变更后的接任人接收相应文件。</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（四）基金管理人和基金托管人应按各自职责完整保存原始凭证、记账凭证、基金账册、交易记录和重要合同等，承担保密义务并保存，保存期限</w:t>
      </w:r>
      <w:r>
        <w:rPr>
          <w:rFonts w:ascii="彩虹粗仿宋" w:eastAsia="彩虹粗仿宋" w:hAnsi="宋体" w:cs="Arial"/>
          <w:sz w:val="24"/>
        </w:rPr>
        <w:t>不低于法律法规的规定</w:t>
      </w:r>
      <w:r>
        <w:rPr>
          <w:rFonts w:ascii="彩虹粗仿宋" w:eastAsia="彩虹粗仿宋" w:hAnsi="宋体" w:cs="Arial" w:hint="eastAsia"/>
          <w:sz w:val="24"/>
        </w:rPr>
        <w:t>。</w:t>
      </w:r>
    </w:p>
    <w:p w:rsidR="00682DA0" w:rsidRDefault="00682DA0">
      <w:pPr>
        <w:adjustRightInd w:val="0"/>
        <w:snapToGrid w:val="0"/>
        <w:rPr>
          <w:rFonts w:ascii="彩虹粗仿宋" w:eastAsia="彩虹粗仿宋"/>
          <w:sz w:val="30"/>
          <w:szCs w:val="30"/>
        </w:rPr>
      </w:pPr>
    </w:p>
    <w:p w:rsidR="00682DA0" w:rsidRDefault="00B5345A">
      <w:pPr>
        <w:pStyle w:val="2"/>
        <w:jc w:val="center"/>
        <w:rPr>
          <w:rFonts w:ascii="彩虹粗仿宋" w:eastAsia="彩虹粗仿宋"/>
          <w:sz w:val="30"/>
        </w:rPr>
      </w:pPr>
      <w:bookmarkStart w:id="103" w:name="_Toc124325898"/>
      <w:r>
        <w:rPr>
          <w:rFonts w:ascii="彩虹粗仿宋" w:eastAsia="彩虹粗仿宋" w:hint="eastAsia"/>
          <w:sz w:val="30"/>
        </w:rPr>
        <w:lastRenderedPageBreak/>
        <w:t>十四、基金管理人和基金托管人的更换</w:t>
      </w:r>
      <w:bookmarkEnd w:id="103"/>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（一）基金管理人职责终止的情形</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1.基金管理人职责终止的情形</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有下列情形之一的，基金管理人职责终止：</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(1)被依法取消基金管理资格；</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(2)被基金份额持有人大会解任；</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(3)依法解散、被依法撤销或被依法宣告破产；</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2.基金管理人的更换程序</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更换基金管理人必须依照如下程序进行：</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(1)提名：新任基金管理人由基金托管人</w:t>
      </w:r>
      <w:r>
        <w:rPr>
          <w:rFonts w:ascii="彩虹粗仿宋" w:eastAsia="彩虹粗仿宋" w:hint="eastAsia"/>
          <w:sz w:val="24"/>
        </w:rPr>
        <w:t>或由单独或合计持有10%以上(含10%)基金份额的基金份额持有人</w:t>
      </w:r>
      <w:r>
        <w:rPr>
          <w:rFonts w:ascii="彩虹粗仿宋" w:eastAsia="彩虹粗仿宋" w:hAnsi="宋体" w:cs="Arial" w:hint="eastAsia"/>
          <w:sz w:val="24"/>
        </w:rPr>
        <w:t>提名；</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并自表决通过之日起生效；</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(3)临时基金管理人：新任基金管理人产生之前，由中国证监会指定临时基金管理人；</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(4)备案：基金份额持有人大会更换基金管理人的决议须报中国证监会备案；</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(5)公告：基金管理人更换后，由基金托管人在更换基金管理人的基金份额持有人大会决议生效后</w:t>
      </w:r>
      <w:r>
        <w:rPr>
          <w:rFonts w:ascii="彩虹粗仿宋" w:eastAsia="彩虹粗仿宋" w:hAnsi="宋体" w:cs="Arial"/>
          <w:sz w:val="24"/>
        </w:rPr>
        <w:t>依照《信息披露办法》的规定</w:t>
      </w:r>
      <w:r>
        <w:rPr>
          <w:rFonts w:ascii="彩虹粗仿宋" w:eastAsia="彩虹粗仿宋" w:hAnsi="宋体" w:cs="Arial" w:hint="eastAsia"/>
          <w:sz w:val="24"/>
        </w:rPr>
        <w:t>在规定媒介公告；</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和净值；</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(7)审计：基金管理人职责终止的，应当按照法律法规规定聘请会计师事务所对基金财产进行审计，并将审计结果予以公告，同时报中国证监会备案，审计费用从基金财产中列支；</w:t>
      </w:r>
    </w:p>
    <w:p w:rsidR="00682DA0" w:rsidRDefault="00B5345A">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（二）基金托管人职责终止的情形</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1.基金托管人职责终止的情形</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有下列情形之一的，基金托管人职责终止：</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(1)被依法取消基金托管资格；</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(2)被基金份额持有人大会解任；</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(3)依法解散、被依法撤销或被依法宣告破产；</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2.基金托管人的更换程序</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(1)提名：新任基金托管人由基金管理人</w:t>
      </w:r>
      <w:r>
        <w:rPr>
          <w:rFonts w:ascii="彩虹粗仿宋" w:eastAsia="彩虹粗仿宋" w:hint="eastAsia"/>
          <w:sz w:val="24"/>
        </w:rPr>
        <w:t>或由单独或合计持有10%以上(含10%)基金份额的基金份额持有人</w:t>
      </w:r>
      <w:r>
        <w:rPr>
          <w:rFonts w:ascii="彩虹粗仿宋" w:eastAsia="彩虹粗仿宋" w:hAnsi="宋体" w:cs="Arial" w:hint="eastAsia"/>
          <w:sz w:val="24"/>
        </w:rPr>
        <w:t>提名；</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并自表决通过之日起生效；</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(3)临时基金托管人：新任基金托管人产生之前，由中国证监会指定临时基金托管人；</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(4)备案：基金份额持有人大会更换基金托管人的决议须报中国证监会备案；</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(5)公告：基金托管人更换后，由基金管理人在更换基金托管人的基金份额持有人大会决议生效后</w:t>
      </w:r>
      <w:bookmarkStart w:id="104" w:name="_Hlk31977907"/>
      <w:r>
        <w:rPr>
          <w:rFonts w:ascii="彩虹粗仿宋" w:eastAsia="彩虹粗仿宋" w:hAnsi="宋体" w:cs="Arial"/>
          <w:sz w:val="24"/>
        </w:rPr>
        <w:t>依照《信息披露办法》的规定</w:t>
      </w:r>
      <w:bookmarkEnd w:id="104"/>
      <w:r>
        <w:rPr>
          <w:rFonts w:ascii="彩虹粗仿宋" w:eastAsia="彩虹粗仿宋" w:hAnsi="宋体" w:cs="Arial" w:hint="eastAsia"/>
          <w:sz w:val="24"/>
        </w:rPr>
        <w:t>在规定媒介公告；</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和净值；</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(7)审计：基金托管人职责终止的，应当按照法律法规规定聘请会计师事务所对基金财产进行审计，并将审计结果予以公告，同时报中国证监会备案，审计费用从基金财产中列支。</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（三）基金管理人与基金托管人同时更换的条件和程序</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2.基金管理人和基金托管人的更换分别按上述程序进行；</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3.公告：新任基金管理人和新任基金托管人应在更换基金管理人和基金托管人的基金份额持有人大会决议生效后</w:t>
      </w:r>
      <w:r>
        <w:rPr>
          <w:rFonts w:ascii="彩虹粗仿宋" w:eastAsia="彩虹粗仿宋" w:hAnsi="宋体" w:cs="Arial"/>
          <w:sz w:val="24"/>
        </w:rPr>
        <w:t>依照《信息披露办法》的规定</w:t>
      </w:r>
      <w:r>
        <w:rPr>
          <w:rFonts w:ascii="彩虹粗仿宋" w:eastAsia="彩虹粗仿宋" w:hAnsi="宋体" w:cs="Arial" w:hint="eastAsia"/>
          <w:sz w:val="24"/>
        </w:rPr>
        <w:t>在规定媒介上联合公告。</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（四）境外托管人的更换</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1、如果基金托管人更换境外托管人，应在合理的期限内及时书面通知基金管理人。</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2、基金托管人和境外托管人根据更换境外托管人通知办理相应的业务交接手</w:t>
      </w:r>
      <w:r>
        <w:rPr>
          <w:rFonts w:ascii="彩虹粗仿宋" w:eastAsia="彩虹粗仿宋" w:hAnsi="宋体" w:cs="Arial" w:hint="eastAsia"/>
          <w:sz w:val="24"/>
        </w:rPr>
        <w:lastRenderedPageBreak/>
        <w:t>续，在办理相应的业务交接手续时，基金托管人和境外托管人应继续遵循诚实信用、勤勉尽责的原则，妥善保管基金财产。</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3、基金托管人应要求接任的境外托管人配合原境外托管人办理业务交接手续。</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4、变更境外托管人后5个工作日内应向中国证监会备案并公告。</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新任或临时基金管理人接收基金管理业务，或新任或临时基金托管人接收基金财产和基金托管业务前，原基金管理人或原基金托管人应继续履行相关职责，并保证不做出对基金份额持有人的利益造成损害的行为。原基金管理人或原基金托管人在继续履行相关职责期间，仍有权按照基金合同的规定收取基金管理费或基金托管费。</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rsidR="00682DA0" w:rsidRDefault="00682DA0">
      <w:pPr>
        <w:adjustRightInd w:val="0"/>
        <w:snapToGrid w:val="0"/>
        <w:rPr>
          <w:rFonts w:ascii="彩虹粗仿宋" w:eastAsia="彩虹粗仿宋" w:hAnsi="宋体" w:cs="Arial"/>
          <w:sz w:val="24"/>
        </w:rPr>
      </w:pPr>
    </w:p>
    <w:p w:rsidR="00682DA0" w:rsidRDefault="00B5345A">
      <w:pPr>
        <w:pStyle w:val="2"/>
        <w:jc w:val="center"/>
        <w:rPr>
          <w:rFonts w:ascii="彩虹粗仿宋" w:eastAsia="彩虹粗仿宋"/>
          <w:sz w:val="30"/>
        </w:rPr>
      </w:pPr>
      <w:bookmarkStart w:id="105" w:name="_Toc124325899"/>
      <w:r>
        <w:rPr>
          <w:rFonts w:ascii="彩虹粗仿宋" w:eastAsia="彩虹粗仿宋" w:hint="eastAsia"/>
          <w:sz w:val="30"/>
        </w:rPr>
        <w:t>十五、禁止行为</w:t>
      </w:r>
      <w:bookmarkEnd w:id="105"/>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本协议当事人禁止从事的行为，包括但不限于：</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（一）基金管理人、基金托管人将其固有财产或者他人财产混同于基金财产从事证券投资。</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（二）基金管理人不公平地对待其管理的不同基金财产，基金托管人不公平地对待其托管的不同基金财产。</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（三）基金管理人、基金托管人利用基金财产或职务之便为基金份额持有人以外的第三人牟取利益。</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（四）基金管理人、基金托管人向基金份额持有人违规承诺收益或者承担损失。</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（五）基金管理人、基金托管人对他人泄漏基金运作和管理过程中任何尚未按法律法规规定的方式公开披露的信息。</w:t>
      </w:r>
    </w:p>
    <w:p w:rsidR="00682DA0" w:rsidRDefault="00B5345A">
      <w:pPr>
        <w:adjustRightInd w:val="0"/>
        <w:snapToGrid w:val="0"/>
        <w:ind w:firstLineChars="200" w:firstLine="480"/>
        <w:rPr>
          <w:rFonts w:ascii="彩虹粗仿宋" w:eastAsia="彩虹粗仿宋" w:hAnsi="宋体" w:cs="Arial"/>
        </w:rPr>
      </w:pPr>
      <w:r>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（七）基金管理人、基金托管人在行政上、财务上不独立, 其高级管理人员和其他从业人员相互兼职。</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（八）基金管理人、基金托管人侵占、挪用基金财产</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（九）基金管理人、基金托管人泄露因职务便利获取的未公开信息、利用该</w:t>
      </w:r>
      <w:r>
        <w:rPr>
          <w:rFonts w:ascii="彩虹粗仿宋" w:eastAsia="彩虹粗仿宋" w:hAnsi="宋体" w:cs="Arial" w:hint="eastAsia"/>
          <w:sz w:val="24"/>
        </w:rPr>
        <w:lastRenderedPageBreak/>
        <w:t>信息从事或者明示、暗示他人从事相关的交易活动。</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（十）基金管理人、基金托管人玩忽职守，不按照规定履行职责。</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（十一）基金托管人私自动用或处分基金财产，根据基金管理人的合法指令、《基金合同》或托管协议的规定进行处分的除外。</w:t>
      </w:r>
    </w:p>
    <w:p w:rsidR="00682DA0" w:rsidRDefault="00B5345A">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sz w:val="24"/>
        </w:rPr>
        <w:t>（十二）基金财产用于下列投资或者活动：</w:t>
      </w:r>
    </w:p>
    <w:p w:rsidR="00682DA0" w:rsidRDefault="00B5345A">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（1）购买不动产；</w:t>
      </w:r>
    </w:p>
    <w:p w:rsidR="00682DA0" w:rsidRDefault="00B5345A">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（2）购买房地产抵押按揭；</w:t>
      </w:r>
    </w:p>
    <w:p w:rsidR="00682DA0" w:rsidRDefault="00B5345A">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（3）购买贵重金属或代表贵重金属的凭证；</w:t>
      </w:r>
    </w:p>
    <w:p w:rsidR="00682DA0" w:rsidRDefault="00B5345A">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（4）购买实物商品；</w:t>
      </w:r>
    </w:p>
    <w:p w:rsidR="00682DA0" w:rsidRDefault="00B5345A">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（5）除应付赎回、交易清算等临时用途以外，借入现金；该临时用途借入现金的比例不得超过基金资产净值的10%；</w:t>
      </w:r>
    </w:p>
    <w:p w:rsidR="00682DA0" w:rsidRDefault="00B5345A">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（6）利用融资购买证券，但投资金融衍生品除外；</w:t>
      </w:r>
    </w:p>
    <w:p w:rsidR="00682DA0" w:rsidRDefault="00B5345A">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（7）参与未持有基础资产的卖空交易；</w:t>
      </w:r>
    </w:p>
    <w:p w:rsidR="00682DA0" w:rsidRDefault="00B5345A">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（8）直接投资与实物商品相关的衍生品；</w:t>
      </w:r>
    </w:p>
    <w:p w:rsidR="00682DA0" w:rsidRDefault="00B5345A">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（9）购买证券用于控制或影响发行该证券的机构或其管理层；</w:t>
      </w:r>
    </w:p>
    <w:p w:rsidR="00682DA0" w:rsidRDefault="00B5345A">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（10）承销证券；</w:t>
      </w:r>
    </w:p>
    <w:p w:rsidR="00682DA0" w:rsidRDefault="00B5345A">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（11）违反规定向他人贷款或者提供担保；</w:t>
      </w:r>
    </w:p>
    <w:p w:rsidR="00682DA0" w:rsidRDefault="00B5345A">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（12）从事承担无限责任的投资；</w:t>
      </w:r>
    </w:p>
    <w:p w:rsidR="00682DA0" w:rsidRDefault="00B5345A">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（13）向其基金管理人、基金托管人出资；</w:t>
      </w:r>
    </w:p>
    <w:p w:rsidR="00682DA0" w:rsidRDefault="00B5345A">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（14）从事内幕交易、操纵证券交易价格及其他不正当的证券交易活动；</w:t>
      </w:r>
    </w:p>
    <w:p w:rsidR="00682DA0" w:rsidRDefault="00B5345A">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（15）法律、行政法规和中国证监会规定禁止的其他活动。</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上述禁止行为是基于《基金合同》生效时法律法规而约定，法律法规或监管部门取消或变更上述限制，如适用于本基金，</w:t>
      </w:r>
      <w:r>
        <w:rPr>
          <w:rFonts w:ascii="彩虹粗仿宋" w:eastAsia="彩虹粗仿宋" w:hAnsi="宋体" w:cs="Arial"/>
          <w:sz w:val="24"/>
        </w:rPr>
        <w:t>基金管理人在履行适当程序后，</w:t>
      </w:r>
      <w:r>
        <w:rPr>
          <w:rFonts w:ascii="彩虹粗仿宋" w:eastAsia="彩虹粗仿宋" w:hAnsi="宋体" w:cs="Arial" w:hint="eastAsia"/>
          <w:sz w:val="24"/>
        </w:rPr>
        <w:t>则本基金投资不再受相关限制</w:t>
      </w:r>
      <w:r>
        <w:rPr>
          <w:rFonts w:ascii="彩虹粗仿宋" w:eastAsia="彩虹粗仿宋" w:hAnsi="宋体" w:cs="Arial"/>
          <w:sz w:val="24"/>
        </w:rPr>
        <w:t>或以变更后的规定为准</w:t>
      </w:r>
      <w:r>
        <w:rPr>
          <w:rFonts w:ascii="彩虹粗仿宋" w:eastAsia="彩虹粗仿宋" w:hAnsi="宋体" w:cs="Arial" w:hint="eastAsia"/>
          <w:sz w:val="24"/>
        </w:rPr>
        <w:t>。</w:t>
      </w:r>
    </w:p>
    <w:p w:rsidR="00682DA0" w:rsidRDefault="00B5345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（十三）法律法规和《基金合同》禁止的其他行为，以及</w:t>
      </w:r>
      <w:r>
        <w:rPr>
          <w:rFonts w:ascii="彩虹粗仿宋" w:eastAsia="彩虹粗仿宋" w:hint="eastAsia"/>
          <w:sz w:val="24"/>
        </w:rPr>
        <w:t>依照法律、行政法规有关规定，由中国证监会规定禁止基金管理人、基金托管人从事的其他行为。</w:t>
      </w:r>
    </w:p>
    <w:p w:rsidR="00682DA0" w:rsidRDefault="00682DA0">
      <w:pPr>
        <w:adjustRightInd w:val="0"/>
        <w:snapToGrid w:val="0"/>
        <w:rPr>
          <w:rFonts w:ascii="彩虹粗仿宋" w:eastAsia="彩虹粗仿宋"/>
          <w:sz w:val="30"/>
          <w:szCs w:val="30"/>
        </w:rPr>
      </w:pPr>
    </w:p>
    <w:p w:rsidR="00682DA0" w:rsidRDefault="00B5345A">
      <w:pPr>
        <w:pStyle w:val="2"/>
        <w:jc w:val="center"/>
        <w:rPr>
          <w:rFonts w:ascii="彩虹粗仿宋" w:eastAsia="彩虹粗仿宋"/>
          <w:sz w:val="30"/>
        </w:rPr>
      </w:pPr>
      <w:bookmarkStart w:id="106" w:name="_Toc124325900"/>
      <w:r>
        <w:rPr>
          <w:rFonts w:ascii="彩虹粗仿宋" w:eastAsia="彩虹粗仿宋" w:hint="eastAsia"/>
          <w:sz w:val="30"/>
        </w:rPr>
        <w:t>十六、托管协议的变更、终止与基金财产的清算</w:t>
      </w:r>
      <w:bookmarkEnd w:id="106"/>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（一）托管协议的变更程序</w:t>
      </w:r>
    </w:p>
    <w:p w:rsidR="00682DA0" w:rsidRDefault="00B5345A">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w:t>
      </w:r>
      <w:r>
        <w:rPr>
          <w:rFonts w:ascii="彩虹粗仿宋" w:eastAsia="彩虹粗仿宋" w:hAnsi="宋体" w:cs="Arial" w:hint="eastAsia"/>
          <w:sz w:val="24"/>
        </w:rPr>
        <w:lastRenderedPageBreak/>
        <w:t>备案。</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（二）托管协议终止的情形</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2.基金托管人解散、依法被撤销、破产或由其他基金托管人接管基金资产；</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3.基金管理人解散、依法被撤销、破产或由其他基金管理人接管基金管理权；</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4.发生法律法规或《基金合同》规定的终止事项。</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（三）基金财产的清算</w:t>
      </w:r>
    </w:p>
    <w:p w:rsidR="00682DA0" w:rsidRDefault="00B5345A">
      <w:pPr>
        <w:adjustRightInd w:val="0"/>
        <w:snapToGrid w:val="0"/>
        <w:ind w:firstLineChars="200" w:firstLine="480"/>
        <w:rPr>
          <w:rFonts w:ascii="彩虹粗仿宋" w:eastAsia="彩虹粗仿宋" w:hAnsi="宋体" w:cs="Arial"/>
          <w:sz w:val="24"/>
        </w:rPr>
      </w:pPr>
      <w:bookmarkStart w:id="107" w:name="_Hlk35025012"/>
      <w:r>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4.基金财产清算程序：</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(1)《基金合同》终止情形出现时，由基金财产清算小组统一接管基金；</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(2)对基金财产和债权债务进行清理和确认；</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(3)对基金财产进行估值和变现；</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(4)制作清算报告；</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(5)聘请会计师事务所对清算报告进行外部审计，聘请律师事务所对清算报告出具法律意见书；</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(6)将清算报告报中国证监会备案并公告；</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(7)对基金剩余财产进行分配。</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5.基金财产清算的期限为6个月，但因本基金所持证券的流动性受到限制而不能及时变现的，清算期限相应顺延。</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6.清算费用</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7.基金财产清算剩余资产的分配：</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8.基金财产清算的公告</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w:t>
      </w:r>
      <w:r>
        <w:rPr>
          <w:rFonts w:ascii="彩虹粗仿宋" w:eastAsia="彩虹粗仿宋" w:hAnsi="宋体" w:cs="Arial"/>
          <w:sz w:val="24"/>
        </w:rPr>
        <w:t>基金财产</w:t>
      </w:r>
      <w:r>
        <w:rPr>
          <w:rFonts w:ascii="彩虹粗仿宋" w:eastAsia="彩虹粗仿宋" w:hAnsi="宋体" w:cs="Arial" w:hint="eastAsia"/>
          <w:sz w:val="24"/>
        </w:rPr>
        <w:t>清算小组应当将清算报告登载在规定网站上，并将清算报告提示性公告登载在规定报刊上。</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9.基金财产清算账册及文件的保存</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基金财产清算账册及有关文件由基金托管人保存15年以上，</w:t>
      </w:r>
      <w:r>
        <w:rPr>
          <w:rFonts w:ascii="彩虹粗仿宋" w:eastAsia="彩虹粗仿宋" w:hAnsi="宋体" w:cs="Arial"/>
          <w:sz w:val="24"/>
        </w:rPr>
        <w:t>法律法规或监管规则另有规定的</w:t>
      </w:r>
      <w:r>
        <w:rPr>
          <w:rFonts w:ascii="彩虹粗仿宋" w:eastAsia="彩虹粗仿宋" w:hAnsi="宋体" w:cs="Arial" w:hint="eastAsia"/>
          <w:sz w:val="24"/>
        </w:rPr>
        <w:t>，</w:t>
      </w:r>
      <w:r>
        <w:rPr>
          <w:rFonts w:ascii="彩虹粗仿宋" w:eastAsia="彩虹粗仿宋" w:hAnsi="宋体" w:cs="Arial"/>
          <w:sz w:val="24"/>
        </w:rPr>
        <w:t>从其</w:t>
      </w:r>
      <w:r>
        <w:rPr>
          <w:rFonts w:ascii="彩虹粗仿宋" w:eastAsia="彩虹粗仿宋" w:hAnsi="宋体" w:cs="Arial" w:hint="eastAsia"/>
          <w:sz w:val="24"/>
        </w:rPr>
        <w:t>规定。</w:t>
      </w:r>
    </w:p>
    <w:bookmarkEnd w:id="107"/>
    <w:p w:rsidR="00682DA0" w:rsidRDefault="00682DA0">
      <w:pPr>
        <w:adjustRightInd w:val="0"/>
        <w:snapToGrid w:val="0"/>
        <w:rPr>
          <w:rFonts w:ascii="彩虹粗仿宋" w:eastAsia="彩虹粗仿宋" w:hAnsi="宋体" w:cs="Arial"/>
          <w:sz w:val="24"/>
        </w:rPr>
      </w:pPr>
    </w:p>
    <w:p w:rsidR="00682DA0" w:rsidRDefault="00B5345A">
      <w:pPr>
        <w:pStyle w:val="2"/>
        <w:jc w:val="center"/>
        <w:rPr>
          <w:rFonts w:ascii="彩虹粗仿宋" w:eastAsia="彩虹粗仿宋"/>
          <w:sz w:val="30"/>
        </w:rPr>
      </w:pPr>
      <w:bookmarkStart w:id="108" w:name="_Toc124325901"/>
      <w:r>
        <w:rPr>
          <w:rFonts w:ascii="彩虹粗仿宋" w:eastAsia="彩虹粗仿宋" w:hint="eastAsia"/>
          <w:sz w:val="30"/>
        </w:rPr>
        <w:t>十七、违约责任</w:t>
      </w:r>
      <w:bookmarkEnd w:id="108"/>
    </w:p>
    <w:p w:rsidR="00682DA0" w:rsidRDefault="00B5345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（一）基金管理人、基金托管人不履行本协议或履行本协议不符合约定的，应当承担违约责任。</w:t>
      </w:r>
    </w:p>
    <w:p w:rsidR="00682DA0" w:rsidRDefault="00B5345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管理人、基金托管人在履行各自职责的过程中，违反《基金法》等法律法规的规定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rsidR="00682DA0" w:rsidRDefault="00B5345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2.基金管理人和/或基金托管人按照当时有效的法律法规或中国证监会的规定</w:t>
      </w:r>
      <w:r>
        <w:rPr>
          <w:rFonts w:ascii="彩虹粗仿宋" w:eastAsia="彩虹粗仿宋" w:hAnsi="宋体" w:cs="Arial" w:hint="eastAsia"/>
          <w:bCs/>
          <w:sz w:val="24"/>
        </w:rPr>
        <w:t>以及基金财产投资所在地法律法规、监管要求、证券市场规则或市场惯例</w:t>
      </w:r>
      <w:r>
        <w:rPr>
          <w:rFonts w:ascii="彩虹粗仿宋" w:eastAsia="彩虹粗仿宋" w:hAnsi="宋体" w:cs="Arial" w:hint="eastAsia"/>
          <w:sz w:val="24"/>
        </w:rPr>
        <w:t>作为或不作为而造成的损失等；</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3.基金管理人由于按照《基金合同》规定的投资原则投资或不投资造成的直接损失或潜在损失等。</w:t>
      </w:r>
    </w:p>
    <w:p w:rsidR="00682DA0" w:rsidRDefault="00B5345A">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4.非因基金管理人或基金托管人的原因，境内外相关监管机构、证券交易所、证券登记存管机构或其他有权第三方依据法律法规和市场惯例对基金资产实施冻结、扣押、质押或施加其他权利负担；在可行的前提下，基金管理人和基金托管人将提出抗辩或采取其他合理措施以保护基金资产安全；</w:t>
      </w:r>
    </w:p>
    <w:p w:rsidR="00682DA0" w:rsidRDefault="00B5345A">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lastRenderedPageBreak/>
        <w:t>5.现金于存入托管账户时构成基金托管人、境外托管人的等额债务，除非法律法规及撤销或清盘程序明文禁止该等现金归于清算财产外，该等现金归入清算财产并不构成基金托管人违反本协议的约定。</w:t>
      </w:r>
    </w:p>
    <w:p w:rsidR="00682DA0" w:rsidRDefault="00682DA0">
      <w:pPr>
        <w:adjustRightInd w:val="0"/>
        <w:snapToGrid w:val="0"/>
        <w:ind w:firstLineChars="200" w:firstLine="480"/>
        <w:rPr>
          <w:rFonts w:ascii="彩虹粗仿宋" w:eastAsia="彩虹粗仿宋" w:hAnsi="宋体" w:cs="Arial"/>
          <w:sz w:val="24"/>
        </w:rPr>
      </w:pPr>
    </w:p>
    <w:p w:rsidR="00682DA0" w:rsidRDefault="00B5345A">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sz w:val="24"/>
        </w:rPr>
        <w:t>（四）一方当事人违约，另一方当事人在职责范围内有义务及时采取必要的措施，尽力防止损失的扩大。</w:t>
      </w:r>
      <w:r>
        <w:rPr>
          <w:rFonts w:ascii="彩虹粗仿宋" w:eastAsia="彩虹粗仿宋" w:hAnsi="宋体" w:cs="Arial" w:hint="eastAsia"/>
          <w:kern w:val="0"/>
          <w:sz w:val="24"/>
        </w:rPr>
        <w:t>没有采取适当措施致使损失进一步扩大的，不得就扩大的损失要求赔偿。非违约方因防止损失扩大而支出的合理费用由违约方承担。</w:t>
      </w:r>
    </w:p>
    <w:p w:rsidR="00682DA0" w:rsidRDefault="00682DA0">
      <w:pPr>
        <w:adjustRightInd w:val="0"/>
        <w:snapToGrid w:val="0"/>
        <w:ind w:firstLineChars="200" w:firstLine="480"/>
        <w:rPr>
          <w:rFonts w:ascii="彩虹粗仿宋" w:eastAsia="彩虹粗仿宋" w:hAnsi="宋体" w:cs="Arial"/>
          <w:sz w:val="24"/>
        </w:rPr>
      </w:pPr>
    </w:p>
    <w:p w:rsidR="00682DA0" w:rsidRDefault="00B5345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682DA0" w:rsidRDefault="00B5345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682DA0" w:rsidRDefault="00B5345A">
      <w:pPr>
        <w:ind w:firstLine="482"/>
        <w:rPr>
          <w:rFonts w:ascii="彩虹粗仿宋" w:eastAsia="彩虹粗仿宋" w:hAnsi="宋体" w:cs="Arial"/>
          <w:sz w:val="24"/>
        </w:rPr>
      </w:pPr>
      <w:r>
        <w:rPr>
          <w:rFonts w:ascii="彩虹粗仿宋" w:eastAsia="彩虹粗仿宋" w:hAnsi="宋体" w:cs="Arial" w:hint="eastAsia"/>
          <w:sz w:val="24"/>
        </w:rPr>
        <w:t>（七）境外托管人是否存在过错、疏忽行为，应根据相关当事人之间的协议约定的适用法律以及当地的证券市场惯例，依照约定的诉讼或仲裁程序决定。如根据上述适用法律及市场惯例，境外托管人某些导致本基金资产受损的行为不被视为过错、疏忽行为，则基金管理人和基金托管人免责。在依照约定的诉讼或仲裁程序确定境外托管人存在过错、疏忽行为之前，基金管理人或基金托管人有权拒绝向基金份额持有人承担相关责任。</w:t>
      </w:r>
    </w:p>
    <w:p w:rsidR="00682DA0" w:rsidRDefault="00B5345A">
      <w:pPr>
        <w:adjustRightInd w:val="0"/>
        <w:snapToGrid w:val="0"/>
        <w:ind w:firstLine="482"/>
        <w:outlineLvl w:val="0"/>
        <w:rPr>
          <w:rFonts w:ascii="彩虹粗仿宋" w:eastAsia="彩虹粗仿宋" w:hAnsi="宋体" w:cs="Arial"/>
          <w:kern w:val="0"/>
          <w:sz w:val="24"/>
        </w:rPr>
      </w:pPr>
      <w:r>
        <w:rPr>
          <w:rFonts w:ascii="彩虹粗仿宋" w:eastAsia="彩虹粗仿宋" w:hAnsi="宋体" w:cs="Arial" w:hint="eastAsia"/>
          <w:kern w:val="0"/>
          <w:sz w:val="24"/>
        </w:rPr>
        <w:t>（八）基金管理人应根据美国、欧盟、联合国相关制裁规定以及审慎、尽职的原则，对本基金份额持有人及本基金资产背后的客户进行制裁名单筛查。若基金管理人没有履行该等名单筛查的义务，或未能有效发现受制裁的主体，或发生其他违反前述制裁规定的情形，基金份额持有人及基金管理人理解并同意，基金托管人和境外托管人将无法继续为该等基金资产提供托管服务，基金托管人和境外托管人对此不承担任何责任，对于因此导致基金托管人和境外托管人受到处罚等可能遭受的任何损失，基金管理人须承担全部责任。</w:t>
      </w:r>
    </w:p>
    <w:p w:rsidR="00682DA0" w:rsidRDefault="00682DA0">
      <w:pPr>
        <w:adjustRightInd w:val="0"/>
        <w:snapToGrid w:val="0"/>
        <w:outlineLvl w:val="0"/>
        <w:rPr>
          <w:rFonts w:ascii="彩虹粗仿宋" w:eastAsia="彩虹粗仿宋" w:hAnsi="宋体" w:cs="Arial"/>
          <w:sz w:val="24"/>
        </w:rPr>
      </w:pPr>
    </w:p>
    <w:p w:rsidR="00682DA0" w:rsidRDefault="00B5345A">
      <w:pPr>
        <w:pStyle w:val="2"/>
        <w:jc w:val="center"/>
        <w:rPr>
          <w:rFonts w:ascii="彩虹粗仿宋" w:eastAsia="彩虹粗仿宋"/>
          <w:sz w:val="30"/>
        </w:rPr>
      </w:pPr>
      <w:bookmarkStart w:id="109" w:name="_Toc124325902"/>
      <w:r>
        <w:rPr>
          <w:rFonts w:ascii="彩虹粗仿宋" w:eastAsia="彩虹粗仿宋" w:hint="eastAsia"/>
          <w:sz w:val="30"/>
        </w:rPr>
        <w:lastRenderedPageBreak/>
        <w:t>十八、争议解决方式</w:t>
      </w:r>
      <w:bookmarkEnd w:id="109"/>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各方当事人同意，因本协议产生或与之相关的争议，如经一方提出协商解决争议之日起60日内争议未能以协商方式解决的，应提交中国国际经济贸易仲裁委员会按照当时有效的仲裁规则进行仲裁，仲裁地点为北京市。仲裁裁决是终局的，对仲裁各方当事人均有约束力，仲裁费由败诉方承担。</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本协议受中国法律</w:t>
      </w:r>
      <w:r>
        <w:rPr>
          <w:rFonts w:ascii="彩虹粗仿宋" w:eastAsia="彩虹粗仿宋" w:hAnsi="宋体" w:cs="Arial"/>
          <w:sz w:val="24"/>
        </w:rPr>
        <w:t>（为本</w:t>
      </w:r>
      <w:r>
        <w:rPr>
          <w:rFonts w:ascii="彩虹粗仿宋" w:eastAsia="彩虹粗仿宋" w:hAnsi="宋体" w:cs="Arial" w:hint="eastAsia"/>
          <w:sz w:val="24"/>
        </w:rPr>
        <w:t>协议</w:t>
      </w:r>
      <w:r>
        <w:rPr>
          <w:rFonts w:ascii="彩虹粗仿宋" w:eastAsia="彩虹粗仿宋" w:hAnsi="宋体" w:cs="Arial"/>
          <w:sz w:val="24"/>
        </w:rPr>
        <w:t>之目的，不包括香港特别行政区、澳门特别行政区和台湾地区法律）</w:t>
      </w:r>
      <w:r>
        <w:rPr>
          <w:rFonts w:ascii="彩虹粗仿宋" w:eastAsia="彩虹粗仿宋" w:hAnsi="宋体" w:cs="Arial" w:hint="eastAsia"/>
          <w:sz w:val="24"/>
        </w:rPr>
        <w:t>管辖。</w:t>
      </w:r>
    </w:p>
    <w:p w:rsidR="00682DA0" w:rsidRDefault="00682DA0">
      <w:pPr>
        <w:adjustRightInd w:val="0"/>
        <w:snapToGrid w:val="0"/>
        <w:rPr>
          <w:rFonts w:ascii="彩虹粗仿宋" w:eastAsia="彩虹粗仿宋" w:hAnsi="宋体" w:cs="Arial"/>
          <w:sz w:val="24"/>
        </w:rPr>
      </w:pPr>
    </w:p>
    <w:p w:rsidR="00682DA0" w:rsidRDefault="00B5345A">
      <w:pPr>
        <w:pStyle w:val="2"/>
        <w:jc w:val="center"/>
        <w:rPr>
          <w:rFonts w:ascii="彩虹粗仿宋" w:eastAsia="彩虹粗仿宋"/>
          <w:sz w:val="30"/>
        </w:rPr>
      </w:pPr>
      <w:bookmarkStart w:id="110" w:name="_Toc124325903"/>
      <w:r>
        <w:rPr>
          <w:rFonts w:ascii="彩虹粗仿宋" w:eastAsia="彩虹粗仿宋" w:hint="eastAsia"/>
          <w:sz w:val="30"/>
        </w:rPr>
        <w:t>十九、托管协议的效力</w:t>
      </w:r>
      <w:bookmarkEnd w:id="110"/>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双方对托管协议的效力约定如下：</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（一）托管协议应经托管协议当事人双方盖章以及双方法定代表人或授权代表签章。托管协议以中国证监会注册的文本为正式文本。</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（三）托管协议自生效之日起对托管协议当事人具有同等的法律约束力。</w:t>
      </w:r>
    </w:p>
    <w:p w:rsidR="00682DA0" w:rsidRDefault="00B5345A">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（四）本协议一式三份，协议双方各持一份，上报监管机构一份，每份具有同等的法律效力。</w:t>
      </w:r>
    </w:p>
    <w:p w:rsidR="00682DA0" w:rsidRDefault="00682DA0">
      <w:pPr>
        <w:adjustRightInd w:val="0"/>
        <w:snapToGrid w:val="0"/>
        <w:rPr>
          <w:rFonts w:ascii="彩虹粗仿宋" w:eastAsia="彩虹粗仿宋" w:hAnsi="宋体" w:cs="Arial"/>
          <w:sz w:val="24"/>
        </w:rPr>
      </w:pPr>
    </w:p>
    <w:p w:rsidR="00682DA0" w:rsidRDefault="00B5345A">
      <w:pPr>
        <w:pStyle w:val="2"/>
        <w:jc w:val="center"/>
        <w:rPr>
          <w:rFonts w:ascii="彩虹粗仿宋" w:eastAsia="彩虹粗仿宋"/>
          <w:sz w:val="30"/>
        </w:rPr>
      </w:pPr>
      <w:bookmarkStart w:id="111" w:name="_Toc124325904"/>
      <w:r>
        <w:rPr>
          <w:rFonts w:ascii="彩虹粗仿宋" w:eastAsia="彩虹粗仿宋" w:hint="eastAsia"/>
          <w:sz w:val="30"/>
        </w:rPr>
        <w:t>二十、其他事项</w:t>
      </w:r>
      <w:bookmarkEnd w:id="111"/>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如发生有权司法机关依法冻结基金份额持有人的基金份额时，基金管理人应予以配合，承担司法协助义务。</w:t>
      </w:r>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682DA0" w:rsidRDefault="00682DA0">
      <w:pPr>
        <w:adjustRightInd w:val="0"/>
        <w:snapToGrid w:val="0"/>
        <w:rPr>
          <w:rFonts w:ascii="彩虹粗仿宋" w:eastAsia="彩虹粗仿宋"/>
          <w:b/>
          <w:bCs/>
        </w:rPr>
      </w:pPr>
    </w:p>
    <w:p w:rsidR="00682DA0" w:rsidRDefault="00B5345A">
      <w:pPr>
        <w:pStyle w:val="2"/>
        <w:jc w:val="center"/>
        <w:rPr>
          <w:rFonts w:ascii="彩虹粗仿宋" w:eastAsia="彩虹粗仿宋"/>
          <w:sz w:val="30"/>
        </w:rPr>
      </w:pPr>
      <w:bookmarkStart w:id="112" w:name="_Toc124325905"/>
      <w:r>
        <w:rPr>
          <w:rFonts w:ascii="彩虹粗仿宋" w:eastAsia="彩虹粗仿宋" w:hint="eastAsia"/>
          <w:sz w:val="30"/>
        </w:rPr>
        <w:lastRenderedPageBreak/>
        <w:t>二十一、托管协议的签订</w:t>
      </w:r>
      <w:bookmarkEnd w:id="112"/>
    </w:p>
    <w:p w:rsidR="00682DA0" w:rsidRDefault="00B5345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本协议双方法定代表人或授权代表签章、签订地、签订日</w:t>
      </w:r>
    </w:p>
    <w:p w:rsidR="00682DA0" w:rsidRDefault="00682DA0" w:rsidP="0093068E">
      <w:pPr>
        <w:widowControl/>
        <w:jc w:val="left"/>
      </w:pPr>
    </w:p>
    <w:sectPr w:rsidR="00682DA0">
      <w:headerReference w:type="default" r:id="rId10"/>
      <w:footerReference w:type="default" r:id="rId11"/>
      <w:pgSz w:w="11906" w:h="16838"/>
      <w:pgMar w:top="1418" w:right="1701" w:bottom="1418"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A1E" w:rsidRDefault="00E46A1E">
      <w:r>
        <w:separator/>
      </w:r>
    </w:p>
  </w:endnote>
  <w:endnote w:type="continuationSeparator" w:id="0">
    <w:p w:rsidR="00E46A1E" w:rsidRDefault="00E46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仿宋简体">
    <w:altName w:val="宋体"/>
    <w:charset w:val="86"/>
    <w:family w:val="auto"/>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彩虹粗仿宋">
    <w:altName w:val="微软雅黑"/>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DA0" w:rsidRDefault="00B5345A">
    <w:pPr>
      <w:pStyle w:val="a7"/>
      <w:framePr w:wrap="around" w:vAnchor="text" w:hAnchor="margin" w:xAlign="center" w:y="1"/>
      <w:rPr>
        <w:rStyle w:val="ab"/>
      </w:rPr>
    </w:pPr>
    <w:r>
      <w:fldChar w:fldCharType="begin"/>
    </w:r>
    <w:r>
      <w:rPr>
        <w:rStyle w:val="ab"/>
      </w:rPr>
      <w:instrText xml:space="preserve">PAGE  </w:instrText>
    </w:r>
    <w:r>
      <w:fldChar w:fldCharType="end"/>
    </w:r>
  </w:p>
  <w:p w:rsidR="00682DA0" w:rsidRDefault="00682DA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DA0" w:rsidRDefault="00682DA0">
    <w:pPr>
      <w:pStyle w:val="a7"/>
      <w:jc w:val="center"/>
    </w:pPr>
  </w:p>
  <w:p w:rsidR="00682DA0" w:rsidRDefault="00682DA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A1E" w:rsidRDefault="00E46A1E">
      <w:r>
        <w:separator/>
      </w:r>
    </w:p>
  </w:footnote>
  <w:footnote w:type="continuationSeparator" w:id="0">
    <w:p w:rsidR="00E46A1E" w:rsidRDefault="00E46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DA0" w:rsidRDefault="00B5345A">
    <w:pPr>
      <w:pStyle w:val="a8"/>
      <w:wordWrap w:val="0"/>
      <w:jc w:val="right"/>
    </w:pPr>
    <w:r>
      <w:rPr>
        <w:rFonts w:ascii="仿宋_GB2312" w:eastAsia="仿宋_GB2312" w:hint="eastAsia"/>
      </w:rPr>
      <w:t>华泰柏瑞南方东英恒生科技指数交易型开放式指数证券投资基金（QDII）                      托管协议</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iqian du">
    <w15:presenceInfo w15:providerId="Windows Live" w15:userId="b980c995c1cac2bc"/>
  </w15:person>
  <w15:person w15:author="YuanTai">
    <w15:presenceInfo w15:providerId="None" w15:userId="YuanT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hideGrammaticalErrors/>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72C"/>
    <w:rsid w:val="00002874"/>
    <w:rsid w:val="00026A25"/>
    <w:rsid w:val="00036D3E"/>
    <w:rsid w:val="00044C88"/>
    <w:rsid w:val="00052F8E"/>
    <w:rsid w:val="00063554"/>
    <w:rsid w:val="00071F0F"/>
    <w:rsid w:val="0008772C"/>
    <w:rsid w:val="00092F7D"/>
    <w:rsid w:val="000A06EB"/>
    <w:rsid w:val="000A2052"/>
    <w:rsid w:val="000A2D9F"/>
    <w:rsid w:val="000A5049"/>
    <w:rsid w:val="000A62EE"/>
    <w:rsid w:val="000B1651"/>
    <w:rsid w:val="000B18F8"/>
    <w:rsid w:val="000C4004"/>
    <w:rsid w:val="000E2BEC"/>
    <w:rsid w:val="00100887"/>
    <w:rsid w:val="0010098C"/>
    <w:rsid w:val="00101656"/>
    <w:rsid w:val="001023D8"/>
    <w:rsid w:val="00130A53"/>
    <w:rsid w:val="00130AA7"/>
    <w:rsid w:val="00150E7F"/>
    <w:rsid w:val="00161C9F"/>
    <w:rsid w:val="001671BD"/>
    <w:rsid w:val="001817B2"/>
    <w:rsid w:val="001823A9"/>
    <w:rsid w:val="001956E4"/>
    <w:rsid w:val="001A45F6"/>
    <w:rsid w:val="001B0521"/>
    <w:rsid w:val="001B2767"/>
    <w:rsid w:val="001C0910"/>
    <w:rsid w:val="001C798C"/>
    <w:rsid w:val="001D0FFA"/>
    <w:rsid w:val="001D124C"/>
    <w:rsid w:val="001F2090"/>
    <w:rsid w:val="002077FC"/>
    <w:rsid w:val="002107A3"/>
    <w:rsid w:val="00220450"/>
    <w:rsid w:val="002302F0"/>
    <w:rsid w:val="00231663"/>
    <w:rsid w:val="00232072"/>
    <w:rsid w:val="002454AE"/>
    <w:rsid w:val="002564FF"/>
    <w:rsid w:val="00274752"/>
    <w:rsid w:val="00280AFA"/>
    <w:rsid w:val="00285429"/>
    <w:rsid w:val="002942CE"/>
    <w:rsid w:val="002A12E9"/>
    <w:rsid w:val="002C7B8E"/>
    <w:rsid w:val="002F2E3E"/>
    <w:rsid w:val="002F52AE"/>
    <w:rsid w:val="00315615"/>
    <w:rsid w:val="00322A70"/>
    <w:rsid w:val="003237CE"/>
    <w:rsid w:val="0034077B"/>
    <w:rsid w:val="00353584"/>
    <w:rsid w:val="003802C5"/>
    <w:rsid w:val="003A57DC"/>
    <w:rsid w:val="003B059A"/>
    <w:rsid w:val="003B16D5"/>
    <w:rsid w:val="003D6116"/>
    <w:rsid w:val="003D68CA"/>
    <w:rsid w:val="003E4971"/>
    <w:rsid w:val="003F0DA8"/>
    <w:rsid w:val="003F7DD2"/>
    <w:rsid w:val="00407E2D"/>
    <w:rsid w:val="00420FDE"/>
    <w:rsid w:val="00423A8F"/>
    <w:rsid w:val="00431286"/>
    <w:rsid w:val="00433881"/>
    <w:rsid w:val="00433ACA"/>
    <w:rsid w:val="004346C9"/>
    <w:rsid w:val="00434749"/>
    <w:rsid w:val="0044503C"/>
    <w:rsid w:val="004756F9"/>
    <w:rsid w:val="004956DD"/>
    <w:rsid w:val="00496555"/>
    <w:rsid w:val="004A452E"/>
    <w:rsid w:val="004A4B67"/>
    <w:rsid w:val="004B1A4D"/>
    <w:rsid w:val="004B62B3"/>
    <w:rsid w:val="004B747F"/>
    <w:rsid w:val="004C1D45"/>
    <w:rsid w:val="004D4268"/>
    <w:rsid w:val="004F2446"/>
    <w:rsid w:val="00514FDA"/>
    <w:rsid w:val="00516ED2"/>
    <w:rsid w:val="0053622A"/>
    <w:rsid w:val="0054440E"/>
    <w:rsid w:val="00566772"/>
    <w:rsid w:val="00595564"/>
    <w:rsid w:val="0059767B"/>
    <w:rsid w:val="00597C6A"/>
    <w:rsid w:val="005B1D61"/>
    <w:rsid w:val="005D6E30"/>
    <w:rsid w:val="005E06AD"/>
    <w:rsid w:val="005F2E82"/>
    <w:rsid w:val="00600B8A"/>
    <w:rsid w:val="00601D05"/>
    <w:rsid w:val="00615E2D"/>
    <w:rsid w:val="00622838"/>
    <w:rsid w:val="00622C6C"/>
    <w:rsid w:val="00677185"/>
    <w:rsid w:val="00682DA0"/>
    <w:rsid w:val="00697545"/>
    <w:rsid w:val="006C1092"/>
    <w:rsid w:val="006C1EC6"/>
    <w:rsid w:val="006C62D2"/>
    <w:rsid w:val="006E62D3"/>
    <w:rsid w:val="006F0FA1"/>
    <w:rsid w:val="006F32A7"/>
    <w:rsid w:val="006F755B"/>
    <w:rsid w:val="007012FE"/>
    <w:rsid w:val="007134E6"/>
    <w:rsid w:val="007135EA"/>
    <w:rsid w:val="00721BEC"/>
    <w:rsid w:val="00722737"/>
    <w:rsid w:val="00725BB5"/>
    <w:rsid w:val="007444C8"/>
    <w:rsid w:val="00745C29"/>
    <w:rsid w:val="00761A88"/>
    <w:rsid w:val="007632F5"/>
    <w:rsid w:val="00764761"/>
    <w:rsid w:val="00774E1D"/>
    <w:rsid w:val="0078109D"/>
    <w:rsid w:val="00785573"/>
    <w:rsid w:val="00785A03"/>
    <w:rsid w:val="0079546E"/>
    <w:rsid w:val="007C2B8C"/>
    <w:rsid w:val="007D4945"/>
    <w:rsid w:val="007F2C56"/>
    <w:rsid w:val="00812F4E"/>
    <w:rsid w:val="00817335"/>
    <w:rsid w:val="00834DB5"/>
    <w:rsid w:val="008456B7"/>
    <w:rsid w:val="00852AB5"/>
    <w:rsid w:val="00852DD1"/>
    <w:rsid w:val="00862829"/>
    <w:rsid w:val="00862D24"/>
    <w:rsid w:val="00896573"/>
    <w:rsid w:val="008974C7"/>
    <w:rsid w:val="008A5AB3"/>
    <w:rsid w:val="008B010A"/>
    <w:rsid w:val="008B0A2C"/>
    <w:rsid w:val="008B34D0"/>
    <w:rsid w:val="008C1349"/>
    <w:rsid w:val="008C4CA2"/>
    <w:rsid w:val="008C684E"/>
    <w:rsid w:val="008C746F"/>
    <w:rsid w:val="008F22B0"/>
    <w:rsid w:val="008F22CE"/>
    <w:rsid w:val="008F2DC9"/>
    <w:rsid w:val="00902664"/>
    <w:rsid w:val="009034DD"/>
    <w:rsid w:val="009136FB"/>
    <w:rsid w:val="0093068E"/>
    <w:rsid w:val="00944C59"/>
    <w:rsid w:val="009518D2"/>
    <w:rsid w:val="00952ABE"/>
    <w:rsid w:val="00957028"/>
    <w:rsid w:val="00967BB2"/>
    <w:rsid w:val="00974402"/>
    <w:rsid w:val="00986A73"/>
    <w:rsid w:val="009A05CF"/>
    <w:rsid w:val="009C591E"/>
    <w:rsid w:val="009C5CF2"/>
    <w:rsid w:val="009E1543"/>
    <w:rsid w:val="009E57AE"/>
    <w:rsid w:val="009F4C57"/>
    <w:rsid w:val="00A07EE9"/>
    <w:rsid w:val="00A33197"/>
    <w:rsid w:val="00A34B20"/>
    <w:rsid w:val="00A46D2E"/>
    <w:rsid w:val="00A4738B"/>
    <w:rsid w:val="00A62B48"/>
    <w:rsid w:val="00A71285"/>
    <w:rsid w:val="00A71979"/>
    <w:rsid w:val="00A80197"/>
    <w:rsid w:val="00A856FC"/>
    <w:rsid w:val="00A9108E"/>
    <w:rsid w:val="00A95E2C"/>
    <w:rsid w:val="00AA4CE3"/>
    <w:rsid w:val="00AB05CD"/>
    <w:rsid w:val="00AB0C7C"/>
    <w:rsid w:val="00AB3351"/>
    <w:rsid w:val="00AB5070"/>
    <w:rsid w:val="00AC0333"/>
    <w:rsid w:val="00AC3938"/>
    <w:rsid w:val="00AC6825"/>
    <w:rsid w:val="00AD0828"/>
    <w:rsid w:val="00AE2BF6"/>
    <w:rsid w:val="00AF73B4"/>
    <w:rsid w:val="00B060A6"/>
    <w:rsid w:val="00B26F48"/>
    <w:rsid w:val="00B41215"/>
    <w:rsid w:val="00B5345A"/>
    <w:rsid w:val="00B84C66"/>
    <w:rsid w:val="00B9407E"/>
    <w:rsid w:val="00BA26AC"/>
    <w:rsid w:val="00BB3723"/>
    <w:rsid w:val="00BC4C68"/>
    <w:rsid w:val="00BC6666"/>
    <w:rsid w:val="00BD0774"/>
    <w:rsid w:val="00BD4E0B"/>
    <w:rsid w:val="00BF69E2"/>
    <w:rsid w:val="00C03FE2"/>
    <w:rsid w:val="00C1611A"/>
    <w:rsid w:val="00C22C21"/>
    <w:rsid w:val="00C329B9"/>
    <w:rsid w:val="00C33FB7"/>
    <w:rsid w:val="00C5093E"/>
    <w:rsid w:val="00C5111A"/>
    <w:rsid w:val="00C54C1A"/>
    <w:rsid w:val="00C66C1D"/>
    <w:rsid w:val="00C70D9A"/>
    <w:rsid w:val="00C8698A"/>
    <w:rsid w:val="00C91996"/>
    <w:rsid w:val="00C9588F"/>
    <w:rsid w:val="00CA0BC0"/>
    <w:rsid w:val="00CA49CC"/>
    <w:rsid w:val="00CA5319"/>
    <w:rsid w:val="00CC1A44"/>
    <w:rsid w:val="00CD71F7"/>
    <w:rsid w:val="00CF37C9"/>
    <w:rsid w:val="00CF3908"/>
    <w:rsid w:val="00D01AFC"/>
    <w:rsid w:val="00D04755"/>
    <w:rsid w:val="00D12CEC"/>
    <w:rsid w:val="00D167C5"/>
    <w:rsid w:val="00D40455"/>
    <w:rsid w:val="00D42B7A"/>
    <w:rsid w:val="00D671A6"/>
    <w:rsid w:val="00D76373"/>
    <w:rsid w:val="00D820ED"/>
    <w:rsid w:val="00DF5758"/>
    <w:rsid w:val="00DF7141"/>
    <w:rsid w:val="00E034E2"/>
    <w:rsid w:val="00E050F0"/>
    <w:rsid w:val="00E073C3"/>
    <w:rsid w:val="00E30898"/>
    <w:rsid w:val="00E46215"/>
    <w:rsid w:val="00E46A1E"/>
    <w:rsid w:val="00E7691F"/>
    <w:rsid w:val="00E85D7E"/>
    <w:rsid w:val="00E925D3"/>
    <w:rsid w:val="00EA7E4C"/>
    <w:rsid w:val="00EC4BC5"/>
    <w:rsid w:val="00ED1E56"/>
    <w:rsid w:val="00ED5083"/>
    <w:rsid w:val="00EE2506"/>
    <w:rsid w:val="00EE417C"/>
    <w:rsid w:val="00EF197C"/>
    <w:rsid w:val="00EF5070"/>
    <w:rsid w:val="00EF71F4"/>
    <w:rsid w:val="00F05FF3"/>
    <w:rsid w:val="00F167B1"/>
    <w:rsid w:val="00F242CF"/>
    <w:rsid w:val="00F318DE"/>
    <w:rsid w:val="00F373CA"/>
    <w:rsid w:val="00F41CD0"/>
    <w:rsid w:val="00F85627"/>
    <w:rsid w:val="00F85CFD"/>
    <w:rsid w:val="00F9586C"/>
    <w:rsid w:val="00FA45E2"/>
    <w:rsid w:val="00FA62D8"/>
    <w:rsid w:val="00FC26A3"/>
    <w:rsid w:val="00FC5132"/>
    <w:rsid w:val="00FC533E"/>
    <w:rsid w:val="00FD04E7"/>
    <w:rsid w:val="00FE50F2"/>
    <w:rsid w:val="00FE61ED"/>
    <w:rsid w:val="00FE6381"/>
    <w:rsid w:val="00FF2B54"/>
    <w:rsid w:val="0290747D"/>
    <w:rsid w:val="0317660A"/>
    <w:rsid w:val="03971B43"/>
    <w:rsid w:val="03D67EAB"/>
    <w:rsid w:val="04675247"/>
    <w:rsid w:val="05355245"/>
    <w:rsid w:val="05A17771"/>
    <w:rsid w:val="065F33EF"/>
    <w:rsid w:val="069C4913"/>
    <w:rsid w:val="07D1649A"/>
    <w:rsid w:val="0AC750DE"/>
    <w:rsid w:val="0B4152AA"/>
    <w:rsid w:val="0D283ED5"/>
    <w:rsid w:val="0DA61180"/>
    <w:rsid w:val="0E1F2522"/>
    <w:rsid w:val="0EA01489"/>
    <w:rsid w:val="0F136884"/>
    <w:rsid w:val="0F9210FF"/>
    <w:rsid w:val="10565D5B"/>
    <w:rsid w:val="11837163"/>
    <w:rsid w:val="127027A9"/>
    <w:rsid w:val="12CA6EFD"/>
    <w:rsid w:val="13107961"/>
    <w:rsid w:val="16EF2CB0"/>
    <w:rsid w:val="178930B9"/>
    <w:rsid w:val="17BE6AC4"/>
    <w:rsid w:val="19EA2AF0"/>
    <w:rsid w:val="1A811FE0"/>
    <w:rsid w:val="1A967AC0"/>
    <w:rsid w:val="1AE24C1B"/>
    <w:rsid w:val="1BFC3FB1"/>
    <w:rsid w:val="1C9F79AB"/>
    <w:rsid w:val="1CDC3838"/>
    <w:rsid w:val="1DDB496D"/>
    <w:rsid w:val="1E3825E1"/>
    <w:rsid w:val="1F0C6E11"/>
    <w:rsid w:val="1FEB426D"/>
    <w:rsid w:val="20261830"/>
    <w:rsid w:val="20546C61"/>
    <w:rsid w:val="20A2060A"/>
    <w:rsid w:val="21D6428D"/>
    <w:rsid w:val="22320FD5"/>
    <w:rsid w:val="226578F8"/>
    <w:rsid w:val="24B47689"/>
    <w:rsid w:val="24F05FA0"/>
    <w:rsid w:val="255909F1"/>
    <w:rsid w:val="259D13B1"/>
    <w:rsid w:val="27362F91"/>
    <w:rsid w:val="27F119B9"/>
    <w:rsid w:val="28655B34"/>
    <w:rsid w:val="29970919"/>
    <w:rsid w:val="2A5606E2"/>
    <w:rsid w:val="2CA30582"/>
    <w:rsid w:val="2D032092"/>
    <w:rsid w:val="2D423D49"/>
    <w:rsid w:val="2E3C5F18"/>
    <w:rsid w:val="2F3C54C0"/>
    <w:rsid w:val="2FF700FA"/>
    <w:rsid w:val="3068205E"/>
    <w:rsid w:val="31FB4EA3"/>
    <w:rsid w:val="33927347"/>
    <w:rsid w:val="33B41671"/>
    <w:rsid w:val="36516B81"/>
    <w:rsid w:val="36F011B0"/>
    <w:rsid w:val="3944109F"/>
    <w:rsid w:val="396A728D"/>
    <w:rsid w:val="3B526549"/>
    <w:rsid w:val="3B607573"/>
    <w:rsid w:val="3BF96CF4"/>
    <w:rsid w:val="3C2A1DAA"/>
    <w:rsid w:val="3DA64E58"/>
    <w:rsid w:val="3DC2625E"/>
    <w:rsid w:val="3EB31ADC"/>
    <w:rsid w:val="44ED16D6"/>
    <w:rsid w:val="45926550"/>
    <w:rsid w:val="45D113AF"/>
    <w:rsid w:val="46491678"/>
    <w:rsid w:val="46F459EE"/>
    <w:rsid w:val="482E0CC8"/>
    <w:rsid w:val="485741F1"/>
    <w:rsid w:val="48832C35"/>
    <w:rsid w:val="49E341F5"/>
    <w:rsid w:val="4A162E9E"/>
    <w:rsid w:val="4B433193"/>
    <w:rsid w:val="4BED68AB"/>
    <w:rsid w:val="4C52233A"/>
    <w:rsid w:val="4C952FB9"/>
    <w:rsid w:val="4CF3575D"/>
    <w:rsid w:val="4D372F26"/>
    <w:rsid w:val="4D5E5BAF"/>
    <w:rsid w:val="4F5C1211"/>
    <w:rsid w:val="50280630"/>
    <w:rsid w:val="50474E2C"/>
    <w:rsid w:val="50DD7515"/>
    <w:rsid w:val="53805F7E"/>
    <w:rsid w:val="53CD333B"/>
    <w:rsid w:val="55B45CF6"/>
    <w:rsid w:val="573B104D"/>
    <w:rsid w:val="57DD7982"/>
    <w:rsid w:val="58A524AD"/>
    <w:rsid w:val="58C547B7"/>
    <w:rsid w:val="59937BB0"/>
    <w:rsid w:val="5A2B23D0"/>
    <w:rsid w:val="5A744E8B"/>
    <w:rsid w:val="5AD07568"/>
    <w:rsid w:val="5ADF4460"/>
    <w:rsid w:val="5AED1432"/>
    <w:rsid w:val="5D8A4600"/>
    <w:rsid w:val="60003AE4"/>
    <w:rsid w:val="61056661"/>
    <w:rsid w:val="617F78C1"/>
    <w:rsid w:val="61C37093"/>
    <w:rsid w:val="62230216"/>
    <w:rsid w:val="62E0012C"/>
    <w:rsid w:val="63B66D66"/>
    <w:rsid w:val="648259F0"/>
    <w:rsid w:val="654F7D1A"/>
    <w:rsid w:val="66302E29"/>
    <w:rsid w:val="663427AB"/>
    <w:rsid w:val="668B7686"/>
    <w:rsid w:val="670D01AC"/>
    <w:rsid w:val="67486DDA"/>
    <w:rsid w:val="67DD1F77"/>
    <w:rsid w:val="68D16F78"/>
    <w:rsid w:val="69170236"/>
    <w:rsid w:val="69340F5D"/>
    <w:rsid w:val="6A1054EC"/>
    <w:rsid w:val="6F84673A"/>
    <w:rsid w:val="6F947B69"/>
    <w:rsid w:val="70F01BE5"/>
    <w:rsid w:val="71FB1092"/>
    <w:rsid w:val="72CE68E7"/>
    <w:rsid w:val="72FD0FB7"/>
    <w:rsid w:val="736E5CA0"/>
    <w:rsid w:val="746D7D0A"/>
    <w:rsid w:val="754706B0"/>
    <w:rsid w:val="75C054EA"/>
    <w:rsid w:val="76A32122"/>
    <w:rsid w:val="77BA5647"/>
    <w:rsid w:val="78F23294"/>
    <w:rsid w:val="79D604BF"/>
    <w:rsid w:val="7A5052FD"/>
    <w:rsid w:val="7A960905"/>
    <w:rsid w:val="7B861450"/>
    <w:rsid w:val="7E52754C"/>
    <w:rsid w:val="7F4917B7"/>
    <w:rsid w:val="7FF361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qFormat="1"/>
    <w:lsdException w:name="footer" w:semiHidden="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2">
    <w:name w:val="heading 2"/>
    <w:basedOn w:val="a"/>
    <w:next w:val="a0"/>
    <w:link w:val="2Char"/>
    <w:qFormat/>
    <w:pPr>
      <w:keepNext/>
      <w:keepLines/>
      <w:spacing w:before="260" w:after="260" w:line="416" w:lineRule="auto"/>
      <w:outlineLvl w:val="1"/>
    </w:pPr>
    <w:rPr>
      <w:rFonts w:ascii="Arial" w:eastAsia="黑体" w:hAnsi="Arial"/>
      <w:b/>
      <w:kern w:val="0"/>
      <w:sz w:val="32"/>
      <w:szCs w:val="20"/>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annotation text"/>
    <w:basedOn w:val="a"/>
    <w:link w:val="Char"/>
    <w:qFormat/>
    <w:pPr>
      <w:jc w:val="left"/>
    </w:pPr>
  </w:style>
  <w:style w:type="paragraph" w:styleId="a5">
    <w:name w:val="Body Text Indent"/>
    <w:basedOn w:val="a"/>
    <w:link w:val="Char0"/>
    <w:qFormat/>
    <w:pPr>
      <w:adjustRightInd w:val="0"/>
      <w:snapToGrid w:val="0"/>
      <w:spacing w:line="560" w:lineRule="exact"/>
      <w:ind w:firstLineChars="200" w:firstLine="480"/>
    </w:pPr>
    <w:rPr>
      <w:rFonts w:eastAsia="方正仿宋简体"/>
      <w:sz w:val="24"/>
      <w:szCs w:val="30"/>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20">
    <w:name w:val="toc 2"/>
    <w:basedOn w:val="a"/>
    <w:next w:val="a"/>
    <w:semiHidden/>
    <w:qFormat/>
    <w:pPr>
      <w:ind w:leftChars="200" w:left="420"/>
    </w:pPr>
  </w:style>
  <w:style w:type="paragraph" w:styleId="a9">
    <w:name w:val="Normal (Web)"/>
    <w:basedOn w:val="a"/>
    <w:uiPriority w:val="99"/>
    <w:semiHidden/>
    <w:unhideWhenUsed/>
    <w:qFormat/>
    <w:rPr>
      <w:sz w:val="24"/>
    </w:rPr>
  </w:style>
  <w:style w:type="paragraph" w:styleId="aa">
    <w:name w:val="annotation subject"/>
    <w:basedOn w:val="a4"/>
    <w:next w:val="a4"/>
    <w:link w:val="Char4"/>
    <w:uiPriority w:val="99"/>
    <w:semiHidden/>
    <w:unhideWhenUsed/>
    <w:qFormat/>
    <w:rPr>
      <w:b/>
      <w:bCs/>
    </w:rPr>
  </w:style>
  <w:style w:type="character" w:styleId="ab">
    <w:name w:val="page number"/>
    <w:basedOn w:val="a1"/>
    <w:qFormat/>
  </w:style>
  <w:style w:type="character" w:styleId="ac">
    <w:name w:val="Hyperlink"/>
    <w:qFormat/>
    <w:rPr>
      <w:color w:val="0000FF"/>
      <w:u w:val="single"/>
    </w:rPr>
  </w:style>
  <w:style w:type="character" w:styleId="ad">
    <w:name w:val="annotation reference"/>
    <w:qFormat/>
    <w:rPr>
      <w:sz w:val="21"/>
      <w:szCs w:val="21"/>
    </w:rPr>
  </w:style>
  <w:style w:type="character" w:customStyle="1" w:styleId="Char3">
    <w:name w:val="页眉 Char"/>
    <w:basedOn w:val="a1"/>
    <w:link w:val="a8"/>
    <w:uiPriority w:val="99"/>
    <w:qFormat/>
    <w:rPr>
      <w:sz w:val="18"/>
      <w:szCs w:val="18"/>
    </w:rPr>
  </w:style>
  <w:style w:type="character" w:customStyle="1" w:styleId="Char2">
    <w:name w:val="页脚 Char"/>
    <w:basedOn w:val="a1"/>
    <w:link w:val="a7"/>
    <w:uiPriority w:val="99"/>
    <w:qFormat/>
    <w:rPr>
      <w:sz w:val="18"/>
      <w:szCs w:val="18"/>
    </w:rPr>
  </w:style>
  <w:style w:type="character" w:customStyle="1" w:styleId="2Char">
    <w:name w:val="标题 2 Char"/>
    <w:basedOn w:val="a1"/>
    <w:link w:val="2"/>
    <w:qFormat/>
    <w:rPr>
      <w:rFonts w:ascii="Arial" w:eastAsia="黑体" w:hAnsi="Arial" w:cs="Times New Roman"/>
      <w:b/>
      <w:kern w:val="0"/>
      <w:sz w:val="32"/>
      <w:szCs w:val="20"/>
    </w:rPr>
  </w:style>
  <w:style w:type="character" w:customStyle="1" w:styleId="Char">
    <w:name w:val="批注文字 Char"/>
    <w:link w:val="a4"/>
    <w:qFormat/>
    <w:rPr>
      <w:rFonts w:ascii="Times New Roman" w:eastAsia="宋体" w:hAnsi="Times New Roman" w:cs="Times New Roman"/>
      <w:szCs w:val="24"/>
    </w:rPr>
  </w:style>
  <w:style w:type="character" w:customStyle="1" w:styleId="read">
    <w:name w:val="read"/>
    <w:basedOn w:val="a1"/>
    <w:qFormat/>
  </w:style>
  <w:style w:type="character" w:customStyle="1" w:styleId="Char0">
    <w:name w:val="正文文本缩进 Char"/>
    <w:link w:val="a5"/>
    <w:qFormat/>
    <w:rPr>
      <w:rFonts w:ascii="Times New Roman" w:eastAsia="方正仿宋简体" w:hAnsi="Times New Roman" w:cs="Times New Roman"/>
      <w:sz w:val="24"/>
      <w:szCs w:val="30"/>
    </w:rPr>
  </w:style>
  <w:style w:type="character" w:customStyle="1" w:styleId="Char10">
    <w:name w:val="正文文本缩进 Char1"/>
    <w:basedOn w:val="a1"/>
    <w:uiPriority w:val="99"/>
    <w:semiHidden/>
    <w:qFormat/>
    <w:rPr>
      <w:rFonts w:ascii="Times New Roman" w:eastAsia="宋体" w:hAnsi="Times New Roman" w:cs="Times New Roman"/>
      <w:szCs w:val="24"/>
    </w:rPr>
  </w:style>
  <w:style w:type="character" w:customStyle="1" w:styleId="Char11">
    <w:name w:val="批注文字 Char1"/>
    <w:basedOn w:val="a1"/>
    <w:uiPriority w:val="99"/>
    <w:semiHidden/>
    <w:qFormat/>
    <w:rPr>
      <w:rFonts w:ascii="Times New Roman" w:eastAsia="宋体" w:hAnsi="Times New Roman" w:cs="Times New Roman"/>
      <w:szCs w:val="24"/>
    </w:rPr>
  </w:style>
  <w:style w:type="character" w:customStyle="1" w:styleId="Char1">
    <w:name w:val="批注框文本 Char"/>
    <w:basedOn w:val="a1"/>
    <w:link w:val="a6"/>
    <w:uiPriority w:val="99"/>
    <w:semiHidden/>
    <w:qFormat/>
    <w:rPr>
      <w:rFonts w:ascii="Times New Roman" w:eastAsia="宋体" w:hAnsi="Times New Roman" w:cs="Times New Roman"/>
      <w:sz w:val="18"/>
      <w:szCs w:val="18"/>
    </w:rPr>
  </w:style>
  <w:style w:type="character" w:customStyle="1" w:styleId="Char4">
    <w:name w:val="批注主题 Char"/>
    <w:basedOn w:val="Char"/>
    <w:link w:val="aa"/>
    <w:uiPriority w:val="99"/>
    <w:semiHidden/>
    <w:qFormat/>
    <w:rPr>
      <w:rFonts w:ascii="Times New Roman" w:eastAsia="宋体" w:hAnsi="Times New Roman" w:cs="Times New Roman"/>
      <w:b/>
      <w:bCs/>
      <w:szCs w:val="24"/>
    </w:rPr>
  </w:style>
  <w:style w:type="paragraph" w:customStyle="1" w:styleId="1">
    <w:name w:val="修订1"/>
    <w:hidden/>
    <w:uiPriority w:val="99"/>
    <w:semiHidden/>
    <w:qFormat/>
    <w:rPr>
      <w:kern w:val="2"/>
      <w:sz w:val="21"/>
      <w:szCs w:val="24"/>
    </w:rPr>
  </w:style>
  <w:style w:type="paragraph" w:customStyle="1" w:styleId="21">
    <w:name w:val="修订2"/>
    <w:hidden/>
    <w:uiPriority w:val="99"/>
    <w:unhideWhenUsed/>
    <w:qFormat/>
    <w:rPr>
      <w:kern w:val="2"/>
      <w:sz w:val="21"/>
      <w:szCs w:val="24"/>
    </w:rPr>
  </w:style>
  <w:style w:type="paragraph" w:customStyle="1" w:styleId="30">
    <w:name w:val="修订3"/>
    <w:hidden/>
    <w:uiPriority w:val="99"/>
    <w:unhideWhenUsed/>
    <w:qFormat/>
    <w:rPr>
      <w:kern w:val="2"/>
      <w:sz w:val="21"/>
      <w:szCs w:val="24"/>
    </w:rPr>
  </w:style>
  <w:style w:type="character" w:customStyle="1" w:styleId="4Char">
    <w:name w:val="标题 4 Char"/>
    <w:basedOn w:val="a1"/>
    <w:link w:val="4"/>
    <w:uiPriority w:val="9"/>
    <w:semiHidden/>
    <w:qFormat/>
    <w:rPr>
      <w:rFonts w:asciiTheme="majorHAnsi" w:eastAsiaTheme="majorEastAsia" w:hAnsiTheme="majorHAnsi" w:cstheme="majorBidi"/>
      <w:b/>
      <w:bCs/>
      <w:kern w:val="2"/>
      <w:sz w:val="28"/>
      <w:szCs w:val="28"/>
    </w:rPr>
  </w:style>
  <w:style w:type="character" w:customStyle="1" w:styleId="5Char">
    <w:name w:val="标题 5 Char"/>
    <w:basedOn w:val="a1"/>
    <w:link w:val="5"/>
    <w:uiPriority w:val="9"/>
    <w:semiHidden/>
    <w:qFormat/>
    <w:rPr>
      <w:b/>
      <w:bCs/>
      <w:kern w:val="2"/>
      <w:sz w:val="28"/>
      <w:szCs w:val="28"/>
    </w:rPr>
  </w:style>
  <w:style w:type="character" w:customStyle="1" w:styleId="3Char">
    <w:name w:val="标题 3 Char"/>
    <w:basedOn w:val="a1"/>
    <w:link w:val="3"/>
    <w:uiPriority w:val="9"/>
    <w:semiHidden/>
    <w:qFormat/>
    <w:rPr>
      <w:b/>
      <w:bCs/>
      <w:kern w:val="2"/>
      <w:sz w:val="32"/>
      <w:szCs w:val="32"/>
    </w:rPr>
  </w:style>
  <w:style w:type="paragraph" w:customStyle="1" w:styleId="40">
    <w:name w:val="修订4"/>
    <w:hidden/>
    <w:uiPriority w:val="99"/>
    <w:unhideWhenUsed/>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qFormat="1"/>
    <w:lsdException w:name="footer" w:semiHidden="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2">
    <w:name w:val="heading 2"/>
    <w:basedOn w:val="a"/>
    <w:next w:val="a0"/>
    <w:link w:val="2Char"/>
    <w:qFormat/>
    <w:pPr>
      <w:keepNext/>
      <w:keepLines/>
      <w:spacing w:before="260" w:after="260" w:line="416" w:lineRule="auto"/>
      <w:outlineLvl w:val="1"/>
    </w:pPr>
    <w:rPr>
      <w:rFonts w:ascii="Arial" w:eastAsia="黑体" w:hAnsi="Arial"/>
      <w:b/>
      <w:kern w:val="0"/>
      <w:sz w:val="32"/>
      <w:szCs w:val="20"/>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annotation text"/>
    <w:basedOn w:val="a"/>
    <w:link w:val="Char"/>
    <w:qFormat/>
    <w:pPr>
      <w:jc w:val="left"/>
    </w:pPr>
  </w:style>
  <w:style w:type="paragraph" w:styleId="a5">
    <w:name w:val="Body Text Indent"/>
    <w:basedOn w:val="a"/>
    <w:link w:val="Char0"/>
    <w:qFormat/>
    <w:pPr>
      <w:adjustRightInd w:val="0"/>
      <w:snapToGrid w:val="0"/>
      <w:spacing w:line="560" w:lineRule="exact"/>
      <w:ind w:firstLineChars="200" w:firstLine="480"/>
    </w:pPr>
    <w:rPr>
      <w:rFonts w:eastAsia="方正仿宋简体"/>
      <w:sz w:val="24"/>
      <w:szCs w:val="30"/>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20">
    <w:name w:val="toc 2"/>
    <w:basedOn w:val="a"/>
    <w:next w:val="a"/>
    <w:semiHidden/>
    <w:qFormat/>
    <w:pPr>
      <w:ind w:leftChars="200" w:left="420"/>
    </w:pPr>
  </w:style>
  <w:style w:type="paragraph" w:styleId="a9">
    <w:name w:val="Normal (Web)"/>
    <w:basedOn w:val="a"/>
    <w:uiPriority w:val="99"/>
    <w:semiHidden/>
    <w:unhideWhenUsed/>
    <w:qFormat/>
    <w:rPr>
      <w:sz w:val="24"/>
    </w:rPr>
  </w:style>
  <w:style w:type="paragraph" w:styleId="aa">
    <w:name w:val="annotation subject"/>
    <w:basedOn w:val="a4"/>
    <w:next w:val="a4"/>
    <w:link w:val="Char4"/>
    <w:uiPriority w:val="99"/>
    <w:semiHidden/>
    <w:unhideWhenUsed/>
    <w:qFormat/>
    <w:rPr>
      <w:b/>
      <w:bCs/>
    </w:rPr>
  </w:style>
  <w:style w:type="character" w:styleId="ab">
    <w:name w:val="page number"/>
    <w:basedOn w:val="a1"/>
    <w:qFormat/>
  </w:style>
  <w:style w:type="character" w:styleId="ac">
    <w:name w:val="Hyperlink"/>
    <w:qFormat/>
    <w:rPr>
      <w:color w:val="0000FF"/>
      <w:u w:val="single"/>
    </w:rPr>
  </w:style>
  <w:style w:type="character" w:styleId="ad">
    <w:name w:val="annotation reference"/>
    <w:qFormat/>
    <w:rPr>
      <w:sz w:val="21"/>
      <w:szCs w:val="21"/>
    </w:rPr>
  </w:style>
  <w:style w:type="character" w:customStyle="1" w:styleId="Char3">
    <w:name w:val="页眉 Char"/>
    <w:basedOn w:val="a1"/>
    <w:link w:val="a8"/>
    <w:uiPriority w:val="99"/>
    <w:qFormat/>
    <w:rPr>
      <w:sz w:val="18"/>
      <w:szCs w:val="18"/>
    </w:rPr>
  </w:style>
  <w:style w:type="character" w:customStyle="1" w:styleId="Char2">
    <w:name w:val="页脚 Char"/>
    <w:basedOn w:val="a1"/>
    <w:link w:val="a7"/>
    <w:uiPriority w:val="99"/>
    <w:qFormat/>
    <w:rPr>
      <w:sz w:val="18"/>
      <w:szCs w:val="18"/>
    </w:rPr>
  </w:style>
  <w:style w:type="character" w:customStyle="1" w:styleId="2Char">
    <w:name w:val="标题 2 Char"/>
    <w:basedOn w:val="a1"/>
    <w:link w:val="2"/>
    <w:qFormat/>
    <w:rPr>
      <w:rFonts w:ascii="Arial" w:eastAsia="黑体" w:hAnsi="Arial" w:cs="Times New Roman"/>
      <w:b/>
      <w:kern w:val="0"/>
      <w:sz w:val="32"/>
      <w:szCs w:val="20"/>
    </w:rPr>
  </w:style>
  <w:style w:type="character" w:customStyle="1" w:styleId="Char">
    <w:name w:val="批注文字 Char"/>
    <w:link w:val="a4"/>
    <w:qFormat/>
    <w:rPr>
      <w:rFonts w:ascii="Times New Roman" w:eastAsia="宋体" w:hAnsi="Times New Roman" w:cs="Times New Roman"/>
      <w:szCs w:val="24"/>
    </w:rPr>
  </w:style>
  <w:style w:type="character" w:customStyle="1" w:styleId="read">
    <w:name w:val="read"/>
    <w:basedOn w:val="a1"/>
    <w:qFormat/>
  </w:style>
  <w:style w:type="character" w:customStyle="1" w:styleId="Char0">
    <w:name w:val="正文文本缩进 Char"/>
    <w:link w:val="a5"/>
    <w:qFormat/>
    <w:rPr>
      <w:rFonts w:ascii="Times New Roman" w:eastAsia="方正仿宋简体" w:hAnsi="Times New Roman" w:cs="Times New Roman"/>
      <w:sz w:val="24"/>
      <w:szCs w:val="30"/>
    </w:rPr>
  </w:style>
  <w:style w:type="character" w:customStyle="1" w:styleId="Char10">
    <w:name w:val="正文文本缩进 Char1"/>
    <w:basedOn w:val="a1"/>
    <w:uiPriority w:val="99"/>
    <w:semiHidden/>
    <w:qFormat/>
    <w:rPr>
      <w:rFonts w:ascii="Times New Roman" w:eastAsia="宋体" w:hAnsi="Times New Roman" w:cs="Times New Roman"/>
      <w:szCs w:val="24"/>
    </w:rPr>
  </w:style>
  <w:style w:type="character" w:customStyle="1" w:styleId="Char11">
    <w:name w:val="批注文字 Char1"/>
    <w:basedOn w:val="a1"/>
    <w:uiPriority w:val="99"/>
    <w:semiHidden/>
    <w:qFormat/>
    <w:rPr>
      <w:rFonts w:ascii="Times New Roman" w:eastAsia="宋体" w:hAnsi="Times New Roman" w:cs="Times New Roman"/>
      <w:szCs w:val="24"/>
    </w:rPr>
  </w:style>
  <w:style w:type="character" w:customStyle="1" w:styleId="Char1">
    <w:name w:val="批注框文本 Char"/>
    <w:basedOn w:val="a1"/>
    <w:link w:val="a6"/>
    <w:uiPriority w:val="99"/>
    <w:semiHidden/>
    <w:qFormat/>
    <w:rPr>
      <w:rFonts w:ascii="Times New Roman" w:eastAsia="宋体" w:hAnsi="Times New Roman" w:cs="Times New Roman"/>
      <w:sz w:val="18"/>
      <w:szCs w:val="18"/>
    </w:rPr>
  </w:style>
  <w:style w:type="character" w:customStyle="1" w:styleId="Char4">
    <w:name w:val="批注主题 Char"/>
    <w:basedOn w:val="Char"/>
    <w:link w:val="aa"/>
    <w:uiPriority w:val="99"/>
    <w:semiHidden/>
    <w:qFormat/>
    <w:rPr>
      <w:rFonts w:ascii="Times New Roman" w:eastAsia="宋体" w:hAnsi="Times New Roman" w:cs="Times New Roman"/>
      <w:b/>
      <w:bCs/>
      <w:szCs w:val="24"/>
    </w:rPr>
  </w:style>
  <w:style w:type="paragraph" w:customStyle="1" w:styleId="1">
    <w:name w:val="修订1"/>
    <w:hidden/>
    <w:uiPriority w:val="99"/>
    <w:semiHidden/>
    <w:qFormat/>
    <w:rPr>
      <w:kern w:val="2"/>
      <w:sz w:val="21"/>
      <w:szCs w:val="24"/>
    </w:rPr>
  </w:style>
  <w:style w:type="paragraph" w:customStyle="1" w:styleId="21">
    <w:name w:val="修订2"/>
    <w:hidden/>
    <w:uiPriority w:val="99"/>
    <w:unhideWhenUsed/>
    <w:qFormat/>
    <w:rPr>
      <w:kern w:val="2"/>
      <w:sz w:val="21"/>
      <w:szCs w:val="24"/>
    </w:rPr>
  </w:style>
  <w:style w:type="paragraph" w:customStyle="1" w:styleId="30">
    <w:name w:val="修订3"/>
    <w:hidden/>
    <w:uiPriority w:val="99"/>
    <w:unhideWhenUsed/>
    <w:qFormat/>
    <w:rPr>
      <w:kern w:val="2"/>
      <w:sz w:val="21"/>
      <w:szCs w:val="24"/>
    </w:rPr>
  </w:style>
  <w:style w:type="character" w:customStyle="1" w:styleId="4Char">
    <w:name w:val="标题 4 Char"/>
    <w:basedOn w:val="a1"/>
    <w:link w:val="4"/>
    <w:uiPriority w:val="9"/>
    <w:semiHidden/>
    <w:qFormat/>
    <w:rPr>
      <w:rFonts w:asciiTheme="majorHAnsi" w:eastAsiaTheme="majorEastAsia" w:hAnsiTheme="majorHAnsi" w:cstheme="majorBidi"/>
      <w:b/>
      <w:bCs/>
      <w:kern w:val="2"/>
      <w:sz w:val="28"/>
      <w:szCs w:val="28"/>
    </w:rPr>
  </w:style>
  <w:style w:type="character" w:customStyle="1" w:styleId="5Char">
    <w:name w:val="标题 5 Char"/>
    <w:basedOn w:val="a1"/>
    <w:link w:val="5"/>
    <w:uiPriority w:val="9"/>
    <w:semiHidden/>
    <w:qFormat/>
    <w:rPr>
      <w:b/>
      <w:bCs/>
      <w:kern w:val="2"/>
      <w:sz w:val="28"/>
      <w:szCs w:val="28"/>
    </w:rPr>
  </w:style>
  <w:style w:type="character" w:customStyle="1" w:styleId="3Char">
    <w:name w:val="标题 3 Char"/>
    <w:basedOn w:val="a1"/>
    <w:link w:val="3"/>
    <w:uiPriority w:val="9"/>
    <w:semiHidden/>
    <w:qFormat/>
    <w:rPr>
      <w:b/>
      <w:bCs/>
      <w:kern w:val="2"/>
      <w:sz w:val="32"/>
      <w:szCs w:val="32"/>
    </w:rPr>
  </w:style>
  <w:style w:type="paragraph" w:customStyle="1" w:styleId="40">
    <w:name w:val="修订4"/>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89E67A-6F77-4174-867E-B4DE4BBC3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42</Pages>
  <Words>5229</Words>
  <Characters>29811</Characters>
  <Application>Microsoft Office Word</Application>
  <DocSecurity>0</DocSecurity>
  <Lines>248</Lines>
  <Paragraphs>69</Paragraphs>
  <ScaleCrop>false</ScaleCrop>
  <Company/>
  <LinksUpToDate>false</LinksUpToDate>
  <CharactersWithSpaces>34971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杜依倩(Du Yiqian)</dc:creator>
  <cp:lastModifiedBy>duyiqian</cp:lastModifiedBy>
  <cp:revision>9</cp:revision>
  <cp:lastPrinted>2021-04-29T07:03:00Z</cp:lastPrinted>
  <dcterms:created xsi:type="dcterms:W3CDTF">2021-03-12T07:29:00Z</dcterms:created>
  <dcterms:modified xsi:type="dcterms:W3CDTF">2021-04-29T07:03:00Z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