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1F3560" w:rsidP="00C41F72">
      <w:pPr>
        <w:pStyle w:val="aa"/>
        <w:snapToGrid w:val="0"/>
        <w:spacing w:line="480" w:lineRule="auto"/>
        <w:jc w:val="center"/>
        <w:rPr>
          <w:rFonts w:ascii="黑体" w:eastAsia="黑体"/>
          <w:b/>
          <w:color w:val="auto"/>
          <w:kern w:val="2"/>
          <w:sz w:val="42"/>
          <w:szCs w:val="42"/>
        </w:rPr>
      </w:pPr>
      <w:r w:rsidRPr="00C41F72">
        <w:rPr>
          <w:rFonts w:ascii="黑体" w:eastAsia="黑体" w:hint="eastAsia"/>
          <w:b/>
          <w:color w:val="auto"/>
          <w:kern w:val="2"/>
          <w:sz w:val="42"/>
          <w:szCs w:val="42"/>
        </w:rPr>
        <w:t>长城量化小盘股票型证券投资基金</w:t>
      </w:r>
    </w:p>
    <w:p w:rsidR="00B05C84" w:rsidRPr="00C41F72" w:rsidRDefault="00B05C84" w:rsidP="00C41F72">
      <w:pPr>
        <w:pStyle w:val="aa"/>
        <w:snapToGrid w:val="0"/>
        <w:spacing w:line="480" w:lineRule="auto"/>
        <w:jc w:val="center"/>
        <w:rPr>
          <w:rFonts w:ascii="黑体" w:eastAsia="黑体"/>
          <w:b/>
          <w:color w:val="auto"/>
          <w:kern w:val="2"/>
          <w:sz w:val="42"/>
          <w:szCs w:val="42"/>
        </w:rPr>
      </w:pPr>
      <w:r w:rsidRPr="00C41F72">
        <w:rPr>
          <w:rFonts w:ascii="黑体" w:eastAsia="黑体" w:hint="eastAsia"/>
          <w:b/>
          <w:color w:val="auto"/>
          <w:kern w:val="2"/>
          <w:sz w:val="42"/>
          <w:szCs w:val="42"/>
        </w:rPr>
        <w:t>托管协议</w:t>
      </w: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Default="00B05C84"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Default="00C41F72" w:rsidP="00B05C84">
      <w:pPr>
        <w:adjustRightInd w:val="0"/>
        <w:snapToGrid w:val="0"/>
        <w:jc w:val="center"/>
        <w:rPr>
          <w:rFonts w:asciiTheme="minorEastAsia" w:hAnsiTheme="minorEastAsia" w:cs="Arial" w:hint="eastAsia"/>
          <w:szCs w:val="21"/>
        </w:rPr>
      </w:pPr>
    </w:p>
    <w:p w:rsidR="00C41F72" w:rsidRPr="00C41F72" w:rsidRDefault="00C41F72"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Default="00B05C84" w:rsidP="00B05C84">
      <w:pPr>
        <w:adjustRightInd w:val="0"/>
        <w:snapToGrid w:val="0"/>
        <w:jc w:val="center"/>
        <w:rPr>
          <w:rFonts w:asciiTheme="minorEastAsia" w:hAnsiTheme="minorEastAsia" w:cs="Arial" w:hint="eastAsia"/>
          <w:szCs w:val="21"/>
        </w:rPr>
      </w:pPr>
    </w:p>
    <w:p w:rsidR="00C41F72" w:rsidRPr="00C41F72" w:rsidRDefault="00C41F72"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C41F72">
      <w:pPr>
        <w:spacing w:line="360" w:lineRule="auto"/>
        <w:jc w:val="center"/>
        <w:rPr>
          <w:rFonts w:ascii="黑体" w:eastAsia="黑体" w:hAnsi="宋体" w:cs="Times New Roman"/>
          <w:b/>
          <w:bCs/>
          <w:sz w:val="28"/>
          <w:szCs w:val="28"/>
        </w:rPr>
      </w:pPr>
      <w:r w:rsidRPr="00C41F72">
        <w:rPr>
          <w:rFonts w:ascii="黑体" w:eastAsia="黑体" w:hAnsi="宋体" w:cs="Times New Roman" w:hint="eastAsia"/>
          <w:b/>
          <w:bCs/>
          <w:sz w:val="28"/>
          <w:szCs w:val="28"/>
        </w:rPr>
        <w:t>基金管理人：长城基金管理有限公司</w:t>
      </w:r>
    </w:p>
    <w:p w:rsidR="00B05C84" w:rsidRPr="00C41F72" w:rsidRDefault="00C41F72" w:rsidP="00C41F72">
      <w:pPr>
        <w:spacing w:line="360" w:lineRule="auto"/>
        <w:ind w:firstLineChars="49" w:firstLine="138"/>
        <w:jc w:val="center"/>
        <w:rPr>
          <w:rFonts w:ascii="黑体" w:eastAsia="黑体" w:hAnsi="宋体" w:cs="Times New Roman"/>
          <w:b/>
          <w:bCs/>
          <w:sz w:val="28"/>
          <w:szCs w:val="28"/>
        </w:rPr>
      </w:pPr>
      <w:r>
        <w:rPr>
          <w:rFonts w:ascii="黑体" w:eastAsia="黑体" w:hAnsi="宋体" w:cs="Times New Roman" w:hint="eastAsia"/>
          <w:b/>
          <w:bCs/>
          <w:sz w:val="28"/>
          <w:szCs w:val="28"/>
        </w:rPr>
        <w:t xml:space="preserve">   </w:t>
      </w:r>
      <w:r w:rsidR="00B05C84" w:rsidRPr="00C41F72">
        <w:rPr>
          <w:rFonts w:ascii="黑体" w:eastAsia="黑体" w:hAnsi="宋体" w:cs="Times New Roman" w:hint="eastAsia"/>
          <w:b/>
          <w:bCs/>
          <w:sz w:val="28"/>
          <w:szCs w:val="28"/>
        </w:rPr>
        <w:t>基金托管人：中国建设银行股份有限公司</w:t>
      </w: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B05C84">
      <w:pPr>
        <w:adjustRightInd w:val="0"/>
        <w:snapToGrid w:val="0"/>
        <w:jc w:val="center"/>
        <w:rPr>
          <w:rFonts w:asciiTheme="minorEastAsia" w:hAnsiTheme="minorEastAsia" w:cs="Arial"/>
          <w:szCs w:val="21"/>
        </w:rPr>
      </w:pPr>
    </w:p>
    <w:p w:rsidR="00B05C84" w:rsidRPr="00C41F72" w:rsidRDefault="00B05C84" w:rsidP="00C41F72">
      <w:pPr>
        <w:adjustRightInd w:val="0"/>
        <w:snapToGrid w:val="0"/>
        <w:jc w:val="center"/>
        <w:rPr>
          <w:rFonts w:ascii="黑体" w:eastAsia="黑体" w:hAnsi="Times New Roman" w:cs="Times New Roman"/>
          <w:b/>
          <w:bCs/>
          <w:sz w:val="24"/>
          <w:szCs w:val="24"/>
        </w:rPr>
      </w:pPr>
      <w:r w:rsidRPr="00C41F72">
        <w:rPr>
          <w:rFonts w:ascii="黑体" w:eastAsia="黑体" w:hAnsi="Times New Roman" w:cs="Times New Roman" w:hint="eastAsia"/>
          <w:b/>
          <w:bCs/>
          <w:sz w:val="24"/>
          <w:szCs w:val="24"/>
        </w:rPr>
        <w:t>二</w:t>
      </w:r>
      <w:r w:rsidR="004B67D9">
        <w:rPr>
          <w:rFonts w:ascii="黑体" w:eastAsia="黑体" w:hAnsi="Times New Roman" w:cs="Times New Roman" w:hint="eastAsia"/>
          <w:b/>
          <w:bCs/>
          <w:sz w:val="24"/>
          <w:szCs w:val="24"/>
        </w:rPr>
        <w:t>〇</w:t>
      </w:r>
      <w:r w:rsidRPr="00C41F72">
        <w:rPr>
          <w:rFonts w:ascii="黑体" w:eastAsia="黑体" w:hAnsi="Times New Roman" w:cs="Times New Roman" w:hint="eastAsia"/>
          <w:b/>
          <w:bCs/>
          <w:sz w:val="24"/>
          <w:szCs w:val="24"/>
        </w:rPr>
        <w:t>一</w:t>
      </w:r>
      <w:r w:rsidR="004E5F23" w:rsidRPr="00C41F72">
        <w:rPr>
          <w:rFonts w:ascii="黑体" w:eastAsia="黑体" w:hAnsi="Times New Roman" w:cs="Times New Roman" w:hint="eastAsia"/>
          <w:b/>
          <w:bCs/>
          <w:sz w:val="24"/>
          <w:szCs w:val="24"/>
        </w:rPr>
        <w:t>九</w:t>
      </w:r>
      <w:r w:rsidRPr="00C41F72">
        <w:rPr>
          <w:rFonts w:ascii="黑体" w:eastAsia="黑体" w:hAnsi="Times New Roman" w:cs="Times New Roman" w:hint="eastAsia"/>
          <w:b/>
          <w:bCs/>
          <w:sz w:val="24"/>
          <w:szCs w:val="24"/>
        </w:rPr>
        <w:t>年</w:t>
      </w:r>
      <w:r w:rsidR="00EC6A38" w:rsidRPr="00C41F72">
        <w:rPr>
          <w:rFonts w:ascii="黑体" w:eastAsia="黑体" w:hAnsi="Times New Roman" w:cs="Times New Roman" w:hint="eastAsia"/>
          <w:b/>
          <w:bCs/>
          <w:sz w:val="24"/>
          <w:szCs w:val="24"/>
        </w:rPr>
        <w:t>十二</w:t>
      </w:r>
      <w:r w:rsidRPr="00C41F72">
        <w:rPr>
          <w:rFonts w:ascii="黑体" w:eastAsia="黑体" w:hAnsi="Times New Roman" w:cs="Times New Roman" w:hint="eastAsia"/>
          <w:b/>
          <w:bCs/>
          <w:sz w:val="24"/>
          <w:szCs w:val="24"/>
        </w:rPr>
        <w:t>月</w:t>
      </w:r>
    </w:p>
    <w:p w:rsidR="00B05C84" w:rsidRPr="00C41F72" w:rsidRDefault="00B05C84" w:rsidP="00B05C84">
      <w:pPr>
        <w:adjustRightInd w:val="0"/>
        <w:snapToGrid w:val="0"/>
        <w:jc w:val="center"/>
        <w:rPr>
          <w:rFonts w:ascii="黑体" w:eastAsia="黑体" w:hAnsi="Times New Roman" w:cs="Times New Roman"/>
          <w:b/>
          <w:bCs/>
          <w:sz w:val="24"/>
          <w:szCs w:val="24"/>
        </w:rPr>
        <w:sectPr w:rsidR="00B05C84" w:rsidRPr="00C41F72">
          <w:footerReference w:type="even" r:id="rId7"/>
          <w:footerReference w:type="default" r:id="rId8"/>
          <w:pgSz w:w="11906" w:h="16838" w:code="9"/>
          <w:pgMar w:top="1418" w:right="1701" w:bottom="1418" w:left="1701" w:header="851" w:footer="992" w:gutter="0"/>
          <w:cols w:space="425"/>
          <w:docGrid w:type="lines" w:linePitch="312"/>
        </w:sectPr>
      </w:pPr>
    </w:p>
    <w:p w:rsidR="00F40999" w:rsidRDefault="00F40999" w:rsidP="00C41F72">
      <w:pPr>
        <w:spacing w:line="360" w:lineRule="auto"/>
        <w:jc w:val="center"/>
        <w:rPr>
          <w:rFonts w:asciiTheme="minorEastAsia" w:hAnsiTheme="minorEastAsia" w:hint="eastAsia"/>
          <w:b/>
          <w:bCs/>
          <w:sz w:val="24"/>
          <w:szCs w:val="24"/>
        </w:rPr>
      </w:pPr>
    </w:p>
    <w:p w:rsidR="00B05C84" w:rsidRPr="00C41F72" w:rsidRDefault="00B05C84" w:rsidP="00C41F72">
      <w:pPr>
        <w:spacing w:line="360" w:lineRule="auto"/>
        <w:jc w:val="center"/>
        <w:rPr>
          <w:rFonts w:asciiTheme="minorEastAsia" w:hAnsiTheme="minorEastAsia" w:hint="eastAsia"/>
          <w:b/>
          <w:bCs/>
          <w:sz w:val="24"/>
          <w:szCs w:val="24"/>
        </w:rPr>
      </w:pPr>
      <w:r w:rsidRPr="00C41F72">
        <w:rPr>
          <w:rFonts w:asciiTheme="minorEastAsia" w:hAnsiTheme="minorEastAsia" w:hint="eastAsia"/>
          <w:b/>
          <w:bCs/>
          <w:sz w:val="24"/>
          <w:szCs w:val="24"/>
        </w:rPr>
        <w:t>目    录</w:t>
      </w:r>
    </w:p>
    <w:p w:rsidR="00C41F72" w:rsidRPr="00C41F72" w:rsidRDefault="00C41F72" w:rsidP="00C41F72">
      <w:pPr>
        <w:spacing w:line="360" w:lineRule="auto"/>
        <w:jc w:val="center"/>
        <w:rPr>
          <w:rFonts w:asciiTheme="minorEastAsia" w:hAnsiTheme="minorEastAsia"/>
          <w:b/>
          <w:bCs/>
          <w:szCs w:val="21"/>
        </w:rPr>
      </w:pPr>
    </w:p>
    <w:p w:rsidR="00B05C84" w:rsidRPr="00C41F72" w:rsidRDefault="005C10E4" w:rsidP="00C41F72">
      <w:pPr>
        <w:pStyle w:val="21"/>
        <w:tabs>
          <w:tab w:val="right" w:leader="dot" w:pos="8494"/>
        </w:tabs>
        <w:spacing w:line="360" w:lineRule="auto"/>
        <w:rPr>
          <w:rFonts w:eastAsiaTheme="minorEastAsia"/>
          <w:noProof/>
          <w:szCs w:val="21"/>
        </w:rPr>
      </w:pPr>
      <w:r w:rsidRPr="00C41F72">
        <w:rPr>
          <w:rFonts w:eastAsiaTheme="minorEastAsia"/>
          <w:szCs w:val="21"/>
        </w:rPr>
        <w:fldChar w:fldCharType="begin"/>
      </w:r>
      <w:r w:rsidR="00B05C84" w:rsidRPr="00C41F72">
        <w:rPr>
          <w:rFonts w:eastAsiaTheme="minorEastAsia"/>
          <w:szCs w:val="21"/>
        </w:rPr>
        <w:instrText xml:space="preserve"> TOC \o "1-2" \h \z </w:instrText>
      </w:r>
      <w:r w:rsidRPr="00C41F72">
        <w:rPr>
          <w:rFonts w:eastAsiaTheme="minorEastAsia"/>
          <w:szCs w:val="21"/>
        </w:rPr>
        <w:fldChar w:fldCharType="separate"/>
      </w:r>
      <w:hyperlink w:anchor="_Toc124325885" w:history="1">
        <w:r w:rsidR="00B05C84" w:rsidRPr="00C41F72">
          <w:rPr>
            <w:rStyle w:val="a9"/>
            <w:rFonts w:eastAsiaTheme="minorEastAsia" w:hAnsiTheme="minorEastAsia"/>
            <w:noProof/>
            <w:szCs w:val="21"/>
          </w:rPr>
          <w:t>一、基金托管协议当事人</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_Toc124325885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86" w:history="1">
        <w:r w:rsidR="00B05C84" w:rsidRPr="00C41F72">
          <w:rPr>
            <w:rStyle w:val="a9"/>
            <w:rFonts w:eastAsiaTheme="minorEastAsia" w:hAnsiTheme="minorEastAsia"/>
            <w:noProof/>
            <w:szCs w:val="21"/>
          </w:rPr>
          <w:t>二、基金托管协议的依据、目的和原则</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_Toc124325886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4</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87" w:history="1">
        <w:r w:rsidR="00B05C84" w:rsidRPr="00C41F72">
          <w:rPr>
            <w:rStyle w:val="a9"/>
            <w:rFonts w:eastAsiaTheme="minorEastAsia" w:hAnsiTheme="minorEastAsia"/>
            <w:noProof/>
            <w:szCs w:val="21"/>
          </w:rPr>
          <w:t>三、基金托管人对基金管理人的业务监督和核查</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_Toc124325887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4</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88" w:history="1">
        <w:r w:rsidR="00B05C84" w:rsidRPr="00C41F72">
          <w:rPr>
            <w:rStyle w:val="a9"/>
            <w:rFonts w:eastAsiaTheme="minorEastAsia" w:hAnsiTheme="minorEastAsia"/>
            <w:noProof/>
            <w:szCs w:val="21"/>
          </w:rPr>
          <w:t>四、基金管理人对基金托管人的业务核查</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_Toc124325888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10</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89" w:history="1">
        <w:r w:rsidR="00B05C84" w:rsidRPr="00C41F72">
          <w:rPr>
            <w:rStyle w:val="a9"/>
            <w:rFonts w:eastAsiaTheme="minorEastAsia" w:hAnsiTheme="minorEastAsia"/>
            <w:noProof/>
            <w:szCs w:val="21"/>
          </w:rPr>
          <w:t>五、基金财产的保管</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_Toc124325889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11</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0" w:history="1">
        <w:r w:rsidR="00B05C84" w:rsidRPr="00C41F72">
          <w:rPr>
            <w:rStyle w:val="a9"/>
            <w:rFonts w:eastAsiaTheme="minorEastAsia" w:hAnsiTheme="minorEastAsia"/>
            <w:noProof/>
            <w:szCs w:val="21"/>
          </w:rPr>
          <w:t>六、指令的发送、确认及执行</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_Toc124325890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13</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1" w:history="1">
        <w:r w:rsidR="00B05C84" w:rsidRPr="00C41F72">
          <w:rPr>
            <w:rStyle w:val="a9"/>
            <w:rFonts w:eastAsiaTheme="minorEastAsia" w:hAnsiTheme="minorEastAsia"/>
            <w:noProof/>
            <w:szCs w:val="21"/>
          </w:rPr>
          <w:t>七、交易及清算交收安排</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_Toc124325891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15</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2" w:history="1">
        <w:r w:rsidR="00B05C84" w:rsidRPr="00C41F72">
          <w:rPr>
            <w:rStyle w:val="a9"/>
            <w:rFonts w:eastAsiaTheme="minorEastAsia" w:hAnsiTheme="minorEastAsia"/>
            <w:noProof/>
            <w:szCs w:val="21"/>
          </w:rPr>
          <w:t>八、基金资产净值计算和会计核算</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_Toc124325892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19</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3" w:history="1">
        <w:r w:rsidR="00B05C84" w:rsidRPr="00C41F72">
          <w:rPr>
            <w:rStyle w:val="a9"/>
            <w:rFonts w:eastAsiaTheme="minorEastAsia" w:hAnsiTheme="minorEastAsia"/>
            <w:noProof/>
            <w:szCs w:val="21"/>
          </w:rPr>
          <w:t>九、基金收益分配</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_Toc124325893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23</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4" w:history="1">
        <w:r w:rsidR="00B05C84" w:rsidRPr="00C41F72">
          <w:rPr>
            <w:rStyle w:val="a9"/>
            <w:rFonts w:eastAsiaTheme="minorEastAsia" w:hAnsiTheme="minorEastAsia"/>
            <w:noProof/>
            <w:szCs w:val="21"/>
          </w:rPr>
          <w:t>十、基金信息披露</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_Toc124325894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23</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5" w:history="1">
        <w:r w:rsidR="00B05C84" w:rsidRPr="00C41F72">
          <w:rPr>
            <w:rStyle w:val="a9"/>
            <w:rFonts w:eastAsiaTheme="minorEastAsia" w:hAnsiTheme="minorEastAsia"/>
            <w:noProof/>
            <w:szCs w:val="21"/>
          </w:rPr>
          <w:t>十一、基金费用</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_Toc124325895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25</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6" w:history="1">
        <w:r w:rsidR="00B05C84" w:rsidRPr="00C41F72">
          <w:rPr>
            <w:rStyle w:val="a9"/>
            <w:rFonts w:eastAsiaTheme="minorEastAsia" w:hAnsiTheme="minorEastAsia"/>
            <w:noProof/>
            <w:szCs w:val="21"/>
          </w:rPr>
          <w:t>十二、基金份额持有人名册的保管</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_Toc124325896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26</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7" w:history="1">
        <w:r w:rsidR="00B05C84" w:rsidRPr="00C41F72">
          <w:rPr>
            <w:rStyle w:val="a9"/>
            <w:rFonts w:eastAsiaTheme="minorEastAsia" w:hAnsiTheme="minorEastAsia"/>
            <w:noProof/>
            <w:szCs w:val="21"/>
          </w:rPr>
          <w:t>十三、基金有关文件档案的保存</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_Toc124325897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26</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8" w:history="1">
        <w:r w:rsidR="00B05C84" w:rsidRPr="00C41F72">
          <w:rPr>
            <w:rStyle w:val="a9"/>
            <w:rFonts w:eastAsiaTheme="minorEastAsia" w:hAnsiTheme="minorEastAsia"/>
            <w:noProof/>
            <w:szCs w:val="21"/>
          </w:rPr>
          <w:t>十四、基金管理人和基金托管人的更换</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_Toc124325898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27</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899" w:history="1">
        <w:r w:rsidR="00B05C84" w:rsidRPr="00C41F72">
          <w:rPr>
            <w:rStyle w:val="a9"/>
            <w:rFonts w:eastAsiaTheme="minorEastAsia" w:hAnsiTheme="minorEastAsia"/>
            <w:noProof/>
            <w:szCs w:val="21"/>
          </w:rPr>
          <w:t>十五、禁止行为</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_Toc124325899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28</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0" w:history="1">
        <w:r w:rsidR="00B05C84" w:rsidRPr="00C41F72">
          <w:rPr>
            <w:rStyle w:val="a9"/>
            <w:rFonts w:eastAsiaTheme="minorEastAsia" w:hAnsiTheme="minorEastAsia"/>
            <w:noProof/>
            <w:szCs w:val="21"/>
          </w:rPr>
          <w:t>十六、托管协议的变更、终止与基金财产的清算</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_Toc124325900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29</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1" w:history="1">
        <w:r w:rsidR="00B05C84" w:rsidRPr="00C41F72">
          <w:rPr>
            <w:rStyle w:val="a9"/>
            <w:rFonts w:eastAsiaTheme="minorEastAsia" w:hAnsiTheme="minorEastAsia"/>
            <w:noProof/>
            <w:szCs w:val="21"/>
          </w:rPr>
          <w:t>十七、违约责任</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_Toc124325901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31</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2" w:history="1">
        <w:r w:rsidR="00B05C84" w:rsidRPr="00C41F72">
          <w:rPr>
            <w:rStyle w:val="a9"/>
            <w:rFonts w:eastAsiaTheme="minorEastAsia" w:hAnsiTheme="minorEastAsia"/>
            <w:noProof/>
            <w:szCs w:val="21"/>
          </w:rPr>
          <w:t>十八、争议解决方式</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_Toc124325902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31</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3" w:history="1">
        <w:r w:rsidR="00B05C84" w:rsidRPr="00C41F72">
          <w:rPr>
            <w:rStyle w:val="a9"/>
            <w:rFonts w:eastAsiaTheme="minorEastAsia" w:hAnsiTheme="minorEastAsia"/>
            <w:noProof/>
            <w:szCs w:val="21"/>
          </w:rPr>
          <w:t>十九、托管协议的效力</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_Toc124325903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32</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4" w:history="1">
        <w:r w:rsidR="00B05C84" w:rsidRPr="00C41F72">
          <w:rPr>
            <w:rStyle w:val="a9"/>
            <w:rFonts w:eastAsiaTheme="minorEastAsia" w:hAnsiTheme="minorEastAsia"/>
            <w:noProof/>
            <w:szCs w:val="21"/>
          </w:rPr>
          <w:t>二十、其他事项</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_Toc124325904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32</w:t>
        </w:r>
        <w:r w:rsidRPr="00C41F72">
          <w:rPr>
            <w:rFonts w:eastAsiaTheme="minorEastAsia"/>
            <w:noProof/>
            <w:webHidden/>
            <w:szCs w:val="21"/>
          </w:rPr>
          <w:fldChar w:fldCharType="end"/>
        </w:r>
      </w:hyperlink>
    </w:p>
    <w:p w:rsidR="00B05C84" w:rsidRPr="00C41F72" w:rsidRDefault="005C10E4" w:rsidP="00C41F72">
      <w:pPr>
        <w:pStyle w:val="21"/>
        <w:tabs>
          <w:tab w:val="right" w:leader="dot" w:pos="8494"/>
        </w:tabs>
        <w:spacing w:line="360" w:lineRule="auto"/>
        <w:rPr>
          <w:rFonts w:eastAsiaTheme="minorEastAsia"/>
          <w:noProof/>
          <w:szCs w:val="21"/>
        </w:rPr>
      </w:pPr>
      <w:hyperlink w:anchor="_Toc124325905" w:history="1">
        <w:r w:rsidR="00B05C84" w:rsidRPr="00C41F72">
          <w:rPr>
            <w:rStyle w:val="a9"/>
            <w:rFonts w:eastAsiaTheme="minorEastAsia" w:hAnsiTheme="minorEastAsia"/>
            <w:noProof/>
            <w:szCs w:val="21"/>
          </w:rPr>
          <w:t>二十一、托管协议的签订</w:t>
        </w:r>
        <w:r w:rsidR="00B05C84" w:rsidRPr="00C41F72">
          <w:rPr>
            <w:rFonts w:eastAsiaTheme="minorEastAsia"/>
            <w:noProof/>
            <w:webHidden/>
            <w:szCs w:val="21"/>
          </w:rPr>
          <w:tab/>
        </w:r>
        <w:r w:rsidRPr="00C41F72">
          <w:rPr>
            <w:rFonts w:eastAsiaTheme="minorEastAsia"/>
            <w:noProof/>
            <w:webHidden/>
            <w:szCs w:val="21"/>
          </w:rPr>
          <w:fldChar w:fldCharType="begin"/>
        </w:r>
        <w:r w:rsidR="00B05C84" w:rsidRPr="00C41F72">
          <w:rPr>
            <w:rFonts w:eastAsiaTheme="minorEastAsia"/>
            <w:noProof/>
            <w:webHidden/>
            <w:szCs w:val="21"/>
          </w:rPr>
          <w:instrText xml:space="preserve"> PAGEREF _Toc124325905 \h </w:instrText>
        </w:r>
        <w:r w:rsidRPr="00C41F72">
          <w:rPr>
            <w:rFonts w:eastAsiaTheme="minorEastAsia"/>
            <w:noProof/>
            <w:webHidden/>
            <w:szCs w:val="21"/>
          </w:rPr>
        </w:r>
        <w:r w:rsidRPr="00C41F72">
          <w:rPr>
            <w:rFonts w:eastAsiaTheme="minorEastAsia"/>
            <w:noProof/>
            <w:webHidden/>
            <w:szCs w:val="21"/>
          </w:rPr>
          <w:fldChar w:fldCharType="separate"/>
        </w:r>
        <w:r w:rsidR="001629F0">
          <w:rPr>
            <w:rFonts w:eastAsiaTheme="minorEastAsia"/>
            <w:noProof/>
            <w:webHidden/>
            <w:szCs w:val="21"/>
          </w:rPr>
          <w:t>32</w:t>
        </w:r>
        <w:r w:rsidRPr="00C41F72">
          <w:rPr>
            <w:rFonts w:eastAsiaTheme="minorEastAsia"/>
            <w:noProof/>
            <w:webHidden/>
            <w:szCs w:val="21"/>
          </w:rPr>
          <w:fldChar w:fldCharType="end"/>
        </w:r>
      </w:hyperlink>
    </w:p>
    <w:p w:rsidR="00B05C84" w:rsidRPr="00C41F72" w:rsidRDefault="005C10E4" w:rsidP="00C41F72">
      <w:pPr>
        <w:spacing w:line="360" w:lineRule="auto"/>
        <w:rPr>
          <w:rFonts w:asciiTheme="minorEastAsia" w:hAnsiTheme="minorEastAsia"/>
          <w:szCs w:val="21"/>
        </w:rPr>
      </w:pPr>
      <w:r w:rsidRPr="00C41F72">
        <w:rPr>
          <w:rFonts w:ascii="Times New Roman" w:hAnsi="Times New Roman" w:cs="Times New Roman"/>
          <w:szCs w:val="21"/>
        </w:rPr>
        <w:fldChar w:fldCharType="end"/>
      </w:r>
    </w:p>
    <w:p w:rsidR="00C41F72" w:rsidRDefault="00C41F72">
      <w:pPr>
        <w:widowControl/>
        <w:jc w:val="left"/>
        <w:rPr>
          <w:rFonts w:asciiTheme="minorEastAsia" w:hAnsiTheme="minorEastAsia" w:cs="Arial"/>
          <w:kern w:val="0"/>
          <w:szCs w:val="21"/>
        </w:rPr>
      </w:pPr>
      <w:r>
        <w:rPr>
          <w:rFonts w:asciiTheme="minorEastAsia" w:hAnsiTheme="minorEastAsia" w:cs="Arial"/>
          <w:kern w:val="0"/>
          <w:szCs w:val="21"/>
        </w:rPr>
        <w:br w:type="page"/>
      </w:r>
    </w:p>
    <w:p w:rsidR="00B05C84" w:rsidRPr="00C41F72" w:rsidRDefault="00B05C84" w:rsidP="00C41F72">
      <w:pPr>
        <w:widowControl/>
        <w:adjustRightInd w:val="0"/>
        <w:snapToGrid w:val="0"/>
        <w:spacing w:line="360" w:lineRule="auto"/>
        <w:ind w:firstLineChars="200" w:firstLine="420"/>
        <w:rPr>
          <w:rFonts w:asciiTheme="minorEastAsia" w:hAnsiTheme="minorEastAsia" w:cs="Arial"/>
          <w:kern w:val="0"/>
          <w:szCs w:val="21"/>
        </w:rPr>
      </w:pPr>
      <w:r w:rsidRPr="00C41F72">
        <w:rPr>
          <w:rFonts w:asciiTheme="minorEastAsia" w:hAnsiTheme="minorEastAsia" w:cs="Arial" w:hint="eastAsia"/>
          <w:kern w:val="0"/>
          <w:szCs w:val="21"/>
        </w:rPr>
        <w:lastRenderedPageBreak/>
        <w:t>鉴于长城基金管理有限公司系一家依照中国法律合法成立并有效存续的有限责任公司，按照相关法律法规的规定具备担任基金管理人的资格和能力，拟募集发行</w:t>
      </w:r>
      <w:r w:rsidR="001F3560" w:rsidRPr="00C41F72">
        <w:rPr>
          <w:rFonts w:asciiTheme="minorEastAsia" w:hAnsiTheme="minorEastAsia" w:cs="Arial" w:hint="eastAsia"/>
          <w:kern w:val="0"/>
          <w:szCs w:val="21"/>
        </w:rPr>
        <w:t>长城量化小盘股票型证券投资基金</w:t>
      </w:r>
      <w:r w:rsidRPr="00C41F72">
        <w:rPr>
          <w:rFonts w:asciiTheme="minorEastAsia" w:hAnsiTheme="minorEastAsia" w:cs="Arial" w:hint="eastAsia"/>
          <w:kern w:val="0"/>
          <w:szCs w:val="21"/>
        </w:rPr>
        <w:t>；</w:t>
      </w:r>
    </w:p>
    <w:p w:rsidR="00B05C84" w:rsidRPr="00C41F72" w:rsidRDefault="00B05C84" w:rsidP="00C41F72">
      <w:pPr>
        <w:widowControl/>
        <w:adjustRightInd w:val="0"/>
        <w:snapToGrid w:val="0"/>
        <w:spacing w:line="360" w:lineRule="auto"/>
        <w:ind w:firstLineChars="200" w:firstLine="420"/>
        <w:rPr>
          <w:rFonts w:asciiTheme="minorEastAsia" w:hAnsiTheme="minorEastAsia" w:cs="Arial"/>
          <w:kern w:val="0"/>
          <w:szCs w:val="21"/>
        </w:rPr>
      </w:pPr>
      <w:r w:rsidRPr="00C41F72">
        <w:rPr>
          <w:rFonts w:ascii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B05C84" w:rsidRPr="00C41F72" w:rsidRDefault="00B05C84" w:rsidP="00C41F72">
      <w:pPr>
        <w:widowControl/>
        <w:adjustRightInd w:val="0"/>
        <w:snapToGrid w:val="0"/>
        <w:spacing w:line="360" w:lineRule="auto"/>
        <w:ind w:firstLineChars="200" w:firstLine="420"/>
        <w:rPr>
          <w:rFonts w:asciiTheme="minorEastAsia" w:hAnsiTheme="minorEastAsia" w:cs="Arial"/>
          <w:kern w:val="0"/>
          <w:szCs w:val="21"/>
        </w:rPr>
      </w:pPr>
      <w:r w:rsidRPr="00C41F72">
        <w:rPr>
          <w:rFonts w:asciiTheme="minorEastAsia" w:hAnsiTheme="minorEastAsia" w:cs="Arial" w:hint="eastAsia"/>
          <w:kern w:val="0"/>
          <w:szCs w:val="21"/>
        </w:rPr>
        <w:t>鉴于长城基金管理有限公司拟担任</w:t>
      </w:r>
      <w:r w:rsidR="001F3560" w:rsidRPr="00C41F72">
        <w:rPr>
          <w:rFonts w:asciiTheme="minorEastAsia" w:hAnsiTheme="minorEastAsia" w:cs="Arial" w:hint="eastAsia"/>
          <w:kern w:val="0"/>
          <w:szCs w:val="21"/>
        </w:rPr>
        <w:t>长城量化小盘股票型证券投资基金</w:t>
      </w:r>
      <w:r w:rsidRPr="00C41F72">
        <w:rPr>
          <w:rFonts w:asciiTheme="minorEastAsia" w:hAnsiTheme="minorEastAsia" w:cs="Arial" w:hint="eastAsia"/>
          <w:kern w:val="0"/>
          <w:szCs w:val="21"/>
        </w:rPr>
        <w:t>的基金管理人，中国建设银行股份有限公司拟担任</w:t>
      </w:r>
      <w:r w:rsidR="001F3560" w:rsidRPr="00C41F72">
        <w:rPr>
          <w:rFonts w:asciiTheme="minorEastAsia" w:hAnsiTheme="minorEastAsia" w:cs="Arial" w:hint="eastAsia"/>
          <w:kern w:val="0"/>
          <w:szCs w:val="21"/>
        </w:rPr>
        <w:t>长城量化小盘股票型证券投资基金</w:t>
      </w:r>
      <w:r w:rsidRPr="00C41F72">
        <w:rPr>
          <w:rFonts w:asciiTheme="minorEastAsia" w:hAnsiTheme="minorEastAsia" w:cs="Arial" w:hint="eastAsia"/>
          <w:kern w:val="0"/>
          <w:szCs w:val="21"/>
        </w:rPr>
        <w:t>的基金托管人；</w:t>
      </w:r>
    </w:p>
    <w:p w:rsidR="00B05C84" w:rsidRPr="00C41F72" w:rsidRDefault="00B05C84" w:rsidP="00C41F72">
      <w:pPr>
        <w:widowControl/>
        <w:adjustRightInd w:val="0"/>
        <w:snapToGrid w:val="0"/>
        <w:spacing w:line="360" w:lineRule="auto"/>
        <w:ind w:firstLineChars="200" w:firstLine="420"/>
        <w:rPr>
          <w:rFonts w:asciiTheme="minorEastAsia" w:hAnsiTheme="minorEastAsia" w:cs="Arial"/>
          <w:kern w:val="0"/>
          <w:szCs w:val="21"/>
        </w:rPr>
      </w:pPr>
      <w:r w:rsidRPr="00C41F72">
        <w:rPr>
          <w:rFonts w:asciiTheme="minorEastAsia" w:hAnsiTheme="minorEastAsia" w:cs="Arial" w:hint="eastAsia"/>
          <w:kern w:val="0"/>
          <w:szCs w:val="21"/>
        </w:rPr>
        <w:t>为明确</w:t>
      </w:r>
      <w:r w:rsidR="001F3560" w:rsidRPr="00C41F72">
        <w:rPr>
          <w:rFonts w:asciiTheme="minorEastAsia" w:hAnsiTheme="minorEastAsia" w:cs="Arial" w:hint="eastAsia"/>
          <w:kern w:val="0"/>
          <w:szCs w:val="21"/>
        </w:rPr>
        <w:t>长城量化小盘股票型证券投资基金</w:t>
      </w:r>
      <w:r w:rsidRPr="00C41F72">
        <w:rPr>
          <w:rFonts w:asciiTheme="minorEastAsia" w:hAnsiTheme="minorEastAsia" w:cs="Arial" w:hint="eastAsia"/>
          <w:kern w:val="0"/>
          <w:szCs w:val="21"/>
        </w:rPr>
        <w:t>的基金管理人和基金托管人之间的权利义务关系，特制订本托管协议；</w:t>
      </w:r>
    </w:p>
    <w:p w:rsidR="00B05C84" w:rsidRPr="00C41F72" w:rsidRDefault="00B05C84" w:rsidP="00C41F72">
      <w:pPr>
        <w:widowControl/>
        <w:adjustRightInd w:val="0"/>
        <w:snapToGrid w:val="0"/>
        <w:spacing w:line="360" w:lineRule="auto"/>
        <w:ind w:firstLineChars="200" w:firstLine="420"/>
        <w:rPr>
          <w:rFonts w:asciiTheme="minorEastAsia" w:hAnsiTheme="minorEastAsia" w:cs="Arial"/>
          <w:kern w:val="0"/>
          <w:szCs w:val="21"/>
          <w:lang w:val="en-GB"/>
        </w:rPr>
      </w:pPr>
      <w:r w:rsidRPr="00C41F72">
        <w:rPr>
          <w:rFonts w:asciiTheme="minorEastAsia" w:hAnsiTheme="minorEastAsia" w:cs="Arial" w:hint="eastAsia"/>
          <w:kern w:val="0"/>
          <w:szCs w:val="21"/>
          <w:lang w:val="en-GB"/>
        </w:rPr>
        <w:t>除非另有约定，《</w:t>
      </w:r>
      <w:r w:rsidR="001F3560" w:rsidRPr="00C41F72">
        <w:rPr>
          <w:rFonts w:asciiTheme="minorEastAsia" w:hAnsiTheme="minorEastAsia" w:cs="Arial" w:hint="eastAsia"/>
          <w:kern w:val="0"/>
          <w:szCs w:val="21"/>
        </w:rPr>
        <w:t>长城量化小盘股票型证券投资基金</w:t>
      </w:r>
      <w:r w:rsidRPr="00C41F72">
        <w:rPr>
          <w:rFonts w:asciiTheme="minorEastAsia" w:hAnsiTheme="minorEastAsia" w:cs="Arial" w:hint="eastAsia"/>
          <w:kern w:val="0"/>
          <w:szCs w:val="21"/>
          <w:lang w:val="en-GB"/>
        </w:rPr>
        <w:t>基金合同》(以下简称“基金合同”)中定义的术语在用于本托管协议时应具有相同的含义；若有抵触应以《基金合同》为准，并依其</w:t>
      </w:r>
      <w:r w:rsidRPr="00C41F72">
        <w:rPr>
          <w:rFonts w:asciiTheme="minorEastAsia" w:hAnsiTheme="minorEastAsia" w:cs="Arial" w:hint="eastAsia"/>
          <w:kern w:val="0"/>
          <w:szCs w:val="21"/>
        </w:rPr>
        <w:t>条款</w:t>
      </w:r>
      <w:r w:rsidRPr="00C41F72">
        <w:rPr>
          <w:rFonts w:asciiTheme="minorEastAsia" w:hAnsiTheme="minorEastAsia" w:cs="Arial" w:hint="eastAsia"/>
          <w:kern w:val="0"/>
          <w:szCs w:val="21"/>
          <w:lang w:val="en-GB"/>
        </w:rPr>
        <w:t>解释。</w:t>
      </w:r>
    </w:p>
    <w:p w:rsidR="00B05C84" w:rsidRPr="00C41F72" w:rsidRDefault="00B05C84" w:rsidP="00C41F72">
      <w:pPr>
        <w:spacing w:line="360" w:lineRule="auto"/>
        <w:rPr>
          <w:rFonts w:asciiTheme="minorEastAsia" w:hAnsiTheme="minorEastAsia"/>
          <w:szCs w:val="21"/>
          <w:lang w:val="en-GB"/>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0" w:name="_Toc124325885"/>
      <w:r w:rsidRPr="00C41F72">
        <w:rPr>
          <w:rFonts w:asciiTheme="minorEastAsia" w:eastAsiaTheme="minorEastAsia" w:hAnsiTheme="minorEastAsia" w:hint="eastAsia"/>
          <w:sz w:val="21"/>
          <w:szCs w:val="21"/>
        </w:rPr>
        <w:t>一、基金托管协议当事人</w:t>
      </w:r>
      <w:bookmarkEnd w:id="0"/>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（一）基金管理人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名称：长城基金管理有限公司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注册地址：深圳市福田区益田路6009号新世界商务中心41层</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办公地址：深圳市福田区益田路6009号新世界商务中心41层</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邮政编码：518026</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法定代表人：</w:t>
      </w:r>
      <w:r w:rsidR="0087118E" w:rsidRPr="00C41F72">
        <w:rPr>
          <w:rFonts w:asciiTheme="minorEastAsia" w:hAnsiTheme="minorEastAsia" w:cs="Arial" w:hint="eastAsia"/>
          <w:szCs w:val="21"/>
        </w:rPr>
        <w:t>王军</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成立日期：2001年12月27日</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批准设立机关及批准设立文号：中国证监会证监基字[2001]55号</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组织形式：有限责任公司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注册资本：1.5亿</w:t>
      </w:r>
      <w:r w:rsidRPr="00C41F72">
        <w:rPr>
          <w:rFonts w:asciiTheme="minorEastAsia" w:hAnsiTheme="minorEastAsia" w:hint="eastAsia"/>
          <w:szCs w:val="21"/>
        </w:rPr>
        <w:t>元</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存续期间：持续经营</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经营范围：基金募集、基金销售、资产管理、特定客户资产管理和中国证监会许可的其他业务</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（二）基金托管人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名称：中国建设银行股份有限公司(简称：中国建设银行)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住所：北京市西城区金融大街25号</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办公地址：北京市西城区闹市口大街1号院1号楼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邮政编码：100033</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法定代表人：田国立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成立日期：</w:t>
      </w:r>
      <w:smartTag w:uri="urn:schemas-microsoft-com:office:smarttags" w:element="chsdate">
        <w:smartTagPr>
          <w:attr w:name="IsROCDate" w:val="False"/>
          <w:attr w:name="IsLunarDate" w:val="False"/>
          <w:attr w:name="Day" w:val="17"/>
          <w:attr w:name="Month" w:val="09"/>
          <w:attr w:name="Year" w:val="2004"/>
        </w:smartTagPr>
        <w:r w:rsidRPr="00C41F72">
          <w:rPr>
            <w:rFonts w:asciiTheme="minorEastAsia" w:hAnsiTheme="minorEastAsia" w:cs="Arial" w:hint="eastAsia"/>
            <w:szCs w:val="21"/>
          </w:rPr>
          <w:t>2004年09月17日</w:t>
        </w:r>
      </w:smartTag>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基金托管业务批准文号：中国证监会证监基字[1998</w:t>
      </w:r>
      <w:bookmarkStart w:id="1" w:name="OLE_LINK3"/>
      <w:r w:rsidRPr="00C41F72">
        <w:rPr>
          <w:rFonts w:asciiTheme="minorEastAsia" w:hAnsiTheme="minorEastAsia" w:cs="Arial" w:hint="eastAsia"/>
          <w:szCs w:val="21"/>
        </w:rPr>
        <w:t>]</w:t>
      </w:r>
      <w:bookmarkEnd w:id="1"/>
      <w:r w:rsidRPr="00C41F72">
        <w:rPr>
          <w:rFonts w:asciiTheme="minorEastAsia" w:hAnsiTheme="minorEastAsia" w:cs="Arial" w:hint="eastAsia"/>
          <w:szCs w:val="21"/>
        </w:rPr>
        <w:t>12号</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组织形式：股份有限公司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注册资本：</w:t>
      </w:r>
      <w:r w:rsidRPr="00C41F72">
        <w:rPr>
          <w:rFonts w:asciiTheme="minorEastAsia" w:hAnsiTheme="minorEastAsia" w:hint="eastAsia"/>
          <w:szCs w:val="21"/>
        </w:rPr>
        <w:t>贰仟伍佰亿壹仟零玖拾柒万柒仟肆佰捌拾陆元整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存续期间：持续经营</w:t>
      </w:r>
    </w:p>
    <w:p w:rsidR="00B05C84" w:rsidRPr="00C41F72" w:rsidRDefault="00B05C84" w:rsidP="00C41F72">
      <w:pPr>
        <w:tabs>
          <w:tab w:val="left" w:pos="540"/>
        </w:tabs>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2" w:name="_Toc124325886"/>
      <w:r w:rsidRPr="00C41F72">
        <w:rPr>
          <w:rFonts w:asciiTheme="minorEastAsia" w:eastAsiaTheme="minorEastAsia" w:hAnsiTheme="minorEastAsia" w:hint="eastAsia"/>
          <w:sz w:val="21"/>
          <w:szCs w:val="21"/>
        </w:rPr>
        <w:t>二、基金托管协议的依据、目的和原则</w:t>
      </w:r>
      <w:bookmarkEnd w:id="2"/>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（一）订立托管协议的依据</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本协议依据《中华人民共和国证券投资基金法》(以下简称“《基金法》”)等有关法律法规、《基金合同》及其他有关规定制订。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（二）订立托管协议的目的</w:t>
      </w:r>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（三）订立托管协议的原则</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基金管理人和基金托管人本着平等自愿、诚实信用、充分保护基金份额持有人合法权益的原则，经协商一致，签订本协议。</w:t>
      </w:r>
    </w:p>
    <w:p w:rsidR="005A4CB9" w:rsidRPr="00C41F72" w:rsidRDefault="005A4CB9"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w:t>
      </w:r>
      <w:r w:rsidR="00B9427D" w:rsidRPr="00C41F72">
        <w:rPr>
          <w:rFonts w:asciiTheme="minorEastAsia" w:hAnsiTheme="minorEastAsia" w:cs="Arial" w:hint="eastAsia"/>
          <w:szCs w:val="21"/>
        </w:rPr>
        <w:t>本协议约定的基金产品资料概要编制、披露与更新要求，自《公开募集证券投资基金信息披露管理办法》（以下简称《信息披露办法》）实施之日起一年后开始执行。</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3" w:name="_Toc124325887"/>
      <w:r w:rsidRPr="00C41F72">
        <w:rPr>
          <w:rFonts w:asciiTheme="minorEastAsia" w:eastAsiaTheme="minorEastAsia" w:hAnsiTheme="minorEastAsia" w:hint="eastAsia"/>
          <w:sz w:val="21"/>
          <w:szCs w:val="21"/>
        </w:rPr>
        <w:t>三、基金托管人对基金管理人的业务监督和核查</w:t>
      </w:r>
      <w:bookmarkEnd w:id="3"/>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05C84" w:rsidRPr="006C221C" w:rsidRDefault="00B05C84" w:rsidP="006C221C">
      <w:pPr>
        <w:adjustRightInd w:val="0"/>
        <w:spacing w:line="360" w:lineRule="auto"/>
        <w:ind w:firstLineChars="200" w:firstLine="420"/>
        <w:rPr>
          <w:rFonts w:asciiTheme="minorEastAsia" w:hAnsiTheme="minorEastAsia" w:cs="Arial"/>
          <w:szCs w:val="21"/>
        </w:rPr>
      </w:pPr>
      <w:r w:rsidRPr="006C221C">
        <w:rPr>
          <w:rFonts w:asciiTheme="minorEastAsia" w:hAnsiTheme="minorEastAsia" w:cs="Arial" w:hint="eastAsia"/>
          <w:szCs w:val="21"/>
        </w:rPr>
        <w:lastRenderedPageBreak/>
        <w:t>本基金的投资范围包括国内依法发行上市的股票(包括主板、创业板、中小板以及其他经中国证监会允许基金投资的股票)、债券(包括国债、央行票据、地方政府债、金融债、企业债、公司债、次级债、中期票据、短期融资券、超短期融资券、可转换债券(含可分离交易可转换债)、可交换债券等)、资产支持证券、债券回购、银行存款(包括协议存款、定期存款</w:t>
      </w:r>
      <w:r w:rsidR="00432AB6" w:rsidRPr="006C221C">
        <w:rPr>
          <w:rFonts w:asciiTheme="minorEastAsia" w:hAnsiTheme="minorEastAsia" w:cs="Arial" w:hint="eastAsia"/>
          <w:szCs w:val="21"/>
        </w:rPr>
        <w:t>等</w:t>
      </w:r>
      <w:r w:rsidRPr="006C221C">
        <w:rPr>
          <w:rFonts w:asciiTheme="minorEastAsia" w:hAnsiTheme="minorEastAsia" w:cs="Arial" w:hint="eastAsia"/>
          <w:szCs w:val="21"/>
        </w:rPr>
        <w:t>)、同业存单、股指期货及法律法规或中国证监会允许基金投资的其他金融工具(但须符合中国证监会相关规定)。</w:t>
      </w:r>
    </w:p>
    <w:p w:rsidR="00B05C84" w:rsidRPr="006C221C" w:rsidRDefault="00B05C84" w:rsidP="006C221C">
      <w:pPr>
        <w:adjustRightInd w:val="0"/>
        <w:spacing w:line="360" w:lineRule="auto"/>
        <w:ind w:firstLineChars="200" w:firstLine="420"/>
        <w:rPr>
          <w:rFonts w:asciiTheme="minorEastAsia" w:hAnsiTheme="minorEastAsia" w:cs="Arial"/>
          <w:szCs w:val="21"/>
        </w:rPr>
      </w:pPr>
      <w:r w:rsidRPr="006C221C">
        <w:rPr>
          <w:rFonts w:asciiTheme="minorEastAsia" w:hAnsiTheme="minorEastAsia" w:cs="Arial" w:hint="eastAsia"/>
          <w:szCs w:val="21"/>
        </w:rPr>
        <w:t>基金的投资组合比例为：股票资产占基金资产的</w:t>
      </w:r>
      <w:r w:rsidRPr="006C221C">
        <w:rPr>
          <w:rFonts w:asciiTheme="minorEastAsia" w:hAnsiTheme="minorEastAsia" w:cs="Arial"/>
          <w:szCs w:val="21"/>
        </w:rPr>
        <w:t>80</w:t>
      </w:r>
      <w:r w:rsidRPr="006C221C">
        <w:rPr>
          <w:rFonts w:asciiTheme="minorEastAsia" w:hAnsiTheme="minorEastAsia" w:cs="Arial" w:hint="eastAsia"/>
          <w:szCs w:val="21"/>
        </w:rPr>
        <w:t>%</w:t>
      </w:r>
      <w:r w:rsidRPr="006C221C">
        <w:rPr>
          <w:rFonts w:asciiTheme="minorEastAsia" w:hAnsiTheme="minorEastAsia" w:cs="Arial"/>
          <w:szCs w:val="21"/>
        </w:rPr>
        <w:t>-95%</w:t>
      </w:r>
      <w:r w:rsidR="00884CBE" w:rsidRPr="006C221C">
        <w:rPr>
          <w:rFonts w:asciiTheme="minorEastAsia" w:hAnsiTheme="minorEastAsia" w:cs="Arial" w:hint="eastAsia"/>
          <w:szCs w:val="21"/>
        </w:rPr>
        <w:t>，其中</w:t>
      </w:r>
      <w:r w:rsidR="000E3381" w:rsidRPr="006C221C">
        <w:rPr>
          <w:rFonts w:asciiTheme="minorEastAsia" w:hAnsiTheme="minorEastAsia" w:cs="Arial" w:hint="eastAsia"/>
          <w:szCs w:val="21"/>
        </w:rPr>
        <w:t>，</w:t>
      </w:r>
      <w:r w:rsidR="00884CBE" w:rsidRPr="006C221C">
        <w:rPr>
          <w:rFonts w:asciiTheme="minorEastAsia" w:hAnsiTheme="minorEastAsia" w:cs="Arial" w:hint="eastAsia"/>
          <w:szCs w:val="21"/>
        </w:rPr>
        <w:t>投资于本基金界定的小</w:t>
      </w:r>
      <w:r w:rsidR="00477646" w:rsidRPr="006C221C">
        <w:rPr>
          <w:rFonts w:asciiTheme="minorEastAsia" w:hAnsiTheme="minorEastAsia" w:cs="Arial" w:hint="eastAsia"/>
          <w:szCs w:val="21"/>
        </w:rPr>
        <w:t>盘</w:t>
      </w:r>
      <w:r w:rsidR="00884CBE" w:rsidRPr="006C221C">
        <w:rPr>
          <w:rFonts w:asciiTheme="minorEastAsia" w:hAnsiTheme="minorEastAsia" w:cs="Arial" w:hint="eastAsia"/>
          <w:szCs w:val="21"/>
        </w:rPr>
        <w:t>股票的比例不低于非现金基金资产的80</w:t>
      </w:r>
      <w:r w:rsidR="00884CBE" w:rsidRPr="006C221C">
        <w:rPr>
          <w:rFonts w:asciiTheme="minorEastAsia" w:hAnsiTheme="minorEastAsia" w:cs="Arial"/>
          <w:szCs w:val="21"/>
        </w:rPr>
        <w:t>%</w:t>
      </w:r>
      <w:r w:rsidRPr="006C221C">
        <w:rPr>
          <w:rFonts w:asciiTheme="minorEastAsia" w:hAnsiTheme="minorEastAsia" w:cs="Arial" w:hint="eastAsia"/>
          <w:szCs w:val="21"/>
        </w:rPr>
        <w:t>；每个交易日日终在扣除股指期货合约需缴纳的交易保证金后，现金或到期日在一年以内的政府债券的投资比例合计不低于基金资产净值的</w:t>
      </w:r>
      <w:r w:rsidRPr="006C221C">
        <w:rPr>
          <w:rFonts w:asciiTheme="minorEastAsia" w:hAnsiTheme="minorEastAsia" w:cs="Arial"/>
          <w:szCs w:val="21"/>
        </w:rPr>
        <w:t>5%</w:t>
      </w:r>
      <w:r w:rsidRPr="006C221C">
        <w:rPr>
          <w:rFonts w:asciiTheme="minorEastAsia" w:hAnsiTheme="minorEastAsia" w:cs="Arial" w:hint="eastAsia"/>
          <w:szCs w:val="21"/>
        </w:rPr>
        <w:t>，本基金所指的现金范围不包括结算备付金、存出保证金、应收申购款等资金类别。</w:t>
      </w:r>
    </w:p>
    <w:p w:rsidR="00B05C84" w:rsidRPr="006C221C" w:rsidRDefault="00B05C84" w:rsidP="006C221C">
      <w:pPr>
        <w:adjustRightInd w:val="0"/>
        <w:spacing w:line="360" w:lineRule="auto"/>
        <w:ind w:firstLineChars="200" w:firstLine="420"/>
        <w:rPr>
          <w:rFonts w:asciiTheme="minorEastAsia" w:hAnsiTheme="minorEastAsia" w:cs="Arial"/>
          <w:szCs w:val="21"/>
        </w:rPr>
      </w:pPr>
      <w:r w:rsidRPr="006C221C">
        <w:rPr>
          <w:rFonts w:asciiTheme="minorEastAsia" w:hAnsiTheme="minorEastAsia" w:cs="Arial" w:hint="eastAsia"/>
          <w:szCs w:val="21"/>
        </w:rPr>
        <w:t>如法律法规或监管机构以后允许基金投资其他品种，基金管理人在履行适当程序后，可以将其纳入投资范围。</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hint="eastAsia"/>
          <w:szCs w:val="21"/>
        </w:rPr>
        <w:t>（二）基金托管人根据有关法律法规的规定及《基金合同》的约定，对基金投资、融资比例进行监督。基金托管人按下述比例和调整期限进行监督：</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1.本基金所持有的</w:t>
      </w:r>
      <w:r w:rsidRPr="00C41F72">
        <w:rPr>
          <w:rFonts w:asciiTheme="minorEastAsia" w:hAnsiTheme="minorEastAsia" w:cs="Arial"/>
          <w:szCs w:val="21"/>
        </w:rPr>
        <w:t>股票</w:t>
      </w:r>
      <w:r w:rsidRPr="00C41F72">
        <w:rPr>
          <w:rFonts w:asciiTheme="minorEastAsia" w:hAnsiTheme="minorEastAsia" w:cs="Arial" w:hint="eastAsia"/>
          <w:szCs w:val="21"/>
        </w:rPr>
        <w:t>资产</w:t>
      </w:r>
      <w:r w:rsidRPr="00C41F72">
        <w:rPr>
          <w:rFonts w:asciiTheme="minorEastAsia" w:hAnsiTheme="minorEastAsia" w:cs="Arial"/>
          <w:szCs w:val="21"/>
        </w:rPr>
        <w:t>占基金资产的80</w:t>
      </w:r>
      <w:r w:rsidRPr="00C41F72">
        <w:rPr>
          <w:rFonts w:asciiTheme="minorEastAsia" w:hAnsiTheme="minorEastAsia" w:cs="Arial" w:hint="eastAsia"/>
          <w:szCs w:val="21"/>
        </w:rPr>
        <w:t>%</w:t>
      </w:r>
      <w:r w:rsidRPr="00C41F72">
        <w:rPr>
          <w:rFonts w:asciiTheme="minorEastAsia" w:hAnsiTheme="minorEastAsia" w:cs="Arial"/>
          <w:szCs w:val="21"/>
        </w:rPr>
        <w:t>-95%</w:t>
      </w:r>
      <w:r w:rsidR="00112E00" w:rsidRPr="00C41F72">
        <w:rPr>
          <w:rFonts w:asciiTheme="minorEastAsia" w:hAnsiTheme="minorEastAsia" w:cs="Times New Roman" w:hint="eastAsia"/>
          <w:szCs w:val="21"/>
        </w:rPr>
        <w:t>，其中</w:t>
      </w:r>
      <w:r w:rsidR="000E3381" w:rsidRPr="00C41F72">
        <w:rPr>
          <w:rFonts w:asciiTheme="minorEastAsia" w:hAnsiTheme="minorEastAsia" w:cs="Times New Roman" w:hint="eastAsia"/>
          <w:szCs w:val="21"/>
        </w:rPr>
        <w:t>，</w:t>
      </w:r>
      <w:r w:rsidR="00112E00" w:rsidRPr="00C41F72">
        <w:rPr>
          <w:rFonts w:asciiTheme="minorEastAsia" w:hAnsiTheme="minorEastAsia" w:cs="Times New Roman" w:hint="eastAsia"/>
          <w:szCs w:val="21"/>
        </w:rPr>
        <w:t>投资</w:t>
      </w:r>
      <w:r w:rsidR="00112E00" w:rsidRPr="00C41F72">
        <w:rPr>
          <w:rFonts w:asciiTheme="minorEastAsia" w:hAnsiTheme="minorEastAsia" w:cs="Times New Roman"/>
          <w:szCs w:val="21"/>
        </w:rPr>
        <w:t>于本基金</w:t>
      </w:r>
      <w:r w:rsidR="00112E00" w:rsidRPr="00C41F72">
        <w:rPr>
          <w:rFonts w:asciiTheme="minorEastAsia" w:hAnsiTheme="minorEastAsia" w:cs="Times New Roman" w:hint="eastAsia"/>
          <w:szCs w:val="21"/>
        </w:rPr>
        <w:t>界定</w:t>
      </w:r>
      <w:r w:rsidR="00112E00" w:rsidRPr="00C41F72">
        <w:rPr>
          <w:rFonts w:asciiTheme="minorEastAsia" w:hAnsiTheme="minorEastAsia" w:cs="Times New Roman"/>
          <w:szCs w:val="21"/>
        </w:rPr>
        <w:t>的</w:t>
      </w:r>
      <w:r w:rsidR="00477646" w:rsidRPr="00C41F72">
        <w:rPr>
          <w:rFonts w:asciiTheme="minorEastAsia" w:hAnsiTheme="minorEastAsia" w:cs="Times New Roman" w:hint="eastAsia"/>
          <w:szCs w:val="21"/>
        </w:rPr>
        <w:t>小盘</w:t>
      </w:r>
      <w:r w:rsidR="00112E00" w:rsidRPr="00C41F72">
        <w:rPr>
          <w:rFonts w:asciiTheme="minorEastAsia" w:hAnsiTheme="minorEastAsia" w:cs="Times New Roman"/>
          <w:szCs w:val="21"/>
        </w:rPr>
        <w:t>股票</w:t>
      </w:r>
      <w:r w:rsidR="00112E00" w:rsidRPr="00C41F72">
        <w:rPr>
          <w:rFonts w:asciiTheme="minorEastAsia" w:hAnsiTheme="minorEastAsia" w:cs="Times New Roman" w:hint="eastAsia"/>
          <w:szCs w:val="21"/>
        </w:rPr>
        <w:t>的</w:t>
      </w:r>
      <w:r w:rsidR="00112E00" w:rsidRPr="00C41F72">
        <w:rPr>
          <w:rFonts w:asciiTheme="minorEastAsia" w:hAnsiTheme="minorEastAsia" w:cs="Times New Roman"/>
          <w:szCs w:val="21"/>
        </w:rPr>
        <w:t>比例不低于</w:t>
      </w:r>
      <w:r w:rsidR="00112E00" w:rsidRPr="00C41F72">
        <w:rPr>
          <w:rFonts w:asciiTheme="minorEastAsia" w:hAnsiTheme="minorEastAsia" w:cs="Times New Roman" w:hint="eastAsia"/>
          <w:szCs w:val="21"/>
        </w:rPr>
        <w:t>非现金基金资产的80</w:t>
      </w:r>
      <w:r w:rsidR="00112E00" w:rsidRPr="00C41F72">
        <w:rPr>
          <w:rFonts w:asciiTheme="minorEastAsia" w:hAnsiTheme="minorEastAsia" w:cs="Times New Roman"/>
          <w:szCs w:val="21"/>
        </w:rPr>
        <w:t>%</w:t>
      </w:r>
      <w:r w:rsidRPr="00C41F72">
        <w:rPr>
          <w:rFonts w:asciiTheme="minorEastAsia" w:hAnsiTheme="minorEastAsia" w:cs="Arial" w:hint="eastAsia"/>
          <w:szCs w:val="21"/>
        </w:rPr>
        <w:t>；</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2.本基金每个交易日日终在扣除股指期货合约需缴纳的交易保证金后，应</w:t>
      </w:r>
      <w:r w:rsidRPr="00C41F72">
        <w:rPr>
          <w:rFonts w:asciiTheme="minorEastAsia" w:hAnsiTheme="minorEastAsia" w:cs="Arial"/>
          <w:szCs w:val="21"/>
        </w:rPr>
        <w:t>保持不低于基金资产净值5</w:t>
      </w:r>
      <w:r w:rsidRPr="00C41F72">
        <w:rPr>
          <w:rFonts w:asciiTheme="minorEastAsia" w:hAnsiTheme="minorEastAsia" w:cs="Arial" w:hint="eastAsia"/>
          <w:szCs w:val="21"/>
        </w:rPr>
        <w:t>%</w:t>
      </w:r>
      <w:r w:rsidRPr="00C41F72">
        <w:rPr>
          <w:rFonts w:asciiTheme="minorEastAsia" w:hAnsiTheme="minorEastAsia" w:cs="Arial"/>
          <w:szCs w:val="21"/>
        </w:rPr>
        <w:t>的现金或者</w:t>
      </w:r>
      <w:r w:rsidRPr="00C41F72">
        <w:rPr>
          <w:rFonts w:asciiTheme="minorEastAsia" w:hAnsiTheme="minorEastAsia" w:cs="Arial" w:hint="eastAsia"/>
          <w:szCs w:val="21"/>
        </w:rPr>
        <w:t>到期日在一年以内的政府债券，本基金所指的现金范围不包括结算备付金、存出保证金、应收申购款等资金类别；</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3.本基金持有一家公司发行的证券，其市值不超过基金资产净值的10%；</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4.本基金管理人管理且由本基金托管人托管的全部基金持有一家公司发行的证券，不超过该证券的10%；</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w:t>
      </w:r>
      <w:r w:rsidR="00B05C84" w:rsidRPr="00C41F72">
        <w:rPr>
          <w:rFonts w:asciiTheme="minorEastAsia" w:hAnsiTheme="minorEastAsia" w:cs="Arial" w:hint="eastAsia"/>
          <w:szCs w:val="21"/>
        </w:rPr>
        <w:t>.本基金进入全国银行间同业市场进行债券回购的资金余额不得超过基金资产净值的40%</w:t>
      </w:r>
      <w:r w:rsidR="00B05C84" w:rsidRPr="00C41F72">
        <w:rPr>
          <w:rFonts w:asciiTheme="minorEastAsia" w:hAnsiTheme="minorEastAsia" w:cs="Arial"/>
          <w:szCs w:val="21"/>
        </w:rPr>
        <w:t>，在全国银行间同业市场中的债券回购最长期限为1年，债券回购到期后不展期</w:t>
      </w:r>
      <w:r w:rsidR="00B05C84" w:rsidRPr="00C41F72">
        <w:rPr>
          <w:rFonts w:asciiTheme="minorEastAsia" w:hAnsiTheme="minorEastAsia" w:cs="Arial" w:hint="eastAsia"/>
          <w:szCs w:val="21"/>
        </w:rPr>
        <w:t>；</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w:t>
      </w:r>
      <w:r w:rsidR="00B05C84" w:rsidRPr="00C41F72">
        <w:rPr>
          <w:rFonts w:asciiTheme="minorEastAsia" w:hAnsiTheme="minorEastAsia" w:cs="Arial" w:hint="eastAsia"/>
          <w:szCs w:val="21"/>
        </w:rPr>
        <w:t>.本基金</w:t>
      </w:r>
      <w:r w:rsidR="00B05C84" w:rsidRPr="00C41F72">
        <w:rPr>
          <w:rFonts w:asciiTheme="minorEastAsia" w:hAnsiTheme="minorEastAsia" w:cs="Arial"/>
          <w:szCs w:val="21"/>
        </w:rPr>
        <w:t>参与股指期货交易，需遵守下列投资比例限制：</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1）本基金在任何交易日日终，持有的买入期货合约价值与有价证券市值之和，不得超过</w:t>
      </w:r>
      <w:r w:rsidRPr="00C41F72">
        <w:rPr>
          <w:rFonts w:asciiTheme="minorEastAsia" w:hAnsiTheme="minorEastAsia" w:cs="Arial"/>
          <w:szCs w:val="21"/>
        </w:rPr>
        <w:lastRenderedPageBreak/>
        <w:t>基金资产净值的95%，其中，有价证券指</w:t>
      </w:r>
      <w:r w:rsidRPr="00C41F72">
        <w:rPr>
          <w:rFonts w:asciiTheme="minorEastAsia" w:hAnsiTheme="minorEastAsia" w:cs="Arial" w:hint="eastAsia"/>
          <w:szCs w:val="21"/>
        </w:rPr>
        <w:t>股票</w:t>
      </w:r>
      <w:r w:rsidRPr="00C41F72">
        <w:rPr>
          <w:rFonts w:asciiTheme="minorEastAsia" w:hAnsiTheme="minorEastAsia" w:cs="Arial"/>
          <w:szCs w:val="21"/>
        </w:rPr>
        <w:t>、债券（不含到期日在一年以内的政府债券）、资产支持证券、买入返售金融资产（不含质押式回购）</w:t>
      </w:r>
      <w:r w:rsidRPr="00C41F72">
        <w:rPr>
          <w:rFonts w:asciiTheme="minorEastAsia" w:hAnsiTheme="minorEastAsia" w:cs="Arial" w:hint="eastAsia"/>
          <w:szCs w:val="21"/>
        </w:rPr>
        <w:t>等</w:t>
      </w:r>
      <w:r w:rsidRPr="00C41F72">
        <w:rPr>
          <w:rFonts w:asciiTheme="minorEastAsia" w:hAnsiTheme="minorEastAsia" w:cs="Arial"/>
          <w:szCs w:val="21"/>
        </w:rPr>
        <w:t>；</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2）本基金在任何交易日日终，持有的买入股指期货合约价值，不得超过基金资产净值的10%；</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3）本基金在任何交易日日终，持有的卖出股指期货合约价值不得超过基金持有的股票总市值的20%；</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4）本基金在任何交易日内交易（不包括平仓）的股指期货合约的成交金额不得超过上一交易日基金资产净值的20%；</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5）本基金所持有的股票市值和买入、卖出股指期货合约价值，合计（轧差计算）</w:t>
      </w:r>
      <w:r w:rsidRPr="00C41F72">
        <w:rPr>
          <w:rFonts w:asciiTheme="minorEastAsia" w:hAnsiTheme="minorEastAsia" w:cs="Arial" w:hint="eastAsia"/>
          <w:szCs w:val="21"/>
        </w:rPr>
        <w:t>占基金资产的比例范围为</w:t>
      </w:r>
      <w:r w:rsidRPr="00C41F72">
        <w:rPr>
          <w:rFonts w:asciiTheme="minorEastAsia" w:hAnsiTheme="minorEastAsia" w:cs="Arial"/>
          <w:szCs w:val="21"/>
        </w:rPr>
        <w:t>80%-95%</w:t>
      </w:r>
      <w:r w:rsidRPr="00C41F72">
        <w:rPr>
          <w:rFonts w:asciiTheme="minorEastAsia" w:hAnsiTheme="minorEastAsia" w:cs="Arial" w:hint="eastAsia"/>
          <w:szCs w:val="21"/>
        </w:rPr>
        <w:t>；</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8</w:t>
      </w:r>
      <w:r w:rsidR="00B05C84" w:rsidRPr="00C41F72">
        <w:rPr>
          <w:rFonts w:asciiTheme="minorEastAsia" w:hAnsiTheme="minorEastAsia" w:cs="Arial" w:hint="eastAsia"/>
          <w:szCs w:val="21"/>
        </w:rPr>
        <w:t>.</w:t>
      </w:r>
      <w:r w:rsidR="00B05C84" w:rsidRPr="00C41F72">
        <w:rPr>
          <w:rFonts w:asciiTheme="minorEastAsia" w:hAnsiTheme="minorEastAsia" w:cs="Arial"/>
          <w:szCs w:val="21"/>
        </w:rPr>
        <w:t>基金财产参与股票发行申购，本基金所申报的金额不超过本基金的总资产，本基金所申报的股票数量不超过拟发行股票公司本次发行股票的总量；</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9</w:t>
      </w:r>
      <w:r w:rsidR="00B05C84" w:rsidRPr="00C41F72">
        <w:rPr>
          <w:rFonts w:asciiTheme="minorEastAsia" w:hAnsiTheme="minorEastAsia" w:cs="Arial" w:hint="eastAsia"/>
          <w:szCs w:val="21"/>
        </w:rPr>
        <w:t>.本基金投资于同一原始权益人的各类资产支持证券的比例，不得超过基金资产净值的10%；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Pr="00C41F72">
        <w:rPr>
          <w:rFonts w:asciiTheme="minorEastAsia" w:hAnsiTheme="minorEastAsia" w:cs="Arial" w:hint="eastAsia"/>
          <w:szCs w:val="21"/>
        </w:rPr>
        <w:t>0</w:t>
      </w:r>
      <w:r w:rsidR="00B05C84" w:rsidRPr="00C41F72">
        <w:rPr>
          <w:rFonts w:asciiTheme="minorEastAsia" w:hAnsiTheme="minorEastAsia" w:cs="Arial" w:hint="eastAsia"/>
          <w:szCs w:val="21"/>
        </w:rPr>
        <w:t>.本基金持有的全部资产支持证券，其市值不得超过基金资产净值的20%；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Pr="00C41F72">
        <w:rPr>
          <w:rFonts w:asciiTheme="minorEastAsia" w:hAnsiTheme="minorEastAsia" w:cs="Arial" w:hint="eastAsia"/>
          <w:szCs w:val="21"/>
        </w:rPr>
        <w:t>1</w:t>
      </w:r>
      <w:r w:rsidR="00B05C84" w:rsidRPr="00C41F72">
        <w:rPr>
          <w:rFonts w:asciiTheme="minorEastAsia" w:hAnsiTheme="minorEastAsia" w:cs="Arial" w:hint="eastAsia"/>
          <w:szCs w:val="21"/>
        </w:rPr>
        <w:t>.本基金持有的同一</w:t>
      </w:r>
      <w:r w:rsidR="00B05C84" w:rsidRPr="00C41F72">
        <w:rPr>
          <w:rFonts w:asciiTheme="minorEastAsia" w:hAnsiTheme="minorEastAsia" w:cs="Arial"/>
          <w:szCs w:val="21"/>
        </w:rPr>
        <w:t>（</w:t>
      </w:r>
      <w:r w:rsidR="00B05C84" w:rsidRPr="00C41F72">
        <w:rPr>
          <w:rFonts w:asciiTheme="minorEastAsia" w:hAnsiTheme="minorEastAsia" w:cs="Arial" w:hint="eastAsia"/>
          <w:szCs w:val="21"/>
        </w:rPr>
        <w:t>指同一信用级别</w:t>
      </w:r>
      <w:r w:rsidR="00B05C84" w:rsidRPr="00C41F72">
        <w:rPr>
          <w:rFonts w:asciiTheme="minorEastAsia" w:hAnsiTheme="minorEastAsia" w:cs="Arial"/>
          <w:szCs w:val="21"/>
        </w:rPr>
        <w:t>）</w:t>
      </w:r>
      <w:r w:rsidR="00B05C84" w:rsidRPr="00C41F72">
        <w:rPr>
          <w:rFonts w:asciiTheme="minorEastAsia" w:hAnsiTheme="minorEastAsia" w:cs="Arial" w:hint="eastAsia"/>
          <w:szCs w:val="21"/>
        </w:rPr>
        <w:t>资产支持证券的比例，不得超过该资产支持证券规模的10%；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Pr="00C41F72">
        <w:rPr>
          <w:rFonts w:asciiTheme="minorEastAsia" w:hAnsiTheme="minorEastAsia" w:cs="Arial" w:hint="eastAsia"/>
          <w:szCs w:val="21"/>
        </w:rPr>
        <w:t>2</w:t>
      </w:r>
      <w:r w:rsidR="00B05C84" w:rsidRPr="00C41F72">
        <w:rPr>
          <w:rFonts w:asciiTheme="minorEastAsia" w:hAnsiTheme="minorEastAsia" w:cs="Arial" w:hint="eastAsia"/>
          <w:szCs w:val="21"/>
        </w:rPr>
        <w:t>.本基金管理人管理且由本基金托管人托管的全部基金投资于同一原始权益人的各类资产支持证券，不得超过其各类资产支持证券合计规模的10%；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Pr="00C41F72">
        <w:rPr>
          <w:rFonts w:asciiTheme="minorEastAsia" w:hAnsiTheme="minorEastAsia" w:cs="Arial" w:hint="eastAsia"/>
          <w:szCs w:val="21"/>
        </w:rPr>
        <w:t>3</w:t>
      </w:r>
      <w:r w:rsidR="00B05C84" w:rsidRPr="00C41F72">
        <w:rPr>
          <w:rFonts w:asciiTheme="minorEastAsia" w:hAnsiTheme="minorEastAsia" w:cs="Arial" w:hint="eastAsia"/>
          <w:szCs w:val="21"/>
        </w:rPr>
        <w:t>.本基金应投资于信用级别评级为BBB以上</w:t>
      </w:r>
      <w:r w:rsidR="00B05C84" w:rsidRPr="00C41F72">
        <w:rPr>
          <w:rFonts w:asciiTheme="minorEastAsia" w:hAnsiTheme="minorEastAsia" w:cs="Arial"/>
          <w:szCs w:val="21"/>
        </w:rPr>
        <w:t>（</w:t>
      </w:r>
      <w:r w:rsidR="00B05C84" w:rsidRPr="00C41F72">
        <w:rPr>
          <w:rFonts w:asciiTheme="minorEastAsia" w:hAnsiTheme="minorEastAsia" w:cs="Arial" w:hint="eastAsia"/>
          <w:szCs w:val="21"/>
        </w:rPr>
        <w:t>含BBB</w:t>
      </w:r>
      <w:r w:rsidR="00B05C84" w:rsidRPr="00C41F72">
        <w:rPr>
          <w:rFonts w:asciiTheme="minorEastAsia" w:hAnsiTheme="minorEastAsia" w:cs="Arial"/>
          <w:szCs w:val="21"/>
        </w:rPr>
        <w:t>）</w:t>
      </w:r>
      <w:r w:rsidR="00B05C84" w:rsidRPr="00C41F72">
        <w:rPr>
          <w:rFonts w:asciiTheme="minorEastAsia" w:hAnsiTheme="minorEastAsia" w:cs="Arial" w:hint="eastAsia"/>
          <w:szCs w:val="21"/>
        </w:rPr>
        <w:t>的资产支持证券。</w:t>
      </w:r>
      <w:r w:rsidR="00B05C84" w:rsidRPr="00C41F72">
        <w:rPr>
          <w:rFonts w:asciiTheme="minorEastAsia" w:hAnsiTheme="minorEastAsia" w:cs="Arial"/>
          <w:szCs w:val="21"/>
        </w:rPr>
        <w:t>本</w:t>
      </w:r>
      <w:r w:rsidR="00B05C84" w:rsidRPr="00C41F72">
        <w:rPr>
          <w:rFonts w:asciiTheme="minorEastAsia" w:hAnsiTheme="minorEastAsia" w:cs="Arial" w:hint="eastAsia"/>
          <w:szCs w:val="21"/>
        </w:rPr>
        <w:t>基金持有资产支持证券期间，如果其信用等级下降、不再符合投资标准，应在评级报告发布之日起</w:t>
      </w:r>
      <w:r w:rsidR="00B05C84" w:rsidRPr="00C41F72">
        <w:rPr>
          <w:rFonts w:asciiTheme="minorEastAsia" w:hAnsiTheme="minorEastAsia" w:cs="Arial"/>
          <w:szCs w:val="21"/>
        </w:rPr>
        <w:t>三个月内</w:t>
      </w:r>
      <w:r w:rsidR="00B05C84" w:rsidRPr="00C41F72">
        <w:rPr>
          <w:rFonts w:asciiTheme="minorEastAsia" w:hAnsiTheme="minorEastAsia" w:cs="Arial" w:hint="eastAsia"/>
          <w:szCs w:val="21"/>
        </w:rPr>
        <w:t>全部卖出；</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00C279E9" w:rsidRPr="00C41F72">
        <w:rPr>
          <w:rFonts w:asciiTheme="minorEastAsia" w:hAnsiTheme="minorEastAsia" w:cs="Arial" w:hint="eastAsia"/>
          <w:szCs w:val="21"/>
        </w:rPr>
        <w:t>4</w:t>
      </w:r>
      <w:r w:rsidRPr="00C41F72">
        <w:rPr>
          <w:rFonts w:asciiTheme="minorEastAsia" w:hAnsiTheme="minorEastAsia" w:cs="Arial" w:hint="eastAsia"/>
          <w:szCs w:val="21"/>
        </w:rPr>
        <w:t>.</w:t>
      </w:r>
      <w:r w:rsidRPr="00C41F72">
        <w:rPr>
          <w:rFonts w:asciiTheme="minorEastAsia" w:hAnsiTheme="minorEastAsia" w:cs="Arial"/>
          <w:szCs w:val="21"/>
        </w:rPr>
        <w:t>本基金资产总值不得超过基金资产净值的140%；</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szCs w:val="21"/>
        </w:rPr>
        <w:t>1</w:t>
      </w:r>
      <w:r w:rsidRPr="00C41F72">
        <w:rPr>
          <w:rFonts w:asciiTheme="minorEastAsia" w:hAnsiTheme="minorEastAsia" w:cs="Arial" w:hint="eastAsia"/>
          <w:szCs w:val="21"/>
        </w:rPr>
        <w:t>5</w:t>
      </w:r>
      <w:r w:rsidR="00B05C84" w:rsidRPr="00C41F72">
        <w:rPr>
          <w:rFonts w:asciiTheme="minorEastAsia" w:hAnsiTheme="minorEastAsia" w:cs="Arial" w:hint="eastAsia"/>
          <w:szCs w:val="21"/>
        </w:rPr>
        <w:t>.</w:t>
      </w:r>
      <w:r w:rsidR="00B05C84" w:rsidRPr="00C41F72">
        <w:rPr>
          <w:rFonts w:asciiTheme="minorEastAsia" w:hAnsiTheme="minorEastAsia" w:cs="Arial"/>
          <w:szCs w:val="21"/>
        </w:rPr>
        <w:t>本基金</w:t>
      </w:r>
      <w:r w:rsidR="00B05C84" w:rsidRPr="00C41F72">
        <w:rPr>
          <w:rFonts w:asciiTheme="minorEastAsia" w:hAnsiTheme="minorEastAsia" w:cs="Arial" w:hint="eastAsia"/>
          <w:szCs w:val="21"/>
        </w:rPr>
        <w:t>主动投资于流动性受限资产的市值合计不得超过基金资产净值的15%</w:t>
      </w:r>
      <w:r w:rsidR="00B05C84" w:rsidRPr="00C41F72">
        <w:rPr>
          <w:rFonts w:asciiTheme="minorEastAsia" w:hAnsiTheme="minorEastAsia" w:cs="Arial"/>
          <w:szCs w:val="21"/>
        </w:rPr>
        <w:t>，</w:t>
      </w:r>
      <w:r w:rsidR="00B05C84" w:rsidRPr="00C41F72">
        <w:rPr>
          <w:rFonts w:asciiTheme="minorEastAsia" w:hAnsiTheme="minorEastAsia" w:cs="Arial" w:hint="eastAsia"/>
          <w:szCs w:val="21"/>
        </w:rPr>
        <w:t>因证券市场波动、上市公司股票停牌、基金规模变动等基金管理人之外的因素致使基金不符合</w:t>
      </w:r>
      <w:r w:rsidR="00B05C84" w:rsidRPr="00C41F72">
        <w:rPr>
          <w:rFonts w:asciiTheme="minorEastAsia" w:hAnsiTheme="minorEastAsia" w:cs="Arial"/>
          <w:szCs w:val="21"/>
        </w:rPr>
        <w:t>前</w:t>
      </w:r>
      <w:r w:rsidR="00B05C84" w:rsidRPr="00C41F72">
        <w:rPr>
          <w:rFonts w:asciiTheme="minorEastAsia" w:hAnsiTheme="minorEastAsia" w:cs="Arial" w:hint="eastAsia"/>
          <w:szCs w:val="21"/>
        </w:rPr>
        <w:t>述所规定比例限制的，基金管理人不得主动新增流动性受限资产的投资；</w:t>
      </w:r>
    </w:p>
    <w:p w:rsidR="00541D0E"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16</w:t>
      </w:r>
      <w:r w:rsidR="00541D0E" w:rsidRPr="00C41F72">
        <w:rPr>
          <w:rFonts w:asciiTheme="minorEastAsia" w:hAnsiTheme="minorEastAsia" w:cs="Arial" w:hint="eastAsia"/>
          <w:szCs w:val="21"/>
        </w:rPr>
        <w:t>.本基金与私募类证券资管产品及中国证监会认定的其他主体为交易对手开展逆回购交易的，可接受质押品的资质要求应当与基金合同约定的投资范围保持一致；</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17</w:t>
      </w:r>
      <w:r w:rsidR="00B05C84" w:rsidRPr="00C41F72">
        <w:rPr>
          <w:rFonts w:asciiTheme="minorEastAsia" w:hAnsiTheme="minorEastAsia" w:cs="Arial" w:hint="eastAsia"/>
          <w:szCs w:val="21"/>
        </w:rPr>
        <w:t>.</w:t>
      </w:r>
      <w:r w:rsidR="00B05C84" w:rsidRPr="00C41F72">
        <w:rPr>
          <w:rFonts w:asciiTheme="minorEastAsia" w:hAnsiTheme="minorEastAsia" w:cs="Arial"/>
          <w:szCs w:val="21"/>
        </w:rPr>
        <w:t>本基金持有的所有流通受限证券，其公允价值不得超过本基金资产净值的10%；本基金持有的同一流通受限证券，其公允价值不得超过本基金资产净值的5%</w:t>
      </w:r>
      <w:r w:rsidR="00B05C84" w:rsidRPr="00C41F72">
        <w:rPr>
          <w:rFonts w:asciiTheme="minorEastAsia" w:hAnsiTheme="minorEastAsia" w:cs="Arial" w:hint="eastAsia"/>
          <w:szCs w:val="21"/>
        </w:rPr>
        <w:t>；</w:t>
      </w:r>
    </w:p>
    <w:p w:rsidR="00B05C84" w:rsidRPr="00C41F72" w:rsidRDefault="00C279E9"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18</w:t>
      </w:r>
      <w:r w:rsidR="00B05C84" w:rsidRPr="00C41F72">
        <w:rPr>
          <w:rFonts w:asciiTheme="minorEastAsia" w:hAnsiTheme="minorEastAsia" w:cs="Arial" w:hint="eastAsia"/>
          <w:szCs w:val="21"/>
        </w:rPr>
        <w:t>.法律法规</w:t>
      </w:r>
      <w:r w:rsidR="00B05C84" w:rsidRPr="00C41F72">
        <w:rPr>
          <w:rFonts w:asciiTheme="minorEastAsia" w:hAnsiTheme="minorEastAsia" w:cs="Arial"/>
          <w:szCs w:val="21"/>
        </w:rPr>
        <w:t>及中国证监会规定的和</w:t>
      </w:r>
      <w:r w:rsidR="00B05C84" w:rsidRPr="00C41F72">
        <w:rPr>
          <w:rFonts w:asciiTheme="minorEastAsia" w:hAnsiTheme="minorEastAsia" w:cs="Arial" w:hint="eastAsia"/>
          <w:szCs w:val="21"/>
        </w:rPr>
        <w:t>基金合同</w:t>
      </w:r>
      <w:r w:rsidR="00B05C84" w:rsidRPr="00C41F72">
        <w:rPr>
          <w:rFonts w:asciiTheme="minorEastAsia" w:hAnsiTheme="minorEastAsia" w:cs="Arial"/>
          <w:szCs w:val="21"/>
        </w:rPr>
        <w:t>约定</w:t>
      </w:r>
      <w:r w:rsidR="00B05C84" w:rsidRPr="00C41F72">
        <w:rPr>
          <w:rFonts w:asciiTheme="minorEastAsia" w:hAnsiTheme="minorEastAsia" w:cs="Arial" w:hint="eastAsia"/>
          <w:szCs w:val="21"/>
        </w:rPr>
        <w:t>的</w:t>
      </w:r>
      <w:r w:rsidR="00B05C84" w:rsidRPr="00C41F72">
        <w:rPr>
          <w:rFonts w:asciiTheme="minorEastAsia" w:hAnsiTheme="minorEastAsia" w:cs="Arial"/>
          <w:szCs w:val="21"/>
        </w:rPr>
        <w:t>其它投资</w:t>
      </w:r>
      <w:r w:rsidR="00B05C84" w:rsidRPr="00C41F72">
        <w:rPr>
          <w:rFonts w:asciiTheme="minorEastAsia" w:hAnsiTheme="minorEastAsia" w:cs="Arial" w:hint="eastAsia"/>
          <w:szCs w:val="21"/>
        </w:rPr>
        <w:t>限制。</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因证券</w:t>
      </w:r>
      <w:r w:rsidRPr="00C41F72">
        <w:rPr>
          <w:rFonts w:asciiTheme="minorEastAsia" w:hAnsiTheme="minorEastAsia" w:cs="Arial"/>
          <w:szCs w:val="21"/>
        </w:rPr>
        <w:t>/期货市场波动、上市公司合并、基金规模变动等基金管理人之外的因素致使基金投资比例不符合上述规定投资比例的，除上述第2、</w:t>
      </w:r>
      <w:r w:rsidR="00C279E9" w:rsidRPr="00C41F72">
        <w:rPr>
          <w:rFonts w:asciiTheme="minorEastAsia" w:hAnsiTheme="minorEastAsia" w:cs="Arial"/>
          <w:szCs w:val="21"/>
        </w:rPr>
        <w:t>1</w:t>
      </w:r>
      <w:r w:rsidR="00C279E9" w:rsidRPr="00C41F72">
        <w:rPr>
          <w:rFonts w:asciiTheme="minorEastAsia" w:hAnsiTheme="minorEastAsia" w:cs="Arial" w:hint="eastAsia"/>
          <w:szCs w:val="21"/>
        </w:rPr>
        <w:t>3</w:t>
      </w:r>
      <w:r w:rsidRPr="00C41F72">
        <w:rPr>
          <w:rFonts w:asciiTheme="minorEastAsia" w:hAnsiTheme="minorEastAsia" w:cs="Arial" w:hint="eastAsia"/>
          <w:szCs w:val="21"/>
        </w:rPr>
        <w:t>、</w:t>
      </w:r>
      <w:r w:rsidR="00C279E9" w:rsidRPr="00C41F72">
        <w:rPr>
          <w:rFonts w:asciiTheme="minorEastAsia" w:hAnsiTheme="minorEastAsia" w:cs="Arial" w:hint="eastAsia"/>
          <w:szCs w:val="21"/>
        </w:rPr>
        <w:t>15</w:t>
      </w:r>
      <w:r w:rsidRPr="00C41F72">
        <w:rPr>
          <w:rFonts w:asciiTheme="minorEastAsia" w:hAnsiTheme="minorEastAsia" w:cs="Arial" w:hint="eastAsia"/>
          <w:szCs w:val="21"/>
        </w:rPr>
        <w:t>、</w:t>
      </w:r>
      <w:r w:rsidR="00C279E9" w:rsidRPr="00C41F72">
        <w:rPr>
          <w:rFonts w:asciiTheme="minorEastAsia" w:hAnsiTheme="minorEastAsia" w:cs="Arial" w:hint="eastAsia"/>
          <w:szCs w:val="21"/>
        </w:rPr>
        <w:t>16</w:t>
      </w:r>
      <w:r w:rsidRPr="00C41F72">
        <w:rPr>
          <w:rFonts w:asciiTheme="minorEastAsia" w:hAnsiTheme="minorEastAsia" w:cs="Arial"/>
          <w:szCs w:val="21"/>
        </w:rPr>
        <w:t>条外，基金管理人应当在10个交易日内进行调整，但中国证监会规定的特殊情形除外。法律法规另有规定的，从其规定。</w:t>
      </w:r>
    </w:p>
    <w:p w:rsidR="00B05C84" w:rsidRPr="00C41F72" w:rsidRDefault="00B05C84" w:rsidP="006C221C">
      <w:pPr>
        <w:adjustRightInd w:val="0"/>
        <w:spacing w:line="360" w:lineRule="auto"/>
        <w:ind w:firstLineChars="200" w:firstLine="420"/>
        <w:rPr>
          <w:rFonts w:asciiTheme="minorEastAsia" w:hAnsiTheme="minorEastAsia"/>
          <w:i/>
          <w:szCs w:val="21"/>
        </w:rPr>
      </w:pPr>
      <w:r w:rsidRPr="00C41F72">
        <w:rPr>
          <w:rFonts w:asciiTheme="minorEastAsia" w:hAnsiTheme="minorEastAsia" w:hint="eastAsia"/>
          <w:szCs w:val="21"/>
        </w:rPr>
        <w:t>本基金在开始进行期货投资之前，应与基金托管人、期货公司三方一同就期货开户、清算、估值、交收等事宜另行签署《期货投资托管操作三方备忘录》</w:t>
      </w:r>
      <w:r w:rsidRPr="00C41F72">
        <w:rPr>
          <w:rFonts w:asciiTheme="minorEastAsia" w:hAnsiTheme="minorEastAsia" w:hint="eastAsia"/>
          <w:i/>
          <w:szCs w:val="21"/>
        </w:rPr>
        <w:t>。</w:t>
      </w:r>
    </w:p>
    <w:p w:rsidR="00B05C84" w:rsidRPr="00C41F72" w:rsidRDefault="00B05C84" w:rsidP="006C221C">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如法律法规或监管部门对上述投资组合比例限制进行变更的，以变更后的规定为准。法律法规或监管部门取消上述限制，如适用于本基金，则本基金投资不再受相关限制。</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（三）基金托管人</w:t>
      </w:r>
      <w:bookmarkStart w:id="4" w:name="OLE_LINK1"/>
      <w:r w:rsidRPr="00C41F72">
        <w:rPr>
          <w:rFonts w:asciiTheme="minorEastAsia" w:hAnsiTheme="minorEastAsia" w:cs="Arial" w:hint="eastAsia"/>
          <w:szCs w:val="21"/>
        </w:rPr>
        <w:t>根据有关法律法规的规定及《基金合同》的约定，</w:t>
      </w:r>
      <w:bookmarkEnd w:id="4"/>
      <w:r w:rsidRPr="00C41F72">
        <w:rPr>
          <w:rFonts w:asciiTheme="minorEastAsia" w:hAnsiTheme="minorEastAsia" w:cs="Arial" w:hint="eastAsia"/>
          <w:szCs w:val="21"/>
        </w:rPr>
        <w:t>对本托管协议第十五条第九款基金投资禁止行为通过事后监督方式进行监督。</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color w:val="000000"/>
          <w:szCs w:val="21"/>
        </w:rPr>
        <w:t>基金管理人负责对交易对手的资信控制，按银行间债券市场的交易规则进行交易，并</w:t>
      </w:r>
      <w:r w:rsidRPr="00C41F72">
        <w:rPr>
          <w:rFonts w:ascii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w:t>
      </w:r>
      <w:r w:rsidRPr="00C41F72">
        <w:rPr>
          <w:rFonts w:asciiTheme="minorEastAsia" w:hAnsiTheme="minorEastAsia" w:hint="eastAsia"/>
          <w:szCs w:val="21"/>
        </w:rPr>
        <w:lastRenderedPageBreak/>
        <w:t>手追偿。</w:t>
      </w:r>
      <w:r w:rsidRPr="00C41F72">
        <w:rPr>
          <w:rFonts w:ascii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（五）基金托管人根据有关法律法规的规定及《基金合同》的约定，对基金管理人投资流通受限证券进行监督。</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hint="eastAsia"/>
          <w:szCs w:val="21"/>
        </w:rPr>
        <w:t>基金管理人投资流通受限证券，应事先根据中国证监会相关规定，明确基金投资流通受限证券的比例，</w:t>
      </w:r>
      <w:r w:rsidRPr="00C41F72">
        <w:rPr>
          <w:rFonts w:ascii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1.本基金</w:t>
      </w:r>
      <w:r w:rsidRPr="00C41F72">
        <w:rPr>
          <w:rFonts w:asciiTheme="minorEastAsia" w:hAnsiTheme="minorEastAsia" w:hint="eastAsia"/>
          <w:szCs w:val="21"/>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本基金</w:t>
      </w:r>
      <w:r w:rsidRPr="00C41F72">
        <w:rPr>
          <w:rFonts w:ascii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本基金</w:t>
      </w:r>
      <w:r w:rsidRPr="00C41F72">
        <w:rPr>
          <w:rFonts w:asciiTheme="minorEastAsia" w:hAnsiTheme="minorEastAsia" w:hint="eastAsia"/>
          <w:szCs w:val="21"/>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本基金</w:t>
      </w:r>
      <w:r w:rsidRPr="00C41F72">
        <w:rPr>
          <w:rFonts w:asciiTheme="minorEastAsia" w:hAnsiTheme="minorEastAsia" w:hint="eastAsia"/>
          <w:szCs w:val="21"/>
        </w:rPr>
        <w:t>投资流通受限证券，不得预付任何形式的保证金。</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2.</w:t>
      </w:r>
      <w:r w:rsidRPr="00C41F72">
        <w:rPr>
          <w:rFonts w:ascii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C41F72">
        <w:rPr>
          <w:rFonts w:asciiTheme="minorEastAsia" w:hAnsiTheme="minorEastAsia" w:cs="Arial" w:hint="eastAsia"/>
          <w:szCs w:val="21"/>
        </w:rPr>
        <w:t>基金管理人应在首次投资流通受限证券前向基金托管人提供</w:t>
      </w:r>
      <w:r w:rsidRPr="00C41F72">
        <w:rPr>
          <w:rFonts w:asciiTheme="minorEastAsia" w:hAnsiTheme="minorEastAsia" w:hint="eastAsia"/>
          <w:szCs w:val="21"/>
        </w:rPr>
        <w:t>基金投资非公开发行股票相关流动性风险处置预案。</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lastRenderedPageBreak/>
        <w:t>3.</w:t>
      </w:r>
      <w:r w:rsidRPr="00C41F72">
        <w:rPr>
          <w:rFonts w:ascii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（1）中国证监会批准发行非公开发行股票的批准文件。</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（2）非公开发行股票有关发行数量、发行价格、锁定期等发行资料。</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（3）非公开发行股票发行人与中国证券登记结算有限责任公司或中央国债登记结算有限责任公司签订的证券登记及服务协议。</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hint="eastAsia"/>
          <w:szCs w:val="21"/>
        </w:rPr>
        <w:t>（4）基金拟认购的数量、价格、总成本、账面价值。</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4.</w:t>
      </w:r>
      <w:r w:rsidRPr="00C41F72">
        <w:rPr>
          <w:rFonts w:asciiTheme="minorEastAsia" w:hAnsiTheme="minorEastAsia" w:hint="eastAsia"/>
          <w:szCs w:val="21"/>
        </w:rPr>
        <w:t>基金管理人应在本基金投资非公开发行股票后两个交易日内，在中国证监会</w:t>
      </w:r>
      <w:r w:rsidR="005A4CB9" w:rsidRPr="00C41F72">
        <w:rPr>
          <w:rFonts w:asciiTheme="minorEastAsia" w:hAnsiTheme="minorEastAsia" w:hint="eastAsia"/>
          <w:szCs w:val="21"/>
        </w:rPr>
        <w:t>指定媒介</w:t>
      </w:r>
      <w:r w:rsidRPr="00C41F72">
        <w:rPr>
          <w:rFonts w:asciiTheme="minorEastAsia" w:hAnsiTheme="minorEastAsia" w:hint="eastAsia"/>
          <w:szCs w:val="21"/>
        </w:rPr>
        <w:t>披露所投资非公开发行股票的名称、数量、总成本、账面价值，以及总成本和账面价值占基金资产净值的比例、锁定期等信息。</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本基金有关投资流通受限证券比例如违反有关限制规定，在合理期限内未能进行及时调整，基金管理人应在两个工作日内编制临时报告书，予以公告。</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5.</w:t>
      </w:r>
      <w:r w:rsidRPr="00C41F72">
        <w:rPr>
          <w:rFonts w:asciiTheme="minorEastAsia" w:hAnsiTheme="minorEastAsia" w:hint="eastAsia"/>
          <w:szCs w:val="21"/>
        </w:rPr>
        <w:t>基金托管人根据有关规定有权对基金管理人进行以下事项监督：</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（1）本基金投资流通受限证券时的法律法规遵守情况。</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（2）在基金投资流通受限证券管理工作方面有关制度、流动性风险处置预案的建立与完善情况。</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（3）有关比例限制的执行情况。</w:t>
      </w:r>
    </w:p>
    <w:p w:rsidR="00B05C84" w:rsidRPr="00C41F72" w:rsidRDefault="00B05C84" w:rsidP="006C221C">
      <w:pPr>
        <w:spacing w:line="360" w:lineRule="auto"/>
        <w:ind w:firstLineChars="200" w:firstLine="420"/>
        <w:rPr>
          <w:rFonts w:asciiTheme="minorEastAsia" w:hAnsiTheme="minorEastAsia"/>
          <w:szCs w:val="21"/>
        </w:rPr>
      </w:pPr>
      <w:r w:rsidRPr="00C41F72">
        <w:rPr>
          <w:rFonts w:asciiTheme="minorEastAsia" w:hAnsiTheme="minorEastAsia" w:hint="eastAsia"/>
          <w:szCs w:val="21"/>
        </w:rPr>
        <w:t>（4）信息披露情况。</w:t>
      </w:r>
    </w:p>
    <w:p w:rsidR="00B05C84" w:rsidRPr="00C41F72" w:rsidRDefault="00B05C84" w:rsidP="006C221C">
      <w:pPr>
        <w:adjustRightIn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6.</w:t>
      </w:r>
      <w:r w:rsidRPr="00C41F72">
        <w:rPr>
          <w:rFonts w:asciiTheme="minorEastAsia" w:hAnsiTheme="minorEastAsia" w:hint="eastAsia"/>
          <w:szCs w:val="21"/>
        </w:rPr>
        <w:t>相关法律法规对基金投资流通受限证券有新规定的，从其规定。</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六</w:t>
      </w:r>
      <w:r w:rsidRPr="00C41F72">
        <w:rPr>
          <w:rFonts w:asciiTheme="minorEastAsia" w:hAnsiTheme="minorEastAsia" w:cs="Arial"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七</w:t>
      </w:r>
      <w:r w:rsidRPr="00C41F72">
        <w:rPr>
          <w:rFonts w:ascii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w:t>
      </w:r>
      <w:r w:rsidR="00E91A56" w:rsidRPr="00C41F72">
        <w:rPr>
          <w:rFonts w:asciiTheme="minorEastAsia" w:hAnsiTheme="minorEastAsia" w:cs="Arial" w:hint="eastAsia"/>
          <w:szCs w:val="21"/>
        </w:rPr>
        <w:t>八</w:t>
      </w:r>
      <w:r w:rsidRPr="00C41F72">
        <w:rPr>
          <w:rFonts w:ascii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九</w:t>
      </w:r>
      <w:r w:rsidRPr="00C41F72">
        <w:rPr>
          <w:rFonts w:asciiTheme="minorEastAsia" w:hAnsiTheme="minorEastAsia"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B05C84" w:rsidRPr="00C41F72" w:rsidRDefault="00B05C84" w:rsidP="006C221C">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C41F72">
        <w:rPr>
          <w:rFonts w:asciiTheme="minorEastAsia" w:eastAsiaTheme="minorEastAsia" w:hAnsiTheme="minorEastAsia"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C41F72">
        <w:rPr>
          <w:rFonts w:asciiTheme="minorEastAsia" w:eastAsiaTheme="minorEastAsia" w:hAnsiTheme="minorEastAsia" w:hint="eastAsia"/>
          <w:sz w:val="21"/>
          <w:szCs w:val="21"/>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（一）基金财产保管的原则</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1.基金财产应独立于基金管理人、基金托管人的固有财产。</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2.基金托管人应安全保管基金财产。</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3.基金托管人按照规定开设基金财产的资金账户和证券账户。</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4.基金托管人对所托管的不同基金财产分别设置账户，确保基金财产的完整与独立。</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7.除依据法律法规和《基金合同》的规定外，基金托管人不得委托第三人托管基金财产。</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（二）基金募集期间及募集资金的验资</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1.基金募集期间募集的资金应存于基金管理人在基金托管人的营业机构开立的“基金募集专户”。该账户由基金管理人开立并管理。</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3.若基金募集期限届满，未能达到《基金合同》生效的条件，由基金管理人按规定办理退款等事宜。</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（三）基金银行账户的开立和管理</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1.基金托管人可以基金的名义在其营业机构开立基金的银行账户，并根据基金管理人合法合规的指令办理资金收付。本基金的银行预留印鉴由基金托管人保管和使用。</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3.基金银行账户的开立和管理应符合银行业监督管理机构的有关规定。</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4.在符合法律法规规定的条件下，基金托管人可以通过基金托管人专用账户办理基金资</w:t>
      </w:r>
      <w:r w:rsidRPr="00C41F72">
        <w:rPr>
          <w:rFonts w:asciiTheme="minorEastAsia" w:hAnsiTheme="minorEastAsia" w:cs="Arial" w:hint="eastAsia"/>
          <w:szCs w:val="21"/>
        </w:rPr>
        <w:lastRenderedPageBreak/>
        <w:t>产的支付。</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（四）基金证券账户和结算备付金账户的开立和管理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1.基金托管人在中国证券登记结算有限责任公司为基金开立基金托管人与基金联名的证券账户。</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3.基金证券账户的开立和证券账户卡的保管由基金托管人负责，账户资产的管理和运用由基金管理人负责。</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（五）债券托管专户的开设和管理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（六）其他账户的开立和管理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2.法律法规等有关规定对相关账户的开立和管理另有规定的，从其规定办理。</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lastRenderedPageBreak/>
        <w:t>（七）基金财产投资的有关有价凭证等的保管</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基金财产投资的有关实物证券、银行</w:t>
      </w:r>
      <w:r w:rsidRPr="00C41F72">
        <w:rPr>
          <w:rFonts w:asciiTheme="minorEastAsia" w:hAnsiTheme="minorEastAsia" w:hint="eastAsia"/>
          <w:szCs w:val="21"/>
        </w:rPr>
        <w:t>存款开户证实书</w:t>
      </w:r>
      <w:r w:rsidRPr="00C41F72">
        <w:rPr>
          <w:rFonts w:ascii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（八）与基金财产有关的重大合同的保管</w:t>
      </w:r>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C41F72">
        <w:rPr>
          <w:rFonts w:asciiTheme="minorEastAsia" w:eastAsiaTheme="minorEastAsia" w:hAnsiTheme="minorEastAsia"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（一）基金管理人对发送指令人员的书面授权</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1.基金管理人应指定专人向基金托管人发送指令。</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（二）指令的内容</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1.指令包括付款指令以及其他资金划拨指令等。</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2.基金管理人发给基金托管人的指令应写明款项事由、支付时间、到账时间、金额、账户等，加盖预留印鉴并由被授权人签字。</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（三）指令的发送、确认及执行的时间和程序</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lastRenderedPageBreak/>
        <w:t>1.指令的发送</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基金管理人发送指令应采用加密传真方式或双方协商一致的其他方式。</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指令发出后，基金管理人应及时以电话方式向基金托管人确认。</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2.指令的确认</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3.指令的时间和执行</w:t>
      </w:r>
    </w:p>
    <w:p w:rsidR="00B05C84" w:rsidRPr="00C41F72" w:rsidRDefault="00B05C84" w:rsidP="00C41F72">
      <w:pPr>
        <w:pStyle w:val="ab"/>
        <w:spacing w:line="360" w:lineRule="auto"/>
        <w:ind w:firstLineChars="0"/>
        <w:rPr>
          <w:rFonts w:asciiTheme="minorEastAsia" w:eastAsiaTheme="minorEastAsia" w:hAnsiTheme="minorEastAsia" w:cs="Arial"/>
          <w:sz w:val="21"/>
          <w:szCs w:val="21"/>
          <w:shd w:val="pct15" w:color="auto" w:fill="FFFFFF"/>
        </w:rPr>
      </w:pPr>
      <w:r w:rsidRPr="00C41F72">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05C84" w:rsidRPr="00C41F72" w:rsidRDefault="00B05C84" w:rsidP="00C41F72">
      <w:pPr>
        <w:pStyle w:val="ab"/>
        <w:spacing w:line="360" w:lineRule="auto"/>
        <w:ind w:firstLineChars="0"/>
        <w:rPr>
          <w:rFonts w:asciiTheme="minorEastAsia" w:eastAsiaTheme="minorEastAsia" w:hAnsiTheme="minorEastAsia" w:cs="Arial"/>
          <w:sz w:val="21"/>
          <w:szCs w:val="21"/>
        </w:rPr>
      </w:pPr>
      <w:r w:rsidRPr="00C41F72">
        <w:rPr>
          <w:rFonts w:asciiTheme="minorEastAsia" w:eastAsiaTheme="minorEastAsia" w:hAnsiTheme="minorEastAsia" w:cs="Arial" w:hint="eastAsia"/>
          <w:sz w:val="21"/>
          <w:szCs w:val="21"/>
        </w:rPr>
        <w:t>（四）基金管理人发送错误指令的情形和处理程序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基金管理人发送错误指令的情形包括指令违反法律法规和《基金合同》，指令发送人员无权或超越权限发送指令。</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（五）基金托管人依照法律法规暂缓、拒绝执行指令的情形和处理程序</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若基金托管人发现基金管理人的指令违反法律法规，或者违反《基金合同》约定的，应当拒绝执行，立即通知基金管理人。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（六）基金托管人未按照基金管理人指令执行的处理方法</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基金托管人由于过错，未按照基金管理人发送的指令执行并对基金财产或投资人造成的直接损失，由基金托管人</w:t>
      </w:r>
      <w:r w:rsidRPr="00C41F72">
        <w:rPr>
          <w:rFonts w:asciiTheme="minorEastAsia" w:hAnsiTheme="minorEastAsia" w:hint="eastAsia"/>
          <w:szCs w:val="21"/>
        </w:rPr>
        <w:t>赔偿由此造成的直接损失。</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（七）更换被授权人员的程序</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41F72">
        <w:rPr>
          <w:rFonts w:asciiTheme="minorEastAsia" w:hAnsiTheme="minorEastAsia" w:hint="eastAsia"/>
          <w:szCs w:val="21"/>
        </w:rPr>
        <w:t>。</w:t>
      </w:r>
      <w:r w:rsidRPr="00C41F72">
        <w:rPr>
          <w:rFonts w:asciiTheme="minorEastAsia" w:hAnsiTheme="minorEastAsia" w:cs="Arial" w:hint="eastAsia"/>
          <w:szCs w:val="21"/>
        </w:rPr>
        <w:t>基金托管人更换接受基金管理人指令的人员，应提前通过录音电话通知基金管理人。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（八）其他事项</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C41F72">
        <w:rPr>
          <w:rFonts w:asciiTheme="minorEastAsia" w:eastAsiaTheme="minorEastAsia" w:hAnsiTheme="minorEastAsia"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（一）选择证券买卖的证券经营机构</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A4967" w:rsidRPr="00C41F72">
        <w:rPr>
          <w:rFonts w:asciiTheme="minorEastAsia" w:hAnsiTheme="minorEastAsia" w:cs="Arial" w:hint="eastAsia"/>
          <w:szCs w:val="21"/>
        </w:rPr>
        <w:t>中期</w:t>
      </w:r>
      <w:r w:rsidRPr="00C41F72">
        <w:rPr>
          <w:rFonts w:asciiTheme="minorEastAsia" w:hAnsiTheme="minorEastAsia" w:cs="Arial" w:hint="eastAsia"/>
          <w:szCs w:val="21"/>
        </w:rPr>
        <w:t>报告和年度报告中将所选证券经营机构的有关情况及交易信息予以披露，并将该等情况及基金交易单元号、佣金费率等基本信息以及变更情况及时以书面形式通知基金托管人。</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（二）基金投资证券后的清算交收安排</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1.清算与交割</w:t>
      </w:r>
    </w:p>
    <w:p w:rsidR="00B05C84" w:rsidRPr="00C41F72" w:rsidRDefault="00B05C84" w:rsidP="00C41F72">
      <w:pPr>
        <w:adjustRightInd w:val="0"/>
        <w:snapToGrid w:val="0"/>
        <w:spacing w:line="360" w:lineRule="auto"/>
        <w:ind w:firstLine="480"/>
        <w:rPr>
          <w:rFonts w:asciiTheme="minorEastAsia" w:hAnsiTheme="minorEastAsia"/>
          <w:szCs w:val="21"/>
        </w:rPr>
      </w:pPr>
      <w:r w:rsidRPr="00C41F72">
        <w:rPr>
          <w:rFonts w:asciiTheme="minorEastAsia" w:hAnsiTheme="minorEastAsia" w:hint="eastAsia"/>
          <w:szCs w:val="21"/>
        </w:rPr>
        <w:t>基金管理人与基金托管人应根据有关法律法规及相关业务规则，签订《托管</w:t>
      </w:r>
    </w:p>
    <w:p w:rsidR="00B05C84" w:rsidRPr="00C41F72" w:rsidRDefault="00B05C84" w:rsidP="00C41F72">
      <w:pPr>
        <w:adjustRightInd w:val="0"/>
        <w:snapToGrid w:val="0"/>
        <w:spacing w:line="360" w:lineRule="auto"/>
        <w:rPr>
          <w:rFonts w:asciiTheme="minorEastAsia" w:hAnsiTheme="minorEastAsia"/>
          <w:szCs w:val="21"/>
        </w:rPr>
      </w:pPr>
      <w:r w:rsidRPr="00C41F72">
        <w:rPr>
          <w:rFonts w:asciiTheme="minorEastAsia" w:hAnsiTheme="minorEastAsia" w:hint="eastAsia"/>
          <w:szCs w:val="21"/>
        </w:rPr>
        <w:t>银行证券资金结算协议》，如投资港股通，还需签订《证券投资基金港股通结算补充协议》，用以具体明确基金管理人与基金托管人在证券交易资金结算业务中的责任。</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hint="eastAsia"/>
          <w:szCs w:val="21"/>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05C84" w:rsidRPr="00C41F72" w:rsidRDefault="00B05C84" w:rsidP="00C41F72">
      <w:pPr>
        <w:adjustRightInd w:val="0"/>
        <w:snapToGrid w:val="0"/>
        <w:spacing w:line="360" w:lineRule="auto"/>
        <w:ind w:firstLine="480"/>
        <w:rPr>
          <w:rFonts w:asciiTheme="minorEastAsia" w:hAnsiTheme="minorEastAsia" w:cs="宋体"/>
          <w:color w:val="000000"/>
          <w:kern w:val="0"/>
          <w:szCs w:val="21"/>
        </w:rPr>
      </w:pPr>
      <w:r w:rsidRPr="00C41F72">
        <w:rPr>
          <w:rFonts w:asciiTheme="minorEastAsia" w:hAnsiTheme="minorEastAsia" w:cs="宋体" w:hint="eastAsia"/>
          <w:color w:val="000000"/>
          <w:kern w:val="0"/>
          <w:szCs w:val="21"/>
        </w:rPr>
        <w:t>基金管理人应采取合理、必要措施，确保T日日终有足够的资金头寸完成 T+1日</w:t>
      </w:r>
      <w:r w:rsidRPr="00C41F72">
        <w:rPr>
          <w:rFonts w:asciiTheme="minorEastAsia" w:hAnsiTheme="minorEastAsia" w:hint="eastAsia"/>
          <w:szCs w:val="21"/>
        </w:rPr>
        <w:t>中国证券登记结算有限责任公司的资金</w:t>
      </w:r>
      <w:r w:rsidRPr="00C41F72">
        <w:rPr>
          <w:rFonts w:asciiTheme="minorEastAsia" w:hAnsiTheme="minorEastAsia" w:cs="宋体" w:hint="eastAsia"/>
          <w:color w:val="000000"/>
          <w:kern w:val="0"/>
          <w:szCs w:val="21"/>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实行场内T+0交收的资金清算按照基金托管人的相关规定流程执行。</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2.交易记录、资金和证券账目核对的时间和方式</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（1）交易记录的核对</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（2）资金账目的核对</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t>资金账目按日核实。</w:t>
      </w:r>
    </w:p>
    <w:p w:rsidR="00B05C84" w:rsidRPr="00C41F72" w:rsidRDefault="00B05C84" w:rsidP="00C41F72">
      <w:pPr>
        <w:adjustRightInd w:val="0"/>
        <w:snapToGrid w:val="0"/>
        <w:spacing w:line="360" w:lineRule="auto"/>
        <w:ind w:firstLine="480"/>
        <w:rPr>
          <w:rFonts w:asciiTheme="minorEastAsia" w:hAnsiTheme="minorEastAsia" w:cs="Arial"/>
          <w:szCs w:val="21"/>
        </w:rPr>
      </w:pPr>
      <w:r w:rsidRPr="00C41F72">
        <w:rPr>
          <w:rFonts w:asciiTheme="minorEastAsia" w:hAnsiTheme="minorEastAsia" w:cs="Arial" w:hint="eastAsia"/>
          <w:szCs w:val="21"/>
        </w:rPr>
        <w:lastRenderedPageBreak/>
        <w:t>（3）证券账目的核对</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基金管理人和基金托管人每交易日结束后核对基金交易所场内证券账目，确保双方账目相符。基金管理人和基金托管人每月月末最后一个交易日核对非交易所场内的证券账目。</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（三）基金申购和赎回业务处理的基本规定</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1.基金份额申购、赎回的确认、清算由基金管理人或其委托的注册登记机构负责。</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3.基金管理人应保证本基金（或本基金管理人委托）的注册登记机构每个工作日15:00前向基金托管人发送前一开放日上述有关数据，并保证相关数据的准确、完整。</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5.如基金管理人委托其他机构办理本基金的注册登记业务，应保证上述相关事宜按时进行。否则，由基金管理人承担相应的责任。</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6.关于清算专用账户的设立和管理</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为满足申购、赎回及分红资金汇划的需要，由基金管理人开立资金清算的专用账户，该账户由注册登记机构管理。</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8.赎回和分红资金划拨规定</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9.资金指令</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资金指令的格式、内容、发送、接收和确认方式等与投资指令相同。</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（四）申赎净额结算</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基金托管账户与“基金清算账户”间的资金结算遵循“全额清算、净额交收”的原则，每日(T日：资金交收日，下同)按照托管账户应收资金（T-1日直销申购申请金额与T-2日代销申购申请金额与T-2日基金转换入申请金额之和）与应付资金（T-3日赎回申请金额与T-2</w:t>
      </w:r>
      <w:r w:rsidRPr="00C41F72">
        <w:rPr>
          <w:rFonts w:asciiTheme="minorEastAsia" w:hAnsiTheme="minorEastAsia" w:cs="Arial" w:hint="eastAsia"/>
          <w:szCs w:val="21"/>
        </w:rPr>
        <w:lastRenderedPageBreak/>
        <w:t>日基金转换出申请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（五）基金转换</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1.在本基金与基金管理人管理的其它基金开展转换业务之前，基金管理人应函告基金托管人并就相关事宜进行协商。</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2.基金托管人将根据基金管理人传送的基金转换数据进行账务处理，具体资金清算和数据传递的时间、程序及托管协议当事人承担的权责按基金管理人届时的公告执行。</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3.本基金开展基金转换业务应按相关法律法规规定及《基金合同》的约定进行公告。</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（六）基金现金分红</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1.基金管理人确定分红方案通知基金托管人，双方核定后</w:t>
      </w:r>
      <w:r w:rsidRPr="00C41F72">
        <w:rPr>
          <w:rFonts w:asciiTheme="minorEastAsia" w:hAnsiTheme="minorEastAsia" w:hint="eastAsia"/>
          <w:szCs w:val="21"/>
        </w:rPr>
        <w:t>依照《信息披露办法》的有关规定在中国证监会</w:t>
      </w:r>
      <w:r w:rsidR="005A4CB9" w:rsidRPr="00C41F72">
        <w:rPr>
          <w:rFonts w:asciiTheme="minorEastAsia" w:hAnsiTheme="minorEastAsia" w:hint="eastAsia"/>
          <w:szCs w:val="21"/>
        </w:rPr>
        <w:t>指定媒介</w:t>
      </w:r>
      <w:r w:rsidRPr="00C41F72">
        <w:rPr>
          <w:rFonts w:asciiTheme="minorEastAsia" w:hAnsiTheme="minorEastAsia" w:hint="eastAsia"/>
          <w:szCs w:val="21"/>
        </w:rPr>
        <w:t>上公告</w:t>
      </w:r>
      <w:r w:rsidRPr="00C41F72">
        <w:rPr>
          <w:rFonts w:asciiTheme="minorEastAsia" w:hAnsiTheme="minorEastAsia" w:cs="Arial" w:hint="eastAsia"/>
          <w:szCs w:val="21"/>
        </w:rPr>
        <w:t>。</w:t>
      </w:r>
    </w:p>
    <w:p w:rsidR="00B05C84" w:rsidRPr="00C41F72" w:rsidRDefault="00B05C84" w:rsidP="00C41F72">
      <w:pPr>
        <w:adjustRightInd w:val="0"/>
        <w:snapToGri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B05C84" w:rsidRPr="00C41F72" w:rsidRDefault="00B05C84" w:rsidP="00C41F72">
      <w:pPr>
        <w:spacing w:line="360" w:lineRule="auto"/>
        <w:ind w:firstLine="482"/>
        <w:rPr>
          <w:rFonts w:asciiTheme="minorEastAsia" w:hAnsiTheme="minorEastAsia" w:cs="Arial"/>
          <w:szCs w:val="21"/>
        </w:rPr>
      </w:pPr>
      <w:r w:rsidRPr="00C41F72">
        <w:rPr>
          <w:rFonts w:asciiTheme="minorEastAsia" w:hAnsiTheme="minorEastAsia" w:cs="Arial" w:hint="eastAsia"/>
          <w:szCs w:val="21"/>
        </w:rPr>
        <w:t>3.基金管理人在下达指令时，应给基金托管人留出必需的划款时间。</w:t>
      </w:r>
    </w:p>
    <w:p w:rsidR="00B05C84" w:rsidRPr="00C41F72" w:rsidRDefault="00B05C84" w:rsidP="00C41F72">
      <w:pPr>
        <w:spacing w:line="360" w:lineRule="auto"/>
        <w:ind w:firstLine="482"/>
        <w:rPr>
          <w:rFonts w:asciiTheme="minorEastAsia" w:hAnsiTheme="minorEastAsia" w:cs="Arial"/>
          <w:szCs w:val="21"/>
        </w:rPr>
      </w:pPr>
      <w:r w:rsidRPr="00C41F72">
        <w:rPr>
          <w:rFonts w:asciiTheme="minorEastAsia" w:hAnsiTheme="minorEastAsia" w:cs="Arial" w:hint="eastAsia"/>
          <w:szCs w:val="21"/>
        </w:rPr>
        <w:t>（七）投资银行存款的特别约定</w:t>
      </w:r>
    </w:p>
    <w:p w:rsidR="00B05C84" w:rsidRPr="00C41F72" w:rsidRDefault="00B05C84" w:rsidP="006C221C">
      <w:pPr>
        <w:spacing w:line="360" w:lineRule="auto"/>
        <w:ind w:firstLine="482"/>
        <w:rPr>
          <w:rFonts w:asciiTheme="minorEastAsia" w:hAnsiTheme="minorEastAsia" w:cs="Arial"/>
          <w:szCs w:val="21"/>
        </w:rPr>
      </w:pPr>
      <w:r w:rsidRPr="00C41F72">
        <w:rPr>
          <w:rFonts w:asciiTheme="minorEastAsia" w:hAnsiTheme="minorEastAsia" w:cs="Arial" w:hint="eastAsia"/>
          <w:szCs w:val="21"/>
        </w:rPr>
        <w:t>1.本基金投资银行存款前，</w:t>
      </w:r>
      <w:r w:rsidR="006C221C">
        <w:rPr>
          <w:rFonts w:asciiTheme="minorEastAsia" w:hAnsiTheme="minorEastAsia" w:cs="Arial" w:hint="eastAsia"/>
          <w:szCs w:val="21"/>
        </w:rPr>
        <w:t>基金管理人应与存款银行签订具体存款协议，包括但不限于以下内容：</w:t>
      </w:r>
    </w:p>
    <w:p w:rsidR="00B05C84" w:rsidRPr="00C41F72" w:rsidRDefault="00B05C84" w:rsidP="006C221C">
      <w:pPr>
        <w:spacing w:line="360" w:lineRule="auto"/>
        <w:ind w:firstLine="482"/>
        <w:rPr>
          <w:rFonts w:asciiTheme="minorEastAsia" w:hAnsiTheme="minorEastAsia" w:cs="Arial"/>
          <w:szCs w:val="21"/>
        </w:rPr>
      </w:pPr>
      <w:r w:rsidRPr="00C41F72">
        <w:rPr>
          <w:rFonts w:asciiTheme="minorEastAsia" w:hAnsiTheme="minorEastAsia" w:cs="Arial" w:hint="eastAsia"/>
          <w:szCs w:val="21"/>
        </w:rPr>
        <w:t>（1）存款账户必须以本基金名义开立,并将基金托管人为本基金开立的基金银行账户指定为唯一回款账户，任何情况下，存款银行都不得将存款投资本息划往任何其他账户。</w:t>
      </w:r>
    </w:p>
    <w:p w:rsidR="00B05C84" w:rsidRPr="00C41F72" w:rsidRDefault="00B05C84" w:rsidP="006C221C">
      <w:pPr>
        <w:spacing w:line="360" w:lineRule="auto"/>
        <w:ind w:firstLine="482"/>
        <w:rPr>
          <w:rFonts w:asciiTheme="minorEastAsia" w:hAnsiTheme="minorEastAsia" w:cs="Arial"/>
          <w:szCs w:val="21"/>
        </w:rPr>
      </w:pPr>
      <w:r w:rsidRPr="00C41F72">
        <w:rPr>
          <w:rFonts w:ascii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rsidR="00B05C84" w:rsidRPr="00C41F72" w:rsidRDefault="00B05C84" w:rsidP="006C221C">
      <w:pPr>
        <w:spacing w:line="360" w:lineRule="auto"/>
        <w:ind w:firstLine="482"/>
        <w:rPr>
          <w:rFonts w:asciiTheme="minorEastAsia" w:hAnsiTheme="minorEastAsia" w:cs="Arial"/>
          <w:szCs w:val="21"/>
        </w:rPr>
      </w:pPr>
      <w:r w:rsidRPr="00C41F72">
        <w:rPr>
          <w:rFonts w:asciiTheme="minorEastAsia" w:hAnsiTheme="minorEastAsia" w:cs="Arial" w:hint="eastAsia"/>
          <w:szCs w:val="21"/>
        </w:rPr>
        <w:t>（3）约定存款证实书的具体传递交接方式及交接期限。</w:t>
      </w:r>
    </w:p>
    <w:p w:rsidR="00B05C84" w:rsidRPr="00C41F72" w:rsidRDefault="00B05C84" w:rsidP="006C221C">
      <w:pPr>
        <w:spacing w:line="360" w:lineRule="auto"/>
        <w:ind w:firstLine="482"/>
        <w:rPr>
          <w:rFonts w:asciiTheme="minorEastAsia" w:hAnsiTheme="minorEastAsia" w:cs="Arial"/>
          <w:szCs w:val="21"/>
        </w:rPr>
      </w:pPr>
      <w:r w:rsidRPr="00C41F72">
        <w:rPr>
          <w:rFonts w:asciiTheme="minorEastAsia" w:hAnsiTheme="minorEastAsia" w:cs="Arial" w:hint="eastAsia"/>
          <w:szCs w:val="21"/>
        </w:rPr>
        <w:t>（4）资金划转过程中需要使用存款银行过渡账户的，存款银行须保证资金在过渡账户中不出现滞留，不被挪用。</w:t>
      </w:r>
    </w:p>
    <w:p w:rsidR="00B05C84" w:rsidRPr="00C41F72" w:rsidRDefault="00B05C84" w:rsidP="006C221C">
      <w:pPr>
        <w:adjustRightInd w:val="0"/>
        <w:spacing w:line="360" w:lineRule="auto"/>
        <w:ind w:firstLine="482"/>
        <w:rPr>
          <w:rFonts w:asciiTheme="minorEastAsia" w:hAnsiTheme="minorEastAsia" w:cs="Arial"/>
          <w:szCs w:val="21"/>
        </w:rPr>
      </w:pPr>
      <w:r w:rsidRPr="00C41F72">
        <w:rPr>
          <w:rFonts w:asciiTheme="minorEastAsia" w:hAnsiTheme="minorEastAsia"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05C84" w:rsidRDefault="00B05C84" w:rsidP="006C221C">
      <w:pPr>
        <w:adjustRightInd w:val="0"/>
        <w:spacing w:line="360" w:lineRule="auto"/>
        <w:ind w:firstLine="482"/>
        <w:rPr>
          <w:rFonts w:asciiTheme="minorEastAsia" w:hAnsiTheme="minorEastAsia" w:cs="Arial" w:hint="eastAsia"/>
          <w:szCs w:val="21"/>
        </w:rPr>
      </w:pPr>
      <w:r w:rsidRPr="00C41F72">
        <w:rPr>
          <w:rFonts w:asciiTheme="minorEastAsia" w:hAnsiTheme="minorEastAsia" w:cs="Arial" w:hint="eastAsia"/>
          <w:szCs w:val="21"/>
        </w:rPr>
        <w:t>3. 基金管理人投资银行存款或办理存款支取时，应提前书面通知基金托管人，以便基金</w:t>
      </w:r>
      <w:r w:rsidRPr="00C41F72">
        <w:rPr>
          <w:rFonts w:asciiTheme="minorEastAsia" w:hAnsiTheme="minorEastAsia" w:cs="Arial" w:hint="eastAsia"/>
          <w:szCs w:val="21"/>
        </w:rPr>
        <w:lastRenderedPageBreak/>
        <w:t>托管人有足够的时间履行相应的业务操作程序。因发生逾期支取、提前支取或部分提前支取，托管银行不承担相应利息损失及逾期支取手续费。</w:t>
      </w:r>
    </w:p>
    <w:p w:rsidR="008D57DF" w:rsidRPr="00C41F72" w:rsidRDefault="008D57DF" w:rsidP="006C221C">
      <w:pPr>
        <w:adjustRightInd w:val="0"/>
        <w:spacing w:line="360" w:lineRule="auto"/>
        <w:ind w:firstLine="482"/>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85" w:name="_Toc124325892"/>
      <w:r w:rsidRPr="00C41F72">
        <w:rPr>
          <w:rFonts w:asciiTheme="minorEastAsia" w:eastAsiaTheme="minorEastAsia" w:hAnsiTheme="minorEastAsia" w:hint="eastAsia"/>
          <w:sz w:val="21"/>
          <w:szCs w:val="21"/>
        </w:rPr>
        <w:t>八、基金资产净值计算和会计核算</w:t>
      </w:r>
      <w:bookmarkEnd w:id="85"/>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（一）基金资产净值的计算、复核与完成的时间及程序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每个交易日计算基金资产净值及基金份额净值，并按规定公告。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05C84" w:rsidRPr="00C41F72" w:rsidRDefault="00B05C84" w:rsidP="00C41F72">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（二）基金资产估值方法和特殊情形的处理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1.估值对象</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szCs w:val="21"/>
        </w:rPr>
        <w:t>基金所拥有的股票、</w:t>
      </w:r>
      <w:r w:rsidRPr="00C41F72">
        <w:rPr>
          <w:rFonts w:asciiTheme="minorEastAsia" w:hAnsiTheme="minorEastAsia" w:cs="Arial" w:hint="eastAsia"/>
          <w:szCs w:val="21"/>
        </w:rPr>
        <w:t>股指期货合约、</w:t>
      </w:r>
      <w:r w:rsidRPr="00C41F72">
        <w:rPr>
          <w:rFonts w:asciiTheme="minorEastAsia" w:hAnsiTheme="minorEastAsia" w:cs="Arial"/>
          <w:szCs w:val="21"/>
        </w:rPr>
        <w:t>债券和银行存款本息、应收款项、其它投资等资产及负债</w:t>
      </w:r>
      <w:r w:rsidRPr="00C41F72">
        <w:rPr>
          <w:rFonts w:asciiTheme="minorEastAsia" w:hAnsiTheme="minorEastAsia" w:cs="Arial" w:hint="eastAsia"/>
          <w:szCs w:val="21"/>
        </w:rPr>
        <w:t>。</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2.估值方法</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本基金所持有的投资品种，按如下原则进行估值 ：</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（1）证券交易所上市的有价证券的估值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②在交易所市场上市交易或挂牌转让的固定收益品种（另有规定的除外），选取第三方估值机构提供的相应品种当日的估值净价估值。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③</w:t>
      </w:r>
      <w:r w:rsidR="0088686B" w:rsidRPr="00C41F72">
        <w:rPr>
          <w:rFonts w:asciiTheme="minorEastAsia" w:hAnsiTheme="minorEastAsia" w:cs="Arial" w:hint="eastAsia"/>
          <w:szCs w:val="21"/>
        </w:rPr>
        <w:t>对在交易所市场上市交易的可转换债券，按照每日收盘价作为估值全价</w:t>
      </w:r>
      <w:r w:rsidRPr="00C41F72">
        <w:rPr>
          <w:rFonts w:asciiTheme="minorEastAsia" w:hAnsiTheme="minorEastAsia" w:cs="Arial" w:hint="eastAsia"/>
          <w:szCs w:val="21"/>
        </w:rPr>
        <w:t>。</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（2）处于未上市期间的有价证券应区分如下情况处理：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①送股、转增股、配股和公开增发的新股，按估值日在证券交易所挂牌的同一股票的估</w:t>
      </w:r>
      <w:r w:rsidRPr="00C41F72">
        <w:rPr>
          <w:rFonts w:asciiTheme="minorEastAsia" w:hAnsiTheme="minorEastAsia" w:cs="Arial" w:hint="eastAsia"/>
          <w:szCs w:val="21"/>
        </w:rPr>
        <w:lastRenderedPageBreak/>
        <w:t>值方法估值；该日无交易的，以最近一日的市价（收盘价）估值；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②首次公开发行未上市的股票、债券，采用估值技术确定公允价值，在估值技术难以可靠计量公允价值的情况下，按成本估值。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③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（4）存款的估值方法</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持有的银行定期存款或通知存款以本金列示，按协议或合同利率逐日确认利息收入。</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（5）投资证券衍生品的估值方法</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①股指期货合约按照估值当日结算价进行估值。估值当日无结算价的，且最近交易日后经济环境未发生重大变化的，采用最近交易日结算价估值。如最近交易日后经济环境发生了重大变化的，将参考监管机构或行业协会有关规定，或者类似投资品种的现行市价及重大变化因素，调整最近交易市价，确定公允价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②因持有股票而享有的配股权，采用估值技术确定公允价值进行估值。在估值技术难以可靠计量公允价值的情况下，按成本进行估值。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（6）本基金可以采用第三方估值机构按照上述公允价值确定原则提供的估值价格数据。</w:t>
      </w:r>
    </w:p>
    <w:p w:rsidR="00B05C84" w:rsidRPr="00C41F72" w:rsidRDefault="00B05C84" w:rsidP="00C41F72">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（7）同一债券同时在两个或两个以上市场交易的，按债券所处的市场分别估值。</w:t>
      </w:r>
    </w:p>
    <w:p w:rsidR="00B05C84" w:rsidRPr="00C41F72" w:rsidRDefault="00B05C84" w:rsidP="00C41F72">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8</w:t>
      </w:r>
      <w:r w:rsidRPr="00C41F72">
        <w:rPr>
          <w:rFonts w:asciiTheme="minorEastAsia" w:hAnsiTheme="minorEastAsia" w:cs="Arial" w:hint="eastAsia"/>
          <w:szCs w:val="21"/>
        </w:rPr>
        <w:t>）当发生大额申购或赎回的情形时，基金管理人可以采用摆动定价机制，以确保基金估值的公平性。</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9</w:t>
      </w:r>
      <w:r w:rsidRPr="00C41F72">
        <w:rPr>
          <w:rFonts w:asciiTheme="minorEastAsia" w:hAnsiTheme="minorEastAsia" w:cs="Arial" w:hint="eastAsia"/>
          <w:szCs w:val="21"/>
        </w:rPr>
        <w:t>）如有确凿证据表明按上述方法进行估值不能客观反映其公允价值的，基金管理人可根据具体情况与基金托管人商定后，按最能反映公允价值的价格估值。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w:t>
      </w:r>
      <w:r w:rsidR="00E91A56" w:rsidRPr="00C41F72">
        <w:rPr>
          <w:rFonts w:asciiTheme="minorEastAsia" w:hAnsiTheme="minorEastAsia" w:cs="Arial" w:hint="eastAsia"/>
          <w:szCs w:val="21"/>
        </w:rPr>
        <w:t>10</w:t>
      </w:r>
      <w:r w:rsidRPr="00C41F72">
        <w:rPr>
          <w:rFonts w:asciiTheme="minorEastAsia" w:hAnsiTheme="minorEastAsia" w:cs="Arial" w:hint="eastAsia"/>
          <w:szCs w:val="21"/>
        </w:rPr>
        <w:t>）相关法律法规以及监管部门有强制规定的，从其规定。如有新增事项，按国家最新规定估值。</w:t>
      </w:r>
    </w:p>
    <w:p w:rsidR="00B05C84" w:rsidRPr="00C41F72" w:rsidRDefault="00B05C84" w:rsidP="00C41F72">
      <w:pPr>
        <w:adjustRightInd w:val="0"/>
        <w:snapToGrid w:val="0"/>
        <w:spacing w:line="360" w:lineRule="auto"/>
        <w:ind w:firstLine="200"/>
        <w:rPr>
          <w:rFonts w:asciiTheme="minorEastAsia" w:hAnsiTheme="minorEastAsia" w:cs="Arial"/>
          <w:szCs w:val="21"/>
        </w:rPr>
      </w:pPr>
      <w:r w:rsidRPr="00C41F72">
        <w:rPr>
          <w:rFonts w:ascii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05C84" w:rsidRPr="00C41F72" w:rsidRDefault="00B05C84" w:rsidP="00C41F72">
      <w:pPr>
        <w:adjustRightInd w:val="0"/>
        <w:snapToGrid w:val="0"/>
        <w:spacing w:line="360" w:lineRule="auto"/>
        <w:ind w:firstLine="200"/>
        <w:rPr>
          <w:rFonts w:asciiTheme="minorEastAsia" w:hAnsiTheme="minorEastAsia"/>
          <w:szCs w:val="21"/>
        </w:rPr>
      </w:pPr>
      <w:r w:rsidRPr="00C41F72">
        <w:rPr>
          <w:rFonts w:asciiTheme="minorEastAsia" w:hAnsiTheme="minorEastAsia" w:hint="eastAsia"/>
          <w:szCs w:val="21"/>
        </w:rPr>
        <w:t>根据有关法律法规，基金资产净值计算和基金会计核算的义务由基金管理人承担。本基金的</w:t>
      </w:r>
      <w:r w:rsidRPr="00C41F72">
        <w:rPr>
          <w:rFonts w:asciiTheme="minorEastAsia" w:hAnsiTheme="minorEastAsia" w:hint="eastAsia"/>
          <w:szCs w:val="21"/>
        </w:rPr>
        <w:lastRenderedPageBreak/>
        <w:t>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B05C84" w:rsidRPr="00C41F72" w:rsidRDefault="00B05C84" w:rsidP="00C41F72">
      <w:pPr>
        <w:adjustRightInd w:val="0"/>
        <w:snapToGrid w:val="0"/>
        <w:spacing w:line="360" w:lineRule="auto"/>
        <w:ind w:firstLine="200"/>
        <w:rPr>
          <w:rStyle w:val="read"/>
          <w:rFonts w:asciiTheme="minorEastAsia" w:hAnsiTheme="minorEastAsia" w:cs="Arial"/>
          <w:szCs w:val="21"/>
        </w:rPr>
      </w:pPr>
      <w:r w:rsidRPr="00C41F72">
        <w:rPr>
          <w:rStyle w:val="read"/>
          <w:rFonts w:asciiTheme="minorEastAsia" w:hAnsiTheme="minorEastAsia" w:cs="Arial" w:hint="eastAsia"/>
          <w:szCs w:val="21"/>
        </w:rPr>
        <w:t>3.特殊情形的处理</w:t>
      </w:r>
    </w:p>
    <w:p w:rsidR="00B05C84" w:rsidRPr="00C41F72" w:rsidRDefault="00B05C84" w:rsidP="00C41F72">
      <w:pPr>
        <w:adjustRightInd w:val="0"/>
        <w:snapToGrid w:val="0"/>
        <w:spacing w:line="360" w:lineRule="auto"/>
        <w:ind w:firstLineChars="200" w:firstLine="420"/>
        <w:rPr>
          <w:rStyle w:val="read"/>
          <w:rFonts w:asciiTheme="minorEastAsia" w:hAnsiTheme="minorEastAsia"/>
          <w:szCs w:val="21"/>
        </w:rPr>
      </w:pPr>
      <w:r w:rsidRPr="00C41F72">
        <w:rPr>
          <w:rStyle w:val="read"/>
          <w:rFonts w:asciiTheme="minorEastAsia" w:hAnsiTheme="minorEastAsia" w:cs="Arial" w:hint="eastAsia"/>
          <w:szCs w:val="21"/>
        </w:rPr>
        <w:t>基金管理人、基金托管人按估值方法的第(</w:t>
      </w:r>
      <w:r w:rsidR="00E91A56" w:rsidRPr="00C41F72">
        <w:rPr>
          <w:rStyle w:val="read"/>
          <w:rFonts w:asciiTheme="minorEastAsia" w:hAnsiTheme="minorEastAsia" w:cs="Arial" w:hint="eastAsia"/>
          <w:szCs w:val="21"/>
        </w:rPr>
        <w:t>9</w:t>
      </w:r>
      <w:r w:rsidRPr="00C41F72">
        <w:rPr>
          <w:rStyle w:val="read"/>
          <w:rFonts w:asciiTheme="minorEastAsia" w:hAnsiTheme="minorEastAsia" w:cs="Arial" w:hint="eastAsia"/>
          <w:szCs w:val="21"/>
        </w:rPr>
        <w:t>)项进行估值时，所造成的误差不作为基金份</w:t>
      </w:r>
      <w:r w:rsidRPr="00C41F72">
        <w:rPr>
          <w:rStyle w:val="read"/>
          <w:rFonts w:asciiTheme="minorEastAsia" w:hAnsiTheme="minorEastAsia" w:hint="eastAsia"/>
          <w:szCs w:val="21"/>
        </w:rPr>
        <w:t>额净值错误处理。</w:t>
      </w:r>
    </w:p>
    <w:p w:rsidR="00B05C84" w:rsidRPr="00C41F72" w:rsidRDefault="00B05C84" w:rsidP="00C41F72">
      <w:pPr>
        <w:adjustRightInd w:val="0"/>
        <w:snapToGrid w:val="0"/>
        <w:spacing w:line="360" w:lineRule="auto"/>
        <w:ind w:firstLineChars="200" w:firstLine="420"/>
        <w:rPr>
          <w:rStyle w:val="read"/>
          <w:rFonts w:asciiTheme="minorEastAsia" w:hAnsiTheme="minorEastAsia"/>
          <w:szCs w:val="21"/>
        </w:rPr>
      </w:pPr>
      <w:r w:rsidRPr="00C41F72">
        <w:rPr>
          <w:rStyle w:val="read"/>
          <w:rFonts w:asciiTheme="minorEastAsia" w:hAnsiTheme="minorEastAsia" w:hint="eastAsia"/>
          <w:szCs w:val="21"/>
        </w:rPr>
        <w:t>（三）基金份额净值错误的处理方式</w:t>
      </w:r>
    </w:p>
    <w:p w:rsidR="00B05C84" w:rsidRPr="00C41F72" w:rsidRDefault="00B05C84" w:rsidP="00C41F72">
      <w:pPr>
        <w:adjustRightInd w:val="0"/>
        <w:snapToGrid w:val="0"/>
        <w:spacing w:line="360" w:lineRule="auto"/>
        <w:ind w:firstLineChars="200" w:firstLine="420"/>
        <w:rPr>
          <w:rStyle w:val="read"/>
          <w:rFonts w:asciiTheme="minorEastAsia" w:hAnsiTheme="minorEastAsia"/>
          <w:szCs w:val="21"/>
        </w:rPr>
      </w:pPr>
      <w:r w:rsidRPr="00C41F72">
        <w:rPr>
          <w:rStyle w:val="read"/>
          <w:rFonts w:asciiTheme="minorEastAsia" w:hAnsiTheme="minorEastAsia"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C41F72">
        <w:rPr>
          <w:rFonts w:asciiTheme="minorEastAsia" w:hAnsiTheme="minorEastAsia" w:cs="Arial" w:hint="eastAsia"/>
          <w:szCs w:val="21"/>
        </w:rPr>
        <w:t>；错误偏差达到基金份额净值的</w:t>
      </w:r>
      <w:r w:rsidRPr="00C41F72">
        <w:rPr>
          <w:rFonts w:asciiTheme="minorEastAsia" w:hAnsiTheme="minorEastAsia" w:hint="eastAsia"/>
          <w:szCs w:val="21"/>
        </w:rPr>
        <w:t>0.5%时，基金管理人应当公告</w:t>
      </w:r>
      <w:r w:rsidRPr="00C41F72">
        <w:rPr>
          <w:rStyle w:val="read"/>
          <w:rFonts w:ascii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rsidR="00B05C84" w:rsidRPr="00C41F72" w:rsidRDefault="00B05C84" w:rsidP="00C41F72">
      <w:pPr>
        <w:adjustRightInd w:val="0"/>
        <w:snapToGrid w:val="0"/>
        <w:spacing w:line="360" w:lineRule="auto"/>
        <w:ind w:firstLineChars="200" w:firstLine="420"/>
        <w:rPr>
          <w:rStyle w:val="read"/>
          <w:rFonts w:asciiTheme="minorEastAsia" w:hAnsiTheme="minorEastAsia"/>
          <w:szCs w:val="21"/>
        </w:rPr>
      </w:pPr>
      <w:r w:rsidRPr="00C41F72">
        <w:rPr>
          <w:rStyle w:val="read"/>
          <w:rFonts w:ascii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Style w:val="read"/>
          <w:rFonts w:ascii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C41F72">
        <w:rPr>
          <w:rFonts w:asciiTheme="minorEastAsia" w:hAnsiTheme="minorEastAsia" w:cs="Arial" w:hint="eastAsia"/>
          <w:szCs w:val="21"/>
        </w:rPr>
        <w:t>损失，由基金管理人负责赔付。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w:t>
      </w:r>
      <w:r w:rsidRPr="00C41F72">
        <w:rPr>
          <w:rFonts w:asciiTheme="minorEastAsia" w:hAnsiTheme="minorEastAsia"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w:t>
      </w:r>
      <w:r w:rsidRPr="00C41F72">
        <w:rPr>
          <w:rFonts w:ascii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4.基金管理人和基金托管人由于各自技术系统设置而产生的净值计算尾差，以基金管理人计算结果为准。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5.前述内容如法律法规或者监管部门另有规定的，从其规定。如果行业另有通行做法，</w:t>
      </w:r>
      <w:r w:rsidRPr="00C41F72">
        <w:rPr>
          <w:rFonts w:asciiTheme="minorEastAsia" w:hAnsiTheme="minorEastAsia" w:cs="Arial" w:hint="eastAsia"/>
          <w:szCs w:val="21"/>
        </w:rPr>
        <w:lastRenderedPageBreak/>
        <w:t>双方当事人应本着平等和保护基金份额持有人利益的原则进行协商。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（四）暂停估值与公告基金份额净值的情形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1.基金投资所涉及的证券、期货交易市场遇法定节假日或因其他原因暂停营业时；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2.因不可抗力致使基金管理人、基金托管人无法准确评估基金资产价值时；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3.当前一估值日基金资产净值 50%以上的资产出现无可参考的活跃市场价格且采用估值技术仍导致公允价值存在重大不确定性时，经与基金托管人协商一致的，应当暂停估值；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4.法律法规、中国证监会和《基金合同》认定的其他情形。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（五）基金会计制度</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按国家有关部门规定的会计制度执行。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（六）基金账册的建立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（七）基金财务报表与报告的编制和复核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1.财务报表的编制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基金财务报表由基金管理人编制，基金托管人复核。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2.报表复核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3.财务报表的编制与复核时间安排</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(1)报表的编制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基金管理人应当在每月结束后5</w:t>
      </w:r>
      <w:r w:rsidR="00B9427D" w:rsidRPr="00C41F72">
        <w:rPr>
          <w:rFonts w:asciiTheme="minorEastAsia" w:hAnsiTheme="minorEastAsia" w:cs="Arial" w:hint="eastAsia"/>
          <w:szCs w:val="21"/>
        </w:rPr>
        <w:t>个工作日内完成月度报表的编制；</w:t>
      </w:r>
      <w:r w:rsidR="008067AD" w:rsidRPr="00C41F72">
        <w:rPr>
          <w:rFonts w:asciiTheme="minorEastAsia" w:hAnsiTheme="minorEastAsia" w:cs="Arial"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w:t>
      </w:r>
      <w:r w:rsidR="00B9427D" w:rsidRPr="00C41F72">
        <w:rPr>
          <w:rFonts w:asciiTheme="minorEastAsia" w:hAnsiTheme="minorEastAsia" w:cs="Arial" w:hint="eastAsia"/>
          <w:szCs w:val="21"/>
        </w:rPr>
        <w:t>在每个季度结束之日起</w:t>
      </w:r>
      <w:r w:rsidR="00B9427D" w:rsidRPr="00C41F72">
        <w:rPr>
          <w:rFonts w:asciiTheme="minorEastAsia" w:hAnsiTheme="minorEastAsia" w:cs="Arial"/>
          <w:szCs w:val="21"/>
        </w:rPr>
        <w:t>15个工作日内完成基金季度报告的编制；</w:t>
      </w:r>
      <w:r w:rsidR="00B9427D" w:rsidRPr="00C41F72">
        <w:rPr>
          <w:rFonts w:asciiTheme="minorEastAsia" w:hAnsiTheme="minorEastAsia" w:cs="Arial" w:hint="eastAsia"/>
          <w:szCs w:val="21"/>
        </w:rPr>
        <w:t>在上半年结束之日起两个月内，编制完成基金中期报告；在每年结束之日起三个月内，编制完成基金年度报告。</w:t>
      </w:r>
      <w:r w:rsidR="00AA6DA4" w:rsidRPr="00C41F72">
        <w:rPr>
          <w:rFonts w:asciiTheme="minorEastAsia" w:hAnsiTheme="minorEastAsia" w:cs="Arial"/>
          <w:szCs w:val="21"/>
        </w:rPr>
        <w:t>基金年度报告</w:t>
      </w:r>
      <w:r w:rsidR="00AA6DA4" w:rsidRPr="00C41F72">
        <w:rPr>
          <w:rFonts w:asciiTheme="minorEastAsia" w:hAnsiTheme="minorEastAsia" w:cs="Arial" w:hint="eastAsia"/>
          <w:szCs w:val="21"/>
        </w:rPr>
        <w:t>中</w:t>
      </w:r>
      <w:r w:rsidR="00AA6DA4" w:rsidRPr="00C41F72">
        <w:rPr>
          <w:rFonts w:asciiTheme="minorEastAsia" w:hAnsiTheme="minorEastAsia" w:cs="Arial"/>
          <w:szCs w:val="21"/>
        </w:rPr>
        <w:t>的财务会计报告应当经过</w:t>
      </w:r>
      <w:r w:rsidR="00AA6DA4" w:rsidRPr="00C41F72">
        <w:rPr>
          <w:rFonts w:asciiTheme="minorEastAsia" w:hAnsiTheme="minorEastAsia" w:cs="Arial" w:hint="eastAsia"/>
          <w:szCs w:val="21"/>
        </w:rPr>
        <w:t>具有证券、期货相关业务资格的会计师事务所</w:t>
      </w:r>
      <w:r w:rsidR="00AA6DA4" w:rsidRPr="00C41F72">
        <w:rPr>
          <w:rFonts w:asciiTheme="minorEastAsia" w:hAnsiTheme="minorEastAsia" w:cs="Arial"/>
          <w:szCs w:val="21"/>
        </w:rPr>
        <w:t>审计</w:t>
      </w:r>
      <w:r w:rsidR="00B9427D" w:rsidRPr="00C41F72">
        <w:rPr>
          <w:rFonts w:asciiTheme="minorEastAsia" w:hAnsiTheme="minorEastAsia" w:cs="Arial" w:hint="eastAsia"/>
          <w:szCs w:val="21"/>
        </w:rPr>
        <w:t>。《基金合同》生效不足两个月的，基金管理人可以不编制当期季度报告、中期报告或者年度报告。</w:t>
      </w:r>
    </w:p>
    <w:p w:rsidR="00B05C84" w:rsidRPr="00C41F72" w:rsidRDefault="00B05C84" w:rsidP="00C41F72">
      <w:pPr>
        <w:pStyle w:val="a0"/>
        <w:adjustRightInd w:val="0"/>
        <w:snapToGrid w:val="0"/>
        <w:spacing w:line="360" w:lineRule="auto"/>
        <w:rPr>
          <w:rFonts w:asciiTheme="minorEastAsia" w:eastAsiaTheme="minorEastAsia" w:hAnsiTheme="minorEastAsia" w:cs="Arial"/>
          <w:szCs w:val="21"/>
        </w:rPr>
      </w:pPr>
      <w:r w:rsidRPr="00C41F72">
        <w:rPr>
          <w:rFonts w:asciiTheme="minorEastAsia" w:eastAsiaTheme="minorEastAsia" w:hAnsiTheme="minorEastAsia" w:cs="Arial" w:hint="eastAsia"/>
          <w:szCs w:val="21"/>
        </w:rPr>
        <w:t>(2)报表的复核</w:t>
      </w:r>
    </w:p>
    <w:p w:rsidR="00B05C84" w:rsidRPr="00C41F72" w:rsidRDefault="00B05C84" w:rsidP="00C41F72">
      <w:pPr>
        <w:pStyle w:val="a0"/>
        <w:adjustRightInd w:val="0"/>
        <w:snapToGrid w:val="0"/>
        <w:spacing w:line="360" w:lineRule="auto"/>
        <w:rPr>
          <w:rFonts w:asciiTheme="minorEastAsia" w:eastAsiaTheme="minorEastAsia" w:hAnsiTheme="minorEastAsia" w:cs="Arial"/>
          <w:szCs w:val="21"/>
        </w:rPr>
      </w:pPr>
      <w:r w:rsidRPr="00C41F72">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05C84" w:rsidRPr="00C41F72" w:rsidRDefault="00B05C84" w:rsidP="00C41F72">
      <w:pPr>
        <w:pStyle w:val="a0"/>
        <w:adjustRightInd w:val="0"/>
        <w:snapToGrid w:val="0"/>
        <w:spacing w:line="360" w:lineRule="auto"/>
        <w:rPr>
          <w:rFonts w:asciiTheme="minorEastAsia" w:eastAsiaTheme="minorEastAsia" w:hAnsiTheme="minorEastAsia" w:cs="Arial"/>
          <w:szCs w:val="21"/>
        </w:rPr>
      </w:pPr>
      <w:r w:rsidRPr="00C41F72">
        <w:rPr>
          <w:rFonts w:asciiTheme="minorEastAsia" w:eastAsiaTheme="minorEastAsia" w:hAnsiTheme="minorEastAsia" w:cs="Arial" w:hint="eastAsia"/>
          <w:szCs w:val="21"/>
        </w:rPr>
        <w:lastRenderedPageBreak/>
        <w:t>基金管理人应留足充分的时间，便于基金托管人复核相关报表及报告。</w:t>
      </w:r>
    </w:p>
    <w:p w:rsidR="00B05C84" w:rsidRPr="00C41F72" w:rsidRDefault="00B05C84" w:rsidP="00C41F72">
      <w:pPr>
        <w:pStyle w:val="a0"/>
        <w:adjustRightInd w:val="0"/>
        <w:snapToGrid w:val="0"/>
        <w:spacing w:line="360" w:lineRule="auto"/>
        <w:rPr>
          <w:rFonts w:asciiTheme="minorEastAsia" w:eastAsiaTheme="minorEastAsia" w:hAnsiTheme="minorEastAsia" w:cs="Arial"/>
          <w:szCs w:val="21"/>
        </w:rPr>
      </w:pPr>
      <w:r w:rsidRPr="00C41F72">
        <w:rPr>
          <w:rFonts w:asciiTheme="minorEastAsia" w:eastAsiaTheme="minorEastAsia" w:hAnsiTheme="minorEastAsia" w:cs="Arial" w:hint="eastAsia"/>
          <w:szCs w:val="21"/>
        </w:rPr>
        <w:t>（八）基金管理人应在编制季度报告、</w:t>
      </w:r>
      <w:r w:rsidR="005A4CB9" w:rsidRPr="00C41F72">
        <w:rPr>
          <w:rFonts w:asciiTheme="minorEastAsia" w:eastAsiaTheme="minorEastAsia" w:hAnsiTheme="minorEastAsia" w:cs="Arial" w:hint="eastAsia"/>
          <w:szCs w:val="21"/>
        </w:rPr>
        <w:t>中期</w:t>
      </w:r>
      <w:r w:rsidRPr="00C41F72">
        <w:rPr>
          <w:rFonts w:asciiTheme="minorEastAsia" w:eastAsiaTheme="minorEastAsia" w:hAnsiTheme="minorEastAsia" w:cs="Arial" w:hint="eastAsia"/>
          <w:szCs w:val="21"/>
        </w:rPr>
        <w:t>报告或者年度报告之前及时向基金托管人提供基金业绩比较基准的基础数据和编制结果。</w:t>
      </w:r>
    </w:p>
    <w:p w:rsidR="00B05C84" w:rsidRPr="00C41F72" w:rsidRDefault="00B05C84" w:rsidP="00C41F72">
      <w:pPr>
        <w:pStyle w:val="a0"/>
        <w:adjustRightInd w:val="0"/>
        <w:snapToGrid w:val="0"/>
        <w:spacing w:line="360" w:lineRule="auto"/>
        <w:ind w:firstLineChars="0" w:firstLine="0"/>
        <w:rPr>
          <w:rFonts w:asciiTheme="minorEastAsia" w:eastAsia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86" w:name="_Toc124325893"/>
      <w:r w:rsidRPr="00C41F72">
        <w:rPr>
          <w:rFonts w:asciiTheme="minorEastAsia" w:eastAsiaTheme="minorEastAsia" w:hAnsiTheme="minorEastAsia" w:hint="eastAsia"/>
          <w:sz w:val="21"/>
          <w:szCs w:val="21"/>
        </w:rPr>
        <w:t>九、基金收益分配</w:t>
      </w:r>
      <w:bookmarkEnd w:id="86"/>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基金收益分配是指按规定将基金的可分配收益按基金份额进行比例分配。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（一）基金收益分配的原则</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基金收益分配应遵循下列原则：</w:t>
      </w:r>
    </w:p>
    <w:p w:rsidR="00B05C84" w:rsidRPr="00C41F72" w:rsidRDefault="00B05C84" w:rsidP="00C41F72">
      <w:pPr>
        <w:spacing w:line="360" w:lineRule="auto"/>
        <w:ind w:firstLineChars="225" w:firstLine="473"/>
        <w:rPr>
          <w:rFonts w:asciiTheme="minorEastAsia" w:hAnsiTheme="minorEastAsia" w:cs="Arial"/>
          <w:szCs w:val="21"/>
        </w:rPr>
      </w:pPr>
      <w:r w:rsidRPr="00C41F72">
        <w:rPr>
          <w:rFonts w:asciiTheme="minorEastAsia" w:hAnsiTheme="minorEastAsia" w:cs="Arial" w:hint="eastAsia"/>
          <w:szCs w:val="21"/>
        </w:rPr>
        <w:t>1.</w:t>
      </w:r>
      <w:r w:rsidRPr="00C41F72">
        <w:rPr>
          <w:rFonts w:asciiTheme="minorEastAsia" w:hAnsiTheme="minorEastAsia" w:cs="Arial"/>
          <w:bCs/>
          <w:szCs w:val="21"/>
        </w:rPr>
        <w:t>在符合有关基金分红条件的前提下，</w:t>
      </w:r>
      <w:r w:rsidRPr="00C41F72">
        <w:rPr>
          <w:rFonts w:asciiTheme="minorEastAsia" w:hAnsiTheme="minorEastAsia" w:cs="Arial" w:hint="eastAsia"/>
          <w:bCs/>
          <w:szCs w:val="21"/>
        </w:rPr>
        <w:t>具体分红方案见基金管理人根据基金运作情况届时不定期发布的相关分红公告</w:t>
      </w:r>
      <w:r w:rsidRPr="00C41F72">
        <w:rPr>
          <w:rFonts w:asciiTheme="minorEastAsia" w:hAnsiTheme="minorEastAsia" w:cs="Arial"/>
          <w:bCs/>
          <w:szCs w:val="21"/>
        </w:rPr>
        <w:t>，若《基金合同》生效不满3个月可不进行收益分配</w:t>
      </w:r>
      <w:r w:rsidRPr="00C41F72">
        <w:rPr>
          <w:rFonts w:asciiTheme="minorEastAsia" w:hAnsiTheme="minorEastAsia" w:cs="Arial" w:hint="eastAsia"/>
          <w:bCs/>
          <w:szCs w:val="21"/>
        </w:rPr>
        <w:t>；</w:t>
      </w:r>
    </w:p>
    <w:p w:rsidR="00B05C84" w:rsidRPr="00C41F72" w:rsidRDefault="00B05C84" w:rsidP="00C41F72">
      <w:pPr>
        <w:spacing w:line="360" w:lineRule="auto"/>
        <w:ind w:firstLineChars="225" w:firstLine="473"/>
        <w:rPr>
          <w:rFonts w:asciiTheme="minorEastAsia" w:hAnsiTheme="minorEastAsia" w:cs="Arial"/>
          <w:szCs w:val="21"/>
        </w:rPr>
      </w:pPr>
      <w:r w:rsidRPr="00C41F72">
        <w:rPr>
          <w:rFonts w:asciiTheme="minorEastAsia" w:hAnsiTheme="minorEastAsia" w:cs="Arial" w:hint="eastAsia"/>
          <w:szCs w:val="21"/>
        </w:rPr>
        <w:t>2.</w:t>
      </w:r>
      <w:r w:rsidRPr="00C41F72">
        <w:rPr>
          <w:rFonts w:asciiTheme="minorEastAsia" w:hAnsiTheme="minorEastAsia" w:cs="Arial"/>
          <w:szCs w:val="21"/>
        </w:rPr>
        <w:t>本基金收益分配方式分两种：现金分红与红利再投资，投资者可选择现金红利或将现金红利自动转为基金份额进行再投资；若投资者不选择，本基金默认的收益分配方式是现金分红；</w:t>
      </w:r>
    </w:p>
    <w:p w:rsidR="00B05C84" w:rsidRPr="00C41F72" w:rsidRDefault="00B05C84" w:rsidP="00C41F72">
      <w:pPr>
        <w:spacing w:line="360" w:lineRule="auto"/>
        <w:ind w:firstLineChars="225" w:firstLine="473"/>
        <w:rPr>
          <w:rFonts w:asciiTheme="minorEastAsia" w:hAnsiTheme="minorEastAsia" w:cs="Arial"/>
          <w:szCs w:val="21"/>
        </w:rPr>
      </w:pPr>
      <w:r w:rsidRPr="00C41F72">
        <w:rPr>
          <w:rFonts w:asciiTheme="minorEastAsia" w:hAnsiTheme="minorEastAsia" w:cs="Arial" w:hint="eastAsia"/>
          <w:szCs w:val="21"/>
        </w:rPr>
        <w:t>3.</w:t>
      </w:r>
      <w:r w:rsidRPr="00C41F72">
        <w:rPr>
          <w:rFonts w:asciiTheme="minorEastAsia" w:hAnsiTheme="minorEastAsia" w:cs="Arial"/>
          <w:szCs w:val="21"/>
        </w:rPr>
        <w:t>基金收益分配后基金份额净值不能低于面值</w:t>
      </w:r>
      <w:r w:rsidRPr="00C41F72">
        <w:rPr>
          <w:rFonts w:asciiTheme="minorEastAsia" w:hAnsiTheme="minorEastAsia" w:cs="Arial" w:hint="eastAsia"/>
          <w:szCs w:val="21"/>
        </w:rPr>
        <w:t>，</w:t>
      </w:r>
      <w:r w:rsidRPr="00C41F72">
        <w:rPr>
          <w:rFonts w:asciiTheme="minorEastAsia" w:hAnsiTheme="minorEastAsia" w:cs="Arial"/>
          <w:szCs w:val="21"/>
        </w:rPr>
        <w:t>即基金收益分配基准日的基金份额净值减去每单位基金份额收益分配金额后不能低于面值</w:t>
      </w:r>
      <w:r w:rsidRPr="00C41F72">
        <w:rPr>
          <w:rFonts w:asciiTheme="minorEastAsia" w:hAnsiTheme="minorEastAsia" w:cs="Arial" w:hint="eastAsia"/>
          <w:szCs w:val="21"/>
        </w:rPr>
        <w:t>；</w:t>
      </w:r>
    </w:p>
    <w:p w:rsidR="00B05C84" w:rsidRPr="00C41F72" w:rsidRDefault="00B05C84" w:rsidP="00C41F72">
      <w:pPr>
        <w:spacing w:line="360" w:lineRule="auto"/>
        <w:ind w:firstLineChars="225" w:firstLine="473"/>
        <w:rPr>
          <w:rFonts w:asciiTheme="minorEastAsia" w:hAnsiTheme="minorEastAsia" w:cs="Arial"/>
          <w:szCs w:val="21"/>
        </w:rPr>
      </w:pPr>
      <w:r w:rsidRPr="00C41F72">
        <w:rPr>
          <w:rFonts w:asciiTheme="minorEastAsia" w:hAnsiTheme="minorEastAsia" w:cs="Arial" w:hint="eastAsia"/>
          <w:szCs w:val="21"/>
        </w:rPr>
        <w:t>4.</w:t>
      </w:r>
      <w:r w:rsidRPr="00C41F72">
        <w:rPr>
          <w:rFonts w:asciiTheme="minorEastAsia" w:hAnsiTheme="minorEastAsia" w:cs="Arial"/>
          <w:szCs w:val="21"/>
        </w:rPr>
        <w:t>每一基金份额享有同等分配权；</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w:t>
      </w:r>
      <w:r w:rsidRPr="00C41F72">
        <w:rPr>
          <w:rFonts w:asciiTheme="minorEastAsia" w:hAnsiTheme="minorEastAsia" w:cs="Arial"/>
          <w:szCs w:val="21"/>
        </w:rPr>
        <w:t>法律法规或监管机关另有规定的，从其规定。</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（二）基金收益分配的时间和程序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本基金收益分配方案由基金管理人拟订，并由基金托管人复核，在2日内在</w:t>
      </w:r>
      <w:r w:rsidR="005A4CB9" w:rsidRPr="00C41F72">
        <w:rPr>
          <w:rFonts w:asciiTheme="minorEastAsia" w:hAnsiTheme="minorEastAsia" w:cs="Arial" w:hint="eastAsia"/>
          <w:szCs w:val="21"/>
        </w:rPr>
        <w:t>指定媒介</w:t>
      </w:r>
      <w:r w:rsidRPr="00C41F72">
        <w:rPr>
          <w:rFonts w:asciiTheme="minorEastAsia" w:hAnsiTheme="minorEastAsia" w:cs="Arial" w:hint="eastAsia"/>
          <w:szCs w:val="21"/>
        </w:rPr>
        <w:t>公告。</w:t>
      </w:r>
      <w:r w:rsidRPr="00C41F72">
        <w:rPr>
          <w:rFonts w:asciiTheme="minorEastAsia" w:hAnsiTheme="minorEastAsia" w:hint="eastAsia"/>
          <w:szCs w:val="21"/>
        </w:rPr>
        <w:t>基金红利发放日距离收益分配基准日（即可供分配利润计算截止日）的时间不得超过15个工作日。</w:t>
      </w:r>
      <w:r w:rsidRPr="00C41F72">
        <w:rPr>
          <w:rFonts w:asciiTheme="minorEastAsia" w:hAnsiTheme="minorEastAsia" w:cs="Arial" w:hint="eastAsia"/>
          <w:szCs w:val="21"/>
        </w:rPr>
        <w:t>基金收益分配方案公告后(依据具体方案的规定)，基金管理人就支付的现金红利向基金托管人发送划款指令，基金托管人按照基金管理人的指令及时进行分红资金的划付。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87" w:name="_Toc124325894"/>
      <w:r w:rsidRPr="00C41F72">
        <w:rPr>
          <w:rFonts w:asciiTheme="minorEastAsia" w:eastAsiaTheme="minorEastAsia" w:hAnsiTheme="minorEastAsia" w:hint="eastAsia"/>
          <w:sz w:val="21"/>
          <w:szCs w:val="21"/>
        </w:rPr>
        <w:t>十、基金信息披露</w:t>
      </w:r>
      <w:bookmarkEnd w:id="87"/>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（一）保密义务</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w:t>
      </w:r>
      <w:r w:rsidRPr="00C41F72">
        <w:rPr>
          <w:rFonts w:asciiTheme="minorEastAsia" w:hAnsiTheme="minorEastAsia" w:cs="Arial" w:hint="eastAsia"/>
          <w:szCs w:val="21"/>
        </w:rPr>
        <w:lastRenderedPageBreak/>
        <w:t>他有关规定进行信息披露外，基金管理人和基金托管人对基金运作中产生的信息以及从对方获得的业务信息应予保密。但是，如下情况不应视为基金管理人或基金托管人违反保密义务：</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1.非因基金管理人和基金托管人的原因导致保密信息被披露、泄露或公开；</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2.基金管理人和基金托管人为遵守和服从法院判决或裁定、仲裁裁决或中国证监会等监管机构的命令、决定所做出的信息披露或公开。</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（二）信息披露的内容</w:t>
      </w:r>
    </w:p>
    <w:p w:rsidR="00B05C84" w:rsidRPr="00C41F72" w:rsidRDefault="00B05C84" w:rsidP="008D57DF">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基金的信息披露内容主要包括基金招募说明书、</w:t>
      </w:r>
      <w:r w:rsidR="00B9427D" w:rsidRPr="00C41F72">
        <w:rPr>
          <w:rFonts w:asciiTheme="minorEastAsia" w:hAnsiTheme="minorEastAsia" w:cs="Arial" w:hint="eastAsia"/>
          <w:szCs w:val="21"/>
        </w:rPr>
        <w:t>基金产品资料概要、</w:t>
      </w:r>
      <w:r w:rsidRPr="00C41F72">
        <w:rPr>
          <w:rFonts w:asciiTheme="minorEastAsia" w:hAnsiTheme="minorEastAsia" w:cs="Arial" w:hint="eastAsia"/>
          <w:szCs w:val="21"/>
        </w:rPr>
        <w:t>《基金合同》、托管协议、基金份额发售公告、《基金合同》生效公告、</w:t>
      </w:r>
      <w:r w:rsidR="00B9427D" w:rsidRPr="00C41F72">
        <w:rPr>
          <w:rFonts w:asciiTheme="minorEastAsia" w:hAnsiTheme="minorEastAsia" w:cs="Arial" w:hint="eastAsia"/>
          <w:szCs w:val="21"/>
        </w:rPr>
        <w:t>基金净值信息</w:t>
      </w:r>
      <w:r w:rsidRPr="00C41F72">
        <w:rPr>
          <w:rFonts w:asciiTheme="minorEastAsia" w:hAnsiTheme="minorEastAsia" w:cs="Arial" w:hint="eastAsia"/>
          <w:szCs w:val="21"/>
        </w:rPr>
        <w:t>、基金份额申购、赎回价格、基金定期报告、包括基金</w:t>
      </w:r>
      <w:r w:rsidR="00B9427D" w:rsidRPr="00C41F72">
        <w:rPr>
          <w:rFonts w:asciiTheme="minorEastAsia" w:hAnsiTheme="minorEastAsia" w:cs="Arial" w:hint="eastAsia"/>
          <w:szCs w:val="21"/>
        </w:rPr>
        <w:t>季度报告、中期报告和年度报告</w:t>
      </w:r>
      <w:r w:rsidRPr="00C41F72">
        <w:rPr>
          <w:rFonts w:asciiTheme="minorEastAsia" w:hAnsiTheme="minorEastAsia" w:cs="Arial" w:hint="eastAsia"/>
          <w:szCs w:val="21"/>
        </w:rPr>
        <w:t>、临时报告、澄清公告、基金份额持有人大会决议、中国证监会规定的其他信息。基金年度报告需经具有从事证券</w:t>
      </w:r>
      <w:r w:rsidR="00B9427D" w:rsidRPr="00C41F72">
        <w:rPr>
          <w:rFonts w:asciiTheme="minorEastAsia" w:hAnsiTheme="minorEastAsia" w:cs="Arial" w:hint="eastAsia"/>
          <w:szCs w:val="21"/>
        </w:rPr>
        <w:t>、期货</w:t>
      </w:r>
      <w:r w:rsidRPr="00C41F72">
        <w:rPr>
          <w:rFonts w:asciiTheme="minorEastAsia" w:hAnsiTheme="minorEastAsia" w:cs="Arial" w:hint="eastAsia"/>
          <w:szCs w:val="21"/>
        </w:rPr>
        <w:t>相关业务资格的会计师事务所审计后，方可披露。</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（三）基金托管人和基金管理人在信息披露中的职责和信息披露程序</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1.职责</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对于不需要基金托管人复核的信息，基金管理人在公告前应告知基金托管人。</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基金管理人和基金托管人应积极配合、互相监督，保证其履行按照法定方式和限时披露的义务。</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w:t>
      </w:r>
      <w:r w:rsidR="00151F07" w:rsidRPr="00C41F72">
        <w:rPr>
          <w:rFonts w:asciiTheme="minorEastAsia" w:hAnsiTheme="minorEastAsia" w:cs="Arial" w:hint="eastAsia"/>
          <w:szCs w:val="21"/>
        </w:rPr>
        <w:t>报刊</w:t>
      </w:r>
      <w:r w:rsidRPr="00C41F72">
        <w:rPr>
          <w:rFonts w:asciiTheme="minorEastAsia" w:hAnsiTheme="minorEastAsia" w:cs="Arial" w:hint="eastAsia"/>
          <w:szCs w:val="21"/>
        </w:rPr>
        <w:t>或基金托管人的互联网网站</w:t>
      </w:r>
      <w:r w:rsidR="00B9427D" w:rsidRPr="00C41F72">
        <w:rPr>
          <w:rFonts w:asciiTheme="minorEastAsia" w:hAnsiTheme="minorEastAsia" w:cs="Arial" w:hint="eastAsia"/>
          <w:szCs w:val="21"/>
        </w:rPr>
        <w:t>等指定媒介</w:t>
      </w:r>
      <w:r w:rsidRPr="00C41F72">
        <w:rPr>
          <w:rFonts w:asciiTheme="minorEastAsia" w:hAnsiTheme="minorEastAsia" w:cs="Arial" w:hint="eastAsia"/>
          <w:szCs w:val="21"/>
        </w:rPr>
        <w:t>公开披露。</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当出现下述情况时，基金管理人和基金托管人可暂停或延迟披露基金相关信息：</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(1)不可抗力；</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(2)基金投资所涉及的证券交易市场遇法定节假日或因其他原因暂停营业时；(3)法律法规、《基金合同》或中国证监会规定的情况。</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2.程序</w:t>
      </w:r>
    </w:p>
    <w:p w:rsidR="00B05C84" w:rsidRPr="00C41F72" w:rsidRDefault="00B05C84"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w:t>
      </w:r>
      <w:r w:rsidRPr="00C41F72">
        <w:rPr>
          <w:rFonts w:asciiTheme="minorEastAsia" w:hAnsiTheme="minorEastAsia" w:cs="Arial" w:hint="eastAsia"/>
          <w:szCs w:val="21"/>
        </w:rPr>
        <w:lastRenderedPageBreak/>
        <w:t>定公布。</w:t>
      </w:r>
    </w:p>
    <w:p w:rsidR="00B05C84" w:rsidRPr="00C41F72" w:rsidRDefault="006951DC" w:rsidP="008D57DF">
      <w:pPr>
        <w:adjustRightInd w:val="0"/>
        <w:spacing w:line="360" w:lineRule="auto"/>
        <w:ind w:firstLineChars="200" w:firstLine="420"/>
        <w:rPr>
          <w:rFonts w:asciiTheme="minorEastAsia" w:hAnsiTheme="minorEastAsia" w:cs="Arial"/>
          <w:szCs w:val="21"/>
        </w:rPr>
      </w:pPr>
      <w:r w:rsidRPr="00C41F72">
        <w:rPr>
          <w:rFonts w:asciiTheme="minorEastAsia" w:hAnsiTheme="minorEastAsia" w:cs="Arial"/>
          <w:szCs w:val="21"/>
        </w:rPr>
        <w:t>3.信息文本的存放</w:t>
      </w:r>
    </w:p>
    <w:p w:rsidR="006951DC" w:rsidRPr="00C41F72" w:rsidRDefault="00B9427D" w:rsidP="008D57DF">
      <w:pPr>
        <w:pStyle w:val="a0"/>
        <w:spacing w:line="360" w:lineRule="auto"/>
        <w:rPr>
          <w:rFonts w:asciiTheme="minorEastAsia" w:eastAsiaTheme="minorEastAsia" w:hAnsiTheme="minorEastAsia" w:cs="Arial"/>
          <w:szCs w:val="21"/>
        </w:rPr>
      </w:pPr>
      <w:r w:rsidRPr="00C41F72">
        <w:rPr>
          <w:rFonts w:asciiTheme="minorEastAsia" w:eastAsiaTheme="minorEastAsia" w:hAnsiTheme="minorEastAsia" w:cs="Arial" w:hint="eastAsia"/>
          <w:szCs w:val="21"/>
        </w:rPr>
        <w:t>依法必须披露的信息发布后，基金管理人、基金托管人应当按照相关法律法规规定将信息置备于各自住所，</w:t>
      </w:r>
      <w:r w:rsidRPr="00C41F72">
        <w:rPr>
          <w:rFonts w:asciiTheme="minorEastAsia" w:eastAsiaTheme="minorEastAsia" w:hAnsiTheme="minorEastAsia" w:cs="Arial"/>
          <w:szCs w:val="21"/>
        </w:rPr>
        <w:t xml:space="preserve"> </w:t>
      </w:r>
      <w:r w:rsidRPr="00C41F72">
        <w:rPr>
          <w:rFonts w:asciiTheme="minorEastAsia" w:eastAsiaTheme="minorEastAsia" w:hAnsiTheme="minorEastAsia" w:cs="Arial" w:hint="eastAsia"/>
          <w:szCs w:val="21"/>
        </w:rPr>
        <w:t>供社会公众查阅、复制。</w:t>
      </w:r>
      <w:r w:rsidR="00B05C84" w:rsidRPr="00C41F72">
        <w:rPr>
          <w:rFonts w:asciiTheme="minorEastAsia" w:eastAsiaTheme="minorEastAsia" w:hAnsiTheme="minorEastAsia" w:cs="Arial" w:hint="eastAsia"/>
          <w:szCs w:val="21"/>
        </w:rPr>
        <w:t>基金管理人和基金托管人应保证文本的内容与所公告的内容完全一致。</w:t>
      </w:r>
    </w:p>
    <w:p w:rsidR="00B05C84" w:rsidRPr="00C41F72" w:rsidRDefault="00B05C84" w:rsidP="00C41F72">
      <w:pPr>
        <w:pStyle w:val="a0"/>
        <w:spacing w:line="360" w:lineRule="auto"/>
        <w:ind w:firstLineChars="0" w:firstLine="0"/>
        <w:rPr>
          <w:rFonts w:asciiTheme="minorEastAsia" w:eastAsia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88" w:name="_Toc124325895"/>
      <w:r w:rsidRPr="00C41F72">
        <w:rPr>
          <w:rFonts w:asciiTheme="minorEastAsia" w:eastAsiaTheme="minorEastAsia" w:hAnsiTheme="minorEastAsia" w:hint="eastAsia"/>
          <w:sz w:val="21"/>
          <w:szCs w:val="21"/>
        </w:rPr>
        <w:t>十一、基金费用</w:t>
      </w:r>
      <w:bookmarkEnd w:id="88"/>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（一）基金管理费的计提比例和计提方法</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本基金的管理费按前一日基金资产净值的1.5%年费率计提。管理费的计算方法如下：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H＝E×年管理费率÷当年天数</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H为每日应计提的基金管理费</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E为前一日的基金资产净值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（二）基金托管费的计提比例和计提方法</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本基金的托管费按前一日基金资产净值的0.25%年费率计提。托管费的计算方法如下：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H＝E×年托管费率÷当年天数</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H为每日应计提的基金托管费</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E为前一日的基金资产净值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（四）不列入基金费用的项目</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（五）基金管理费和基金托管费的调整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基金管理人和基金托管人可协商酌情降低基金管理费和基金托管费并履行适当程序后实施。基金管理人必须于新的费率实施前依照《信息披露办法》在</w:t>
      </w:r>
      <w:r w:rsidR="005A4CB9" w:rsidRPr="00C41F72">
        <w:rPr>
          <w:rFonts w:asciiTheme="minorEastAsia" w:hAnsiTheme="minorEastAsia" w:cs="Arial" w:hint="eastAsia"/>
          <w:szCs w:val="21"/>
        </w:rPr>
        <w:t>指定媒介</w:t>
      </w:r>
      <w:r w:rsidRPr="00C41F72">
        <w:rPr>
          <w:rFonts w:asciiTheme="minorEastAsia" w:hAnsiTheme="minorEastAsia" w:cs="Arial" w:hint="eastAsia"/>
          <w:szCs w:val="21"/>
        </w:rPr>
        <w:t>上刊登公告。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（六）基金管理费和基金托管费的复核程序、支付方式和时间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1.复核程序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基金托管人对基金管理人计提的基金管理费和基金托管费等，根据本托管协议和《基金合同》的有关规定进行复核。</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2.支付方式和时间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在首期支付基金管理费前，基金管理人应向托管人出具正式函件指定基金管理费的收款账户。基金管理人如需要变更此账户，应提前5个工作日向托管人出具书面的收款账户变更通知。</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（七）违规处理方式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89" w:name="_Toc124325896"/>
      <w:r w:rsidRPr="00C41F72">
        <w:rPr>
          <w:rFonts w:asciiTheme="minorEastAsia" w:eastAsiaTheme="minorEastAsia" w:hAnsiTheme="minorEastAsia" w:hint="eastAsia"/>
          <w:sz w:val="21"/>
          <w:szCs w:val="21"/>
        </w:rPr>
        <w:t>十二、基金份额持有人名册的保管</w:t>
      </w:r>
      <w:bookmarkEnd w:id="89"/>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在基金托管人要求或编制</w:t>
      </w:r>
      <w:r w:rsidR="008B66A9" w:rsidRPr="00C41F72">
        <w:rPr>
          <w:rFonts w:asciiTheme="minorEastAsia" w:hAnsiTheme="minorEastAsia" w:cs="Arial" w:hint="eastAsia"/>
          <w:szCs w:val="21"/>
        </w:rPr>
        <w:t>中期报告</w:t>
      </w:r>
      <w:r w:rsidRPr="00C41F72">
        <w:rPr>
          <w:rFonts w:asciiTheme="minorEastAsia" w:hAnsiTheme="minorEastAsia" w:cs="Arial" w:hint="eastAsia"/>
          <w:szCs w:val="21"/>
        </w:rPr>
        <w:t>和年报前，基金管理人应将有关资料送交基金托管人，不得无故拒绝或延误提供，并保证其真实性、准确性和完整性。</w:t>
      </w:r>
      <w:r w:rsidRPr="00C41F72">
        <w:rPr>
          <w:rFonts w:asciiTheme="minorEastAsia" w:hAnsiTheme="minorEastAsia" w:hint="eastAsia"/>
          <w:kern w:val="0"/>
          <w:szCs w:val="21"/>
        </w:rPr>
        <w:t>基金托管人不得将所保管的基金份额持有人名册用于基金托管业务以外的其他用途，并应遵守保密义务。</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0" w:name="_Toc124325897"/>
      <w:r w:rsidRPr="00C41F72">
        <w:rPr>
          <w:rFonts w:asciiTheme="minorEastAsia" w:eastAsiaTheme="minorEastAsia" w:hAnsiTheme="minorEastAsia" w:hint="eastAsia"/>
          <w:sz w:val="21"/>
          <w:szCs w:val="21"/>
        </w:rPr>
        <w:t>十三、基金有关文件档案的保存</w:t>
      </w:r>
      <w:bookmarkEnd w:id="90"/>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（一）档案保存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（二）合同档案的建立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1.基金管理人签署重大合同文本后，应及时将合同文本正本送达基金托管人处。</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2.基金管理人应及时将与本基金账务处理、资金划拨等有关的合同、协议传真基金托管人。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（三）变更与协助</w:t>
      </w:r>
    </w:p>
    <w:p w:rsidR="00B05C84" w:rsidRPr="00C41F72" w:rsidRDefault="00B05C84" w:rsidP="00C41F72">
      <w:pPr>
        <w:adjustRightInd w:val="0"/>
        <w:snapToGrid w:val="0"/>
        <w:spacing w:line="360" w:lineRule="auto"/>
        <w:ind w:firstLineChars="200" w:firstLine="420"/>
        <w:rPr>
          <w:rFonts w:asciiTheme="minorEastAsia" w:hAnsiTheme="minorEastAsia"/>
          <w:b/>
          <w:bCs/>
          <w:szCs w:val="21"/>
        </w:rPr>
      </w:pPr>
      <w:r w:rsidRPr="00C41F72">
        <w:rPr>
          <w:rFonts w:asciiTheme="minorEastAsia" w:hAnsiTheme="minorEastAsia" w:cs="Arial" w:hint="eastAsia"/>
          <w:szCs w:val="21"/>
        </w:rPr>
        <w:t>若基金管理人/基金托管人发生变更，未变更的一方有义务协助变更后的接任人接收相应文件。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（四）基金管理人和基金托管人应按各自职责完整保存原始凭证、记账凭证、基金账册、交易记录和重要合同等，承担保密义务并保存至少15年。</w:t>
      </w:r>
    </w:p>
    <w:p w:rsidR="00B05C84" w:rsidRPr="00C41F72" w:rsidRDefault="00B05C84" w:rsidP="00C41F72">
      <w:pPr>
        <w:adjustRightInd w:val="0"/>
        <w:snapToGrid w:val="0"/>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1" w:name="_Toc124325898"/>
      <w:r w:rsidRPr="00C41F72">
        <w:rPr>
          <w:rFonts w:asciiTheme="minorEastAsia" w:eastAsiaTheme="minorEastAsia" w:hAnsiTheme="minorEastAsia" w:hint="eastAsia"/>
          <w:sz w:val="21"/>
          <w:szCs w:val="21"/>
        </w:rPr>
        <w:t>十四、基金管理人和基金托管人的更换</w:t>
      </w:r>
      <w:bookmarkEnd w:id="91"/>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（一）基金管理人职责终止的情形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1.基金管理人职责终止的情形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有下列情形之一的，基金管理人职责终止：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(1)被依法取消基金管理资格；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(2)依法解散、被依法撤销或被依法宣告破产；</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(3)被基金份额持有人大会解任；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(4)法律法规及中国证监会规定的和《基金合同》约定的其他情形。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2.基金管理人的更换程序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更换基金管理人必须依照如下程序进行：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(1)提名：新任基金管理人由基金托管人</w:t>
      </w:r>
      <w:r w:rsidRPr="00C41F72">
        <w:rPr>
          <w:rFonts w:asciiTheme="minorEastAsia" w:hAnsiTheme="minorEastAsia" w:hint="eastAsia"/>
          <w:szCs w:val="21"/>
        </w:rPr>
        <w:t>或由单独或合计持有10%以上(含10%)基金份额的基金份额持有人</w:t>
      </w:r>
      <w:r w:rsidRPr="00C41F72">
        <w:rPr>
          <w:rFonts w:asciiTheme="minorEastAsia" w:hAnsiTheme="minorEastAsia" w:cs="Arial" w:hint="eastAsia"/>
          <w:szCs w:val="21"/>
        </w:rPr>
        <w:t>提名；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(3)临时基金管理人：新任基金管理人产生之前，由中国证监会指定临时基金管理人；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(4)备案：基金份额持有人大会选任基金管理人的决议须报中国证监会备案；</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(5)公告：基金管理人更换后，由基金托管人在更换基金管理人的基金份额持有人大会决议生效后2日内在指定媒介公告；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Pr="00C41F72">
        <w:rPr>
          <w:rFonts w:asciiTheme="minorEastAsia" w:hAnsiTheme="minorEastAsia" w:cs="Arial" w:hint="eastAsia"/>
          <w:bCs/>
          <w:szCs w:val="21"/>
        </w:rPr>
        <w:t>，审计费用从基金财产中列支</w:t>
      </w:r>
      <w:r w:rsidRPr="00C41F72">
        <w:rPr>
          <w:rFonts w:asciiTheme="minorEastAsia" w:hAnsiTheme="minorEastAsia" w:cs="Arial" w:hint="eastAsia"/>
          <w:szCs w:val="21"/>
        </w:rPr>
        <w:t>；</w:t>
      </w:r>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(8)基金名称变更：基金管理人更换后，如果原任或新任基金管理人要求，应按其要求替换或删除基金名称中与原基金管理人有关的名称字样。</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（二）基金托管人职责终止的情形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1.基金托管人职责终止的情形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有下列情形之一的，基金托管人职责终止：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(1)被依法取消基金托管资格；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(2)依法解散、被依法撤销或被依法宣告破产；</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(3)被基金份额持有人大会解任；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(4)法律法规及中国证监会规定的和《基金合同》约定的其他情形。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2.基金托管人的更换程序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(1)提名：新任基金托管人由基金管理人</w:t>
      </w:r>
      <w:r w:rsidRPr="00C41F72">
        <w:rPr>
          <w:rFonts w:asciiTheme="minorEastAsia" w:hAnsiTheme="minorEastAsia" w:hint="eastAsia"/>
          <w:szCs w:val="21"/>
        </w:rPr>
        <w:t>或由单独或合计持有10%以上(含10%)基金份额的基金份额持有人</w:t>
      </w:r>
      <w:r w:rsidRPr="00C41F72">
        <w:rPr>
          <w:rFonts w:asciiTheme="minorEastAsia" w:hAnsiTheme="minorEastAsia" w:cs="Arial" w:hint="eastAsia"/>
          <w:szCs w:val="21"/>
        </w:rPr>
        <w:t>提名；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(3)临时基金托管人：新任基金托管人产生之前，由中国证监会指定临时基金托管人；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(4)备案：基金份额持有人大会更换基金托管人的决议须报中国证监会备案；</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(5)公告：基金托管人更换后，由基金管理人在更换基金托管人的基金份额持有人大会决议生效后 2日内在指定媒介公告；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Pr="00C41F72">
        <w:rPr>
          <w:rFonts w:asciiTheme="minorEastAsia" w:hAnsiTheme="minorEastAsia" w:cs="Arial" w:hint="eastAsia"/>
          <w:bCs/>
          <w:szCs w:val="21"/>
        </w:rPr>
        <w:t>审计费用从基金财产中列支</w:t>
      </w:r>
      <w:r w:rsidRPr="00C41F72">
        <w:rPr>
          <w:rFonts w:asciiTheme="minorEastAsia" w:hAnsiTheme="minorEastAsia" w:cs="Arial" w:hint="eastAsia"/>
          <w:szCs w:val="21"/>
        </w:rPr>
        <w:t>。</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（三）基金管理人与基金托管人同时更换的条件和程序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2.基金管理人和基金托管人的更换分别按上述程序进行；</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3.公告：新任或临时基金管理人和新任或临时基金托管人应在更换基金管理人和基金托管人的基金份额持有人大会决议生效后2日内在指定媒介上联合公告。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2" w:name="_Toc124325899"/>
      <w:r w:rsidRPr="00C41F72">
        <w:rPr>
          <w:rFonts w:asciiTheme="minorEastAsia" w:eastAsiaTheme="minorEastAsia" w:hAnsiTheme="minorEastAsia" w:hint="eastAsia"/>
          <w:sz w:val="21"/>
          <w:szCs w:val="21"/>
        </w:rPr>
        <w:t>十五、禁止行为</w:t>
      </w:r>
      <w:bookmarkEnd w:id="92"/>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本协议当事人禁止从事的行为，包括但不限于：</w:t>
      </w:r>
    </w:p>
    <w:p w:rsidR="00B05C84" w:rsidRPr="00C41F72" w:rsidRDefault="00B05C84" w:rsidP="00C41F72">
      <w:pPr>
        <w:spacing w:line="360" w:lineRule="auto"/>
        <w:ind w:firstLineChars="200" w:firstLine="420"/>
        <w:rPr>
          <w:rFonts w:asciiTheme="minorEastAsia" w:hAnsiTheme="minorEastAsia"/>
          <w:szCs w:val="21"/>
        </w:rPr>
      </w:pPr>
      <w:r w:rsidRPr="00C41F72">
        <w:rPr>
          <w:rFonts w:asciiTheme="minorEastAsia" w:hAnsiTheme="minorEastAsia" w:hint="eastAsia"/>
          <w:szCs w:val="21"/>
        </w:rPr>
        <w:lastRenderedPageBreak/>
        <w:t>（一）基金管理人、基金托管人将其固有财产或者他人财产混同于基金财产从事证券投资。</w:t>
      </w:r>
    </w:p>
    <w:p w:rsidR="00B05C84" w:rsidRPr="00C41F72" w:rsidRDefault="00B05C84" w:rsidP="00C41F72">
      <w:pPr>
        <w:spacing w:line="360" w:lineRule="auto"/>
        <w:ind w:firstLineChars="200" w:firstLine="420"/>
        <w:rPr>
          <w:rFonts w:asciiTheme="minorEastAsia" w:hAnsiTheme="minorEastAsia"/>
          <w:szCs w:val="21"/>
        </w:rPr>
      </w:pPr>
      <w:r w:rsidRPr="00C41F72">
        <w:rPr>
          <w:rFonts w:asciiTheme="minorEastAsia" w:hAnsiTheme="minorEastAsia" w:hint="eastAsia"/>
          <w:szCs w:val="21"/>
        </w:rPr>
        <w:t>（二）基金管理人不公平地对待其管理的不同基金财产，基金托管人不公平地对待其托管的不同基金财产。</w:t>
      </w:r>
    </w:p>
    <w:p w:rsidR="00B05C84" w:rsidRPr="00C41F72" w:rsidRDefault="00B05C84" w:rsidP="00C41F72">
      <w:pPr>
        <w:spacing w:line="360" w:lineRule="auto"/>
        <w:ind w:firstLineChars="200" w:firstLine="420"/>
        <w:rPr>
          <w:rFonts w:asciiTheme="minorEastAsia" w:hAnsiTheme="minorEastAsia"/>
          <w:szCs w:val="21"/>
        </w:rPr>
      </w:pPr>
      <w:r w:rsidRPr="00C41F72">
        <w:rPr>
          <w:rFonts w:asciiTheme="minorEastAsia" w:hAnsiTheme="minorEastAsia" w:hint="eastAsia"/>
          <w:szCs w:val="21"/>
        </w:rPr>
        <w:t>（三）基金管理人、基金托管人利用基金财产为基金份额持有人以外的第三人牟取利益。</w:t>
      </w:r>
    </w:p>
    <w:p w:rsidR="00B05C84" w:rsidRPr="00C41F72" w:rsidRDefault="00B05C84" w:rsidP="00C41F72">
      <w:pPr>
        <w:spacing w:line="360" w:lineRule="auto"/>
        <w:ind w:firstLineChars="200" w:firstLine="420"/>
        <w:rPr>
          <w:rFonts w:asciiTheme="minorEastAsia" w:hAnsiTheme="minorEastAsia"/>
          <w:szCs w:val="21"/>
        </w:rPr>
      </w:pPr>
      <w:r w:rsidRPr="00C41F72">
        <w:rPr>
          <w:rFonts w:asciiTheme="minorEastAsia" w:hAnsiTheme="minorEastAsia" w:hint="eastAsia"/>
          <w:szCs w:val="21"/>
        </w:rPr>
        <w:t>（四）基金管理人、基金托管人向基金份额持有人违规承诺收益或者承担损失。</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（五）基金管理人、基金托管人对他人泄漏基金运作和管理过程中任何尚未按法律法规规定的方式公开披露的信息。</w:t>
      </w:r>
    </w:p>
    <w:p w:rsidR="00B05C84" w:rsidRPr="00C41F72" w:rsidRDefault="00B05C84" w:rsidP="00C41F72">
      <w:pPr>
        <w:pStyle w:val="ab"/>
        <w:spacing w:line="360" w:lineRule="auto"/>
        <w:ind w:firstLine="420"/>
        <w:rPr>
          <w:rFonts w:asciiTheme="minorEastAsia" w:eastAsiaTheme="minorEastAsia" w:hAnsiTheme="minorEastAsia" w:cs="Arial"/>
          <w:sz w:val="21"/>
          <w:szCs w:val="21"/>
        </w:rPr>
      </w:pPr>
      <w:r w:rsidRPr="00C41F72">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（七）基金管理人、基金托管人在行政上、财务上不独立, 其高级管理人员和其他从业人员相互兼职。</w:t>
      </w:r>
    </w:p>
    <w:p w:rsidR="00B05C84" w:rsidRPr="00C41F72" w:rsidRDefault="00B05C84" w:rsidP="00C41F72">
      <w:pPr>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（八）基金托管人私自动用或处分基金财产，根据基金管理人的合法指令、《基金合同》或托管协议的规定进行处分的除外。</w:t>
      </w:r>
    </w:p>
    <w:p w:rsidR="00B05C84" w:rsidRPr="00C41F72" w:rsidRDefault="00B05C84" w:rsidP="00C41F72">
      <w:pPr>
        <w:spacing w:line="360" w:lineRule="auto"/>
        <w:ind w:firstLineChars="200" w:firstLine="420"/>
        <w:rPr>
          <w:rFonts w:asciiTheme="minorEastAsia" w:hAnsiTheme="minorEastAsia" w:cs="Arial"/>
          <w:szCs w:val="21"/>
        </w:rPr>
      </w:pPr>
      <w:r w:rsidRPr="00C41F72">
        <w:rPr>
          <w:rFonts w:asciiTheme="minorEastAsia" w:hAnsiTheme="minorEastAsia" w:hint="eastAsia"/>
          <w:szCs w:val="21"/>
        </w:rPr>
        <w:t>（九）</w:t>
      </w:r>
      <w:r w:rsidRPr="00C41F72">
        <w:rPr>
          <w:rFonts w:asciiTheme="minorEastAsia" w:hAnsiTheme="minorEastAsia" w:cs="Arial" w:hint="eastAsia"/>
          <w:szCs w:val="21"/>
        </w:rPr>
        <w:t>基金财产</w:t>
      </w:r>
      <w:r w:rsidRPr="00C41F72">
        <w:rPr>
          <w:rFonts w:asciiTheme="minorEastAsia" w:hAnsiTheme="minorEastAsia" w:hint="eastAsia"/>
          <w:szCs w:val="21"/>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C41F72">
        <w:rPr>
          <w:rFonts w:asciiTheme="minorEastAsia" w:hAnsiTheme="minorEastAsia" w:cs="Arial" w:hint="eastAsia"/>
          <w:szCs w:val="21"/>
        </w:rPr>
        <w:t>法律法规或监管部门取消上述限制，如适用于本基金，则本基金投资不再受相关限制</w:t>
      </w:r>
      <w:r w:rsidRPr="00C41F72">
        <w:rPr>
          <w:rFonts w:asciiTheme="minorEastAsia" w:hAnsiTheme="minorEastAsia" w:hint="eastAsia"/>
          <w:szCs w:val="21"/>
        </w:rPr>
        <w:t>。</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（十）法律法规和《基金合同》禁止的其他行为，以及</w:t>
      </w:r>
      <w:r w:rsidRPr="00C41F72">
        <w:rPr>
          <w:rFonts w:asciiTheme="minorEastAsia" w:hAnsiTheme="minorEastAsia" w:hint="eastAsia"/>
          <w:szCs w:val="21"/>
        </w:rPr>
        <w:t>依照法律、行政法规有关规定，由国务院证券监督管理机构规定禁止基金管理人、基金托管人从事的其他行为。</w:t>
      </w:r>
    </w:p>
    <w:p w:rsidR="00B05C84" w:rsidRPr="00C41F72" w:rsidRDefault="00B05C84" w:rsidP="00C41F72">
      <w:pPr>
        <w:adjustRightInd w:val="0"/>
        <w:snapToGrid w:val="0"/>
        <w:spacing w:line="360" w:lineRule="auto"/>
        <w:rPr>
          <w:rFonts w:asciiTheme="minorEastAsia" w:hAnsiTheme="minorEastAsia"/>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3" w:name="_Toc124325900"/>
      <w:r w:rsidRPr="00C41F72">
        <w:rPr>
          <w:rFonts w:asciiTheme="minorEastAsia" w:eastAsiaTheme="minorEastAsia" w:hAnsiTheme="minorEastAsia" w:hint="eastAsia"/>
          <w:sz w:val="21"/>
          <w:szCs w:val="21"/>
        </w:rPr>
        <w:t>十六、托管协议的变更、终止与基金财产的清算</w:t>
      </w:r>
      <w:bookmarkEnd w:id="93"/>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（一）托管协议的变更程序</w:t>
      </w:r>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本协议双方当事人经协商一致，可以对协议进行修改。修改后的新协议，其内容不得与《基金合同》的规定有任何冲突。基金托管协议的变更报中国证监会备案后生效。</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（二）托管协议终止的情形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1.《基金合同》终止；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2.基金托管人解散、依法被撤销、破产或由其他基金托管人接管基金资产；</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3.基金管理人解散、依法被撤销、破产或由其他基金管理人接管基金管理权；</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lastRenderedPageBreak/>
        <w:t>4.发生法律法规或《基金合同》规定的终止事项。</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（三）基金财产的清算</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2.基金财产清算小组组成：基金财产清算小组成员由基金管理人、基金托管人、具有从事证券</w:t>
      </w:r>
      <w:r w:rsidR="00151F07" w:rsidRPr="00C41F72">
        <w:rPr>
          <w:rFonts w:asciiTheme="minorEastAsia" w:hAnsiTheme="minorEastAsia" w:cs="Arial" w:hint="eastAsia"/>
          <w:szCs w:val="21"/>
        </w:rPr>
        <w:t>、期货</w:t>
      </w:r>
      <w:r w:rsidRPr="00C41F72">
        <w:rPr>
          <w:rFonts w:asciiTheme="minorEastAsia" w:hAnsiTheme="minorEastAsia" w:cs="Arial" w:hint="eastAsia"/>
          <w:szCs w:val="21"/>
        </w:rPr>
        <w:t>相关业务资格的注册会计师、律师以及中国证监会指定的人员组成。基金财产清算小组可以聘用必要的工作人员。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3.基金财产清算小组职责：基金财产清算小组负责基金财产的保管、清理、估价、变现和分配。基金财产清算小组可以依法进行必要的民事活动。</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4.基金财产清算程序：</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(1)《基金合同》终止情形出现时，由基金财产清算小组统一接管基金；</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(2)对基金财产和债权债务进行清理和确认；</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(3)对基金财产进行估值和变现；</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(4)制作清算报告；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(5)聘请会计师事务所对清算报告进行外部审计，聘请律师事务所对清算报告出具法律意见书；</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(6)将清算报告报中国证监会备案并公告；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(7)对基金剩余财产进行分配。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5.基金财产清算的期限为6个月，但因本基金所持证券的流动性受到限制而不能及时变现的，清算期限相应顺延。</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6.清算费用</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清算费用是指基金财产清算小组在进行基金清算过程中发生的所有合理费用，清算费用由基金财产清算小组优先从基金财产中支付。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7.基金财产清算剩余资产的分配：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8.基金财产清算的公告</w:t>
      </w:r>
    </w:p>
    <w:p w:rsidR="006951DC" w:rsidRPr="00C41F72" w:rsidRDefault="00B9427D"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C41F72">
        <w:rPr>
          <w:rFonts w:asciiTheme="minorEastAsia" w:hAnsiTheme="minorEastAsia" w:cs="Arial"/>
          <w:szCs w:val="21"/>
        </w:rPr>
        <w:t>5个工作日内由基金财产清算小组进行公告，基金财产清算小组应当将清算报告登载在指定网站上，并将清算报告提示性公告登载在指定报刊上。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9.基金财产清算账册及文件的保存</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基金财产清算账册及有关文件由基金托管人保存至少15年。</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4" w:name="_Toc124325901"/>
      <w:r w:rsidRPr="00C41F72">
        <w:rPr>
          <w:rFonts w:asciiTheme="minorEastAsia" w:eastAsiaTheme="minorEastAsia" w:hAnsiTheme="minorEastAsia" w:hint="eastAsia"/>
          <w:sz w:val="21"/>
          <w:szCs w:val="21"/>
        </w:rPr>
        <w:t>十七、违约责任</w:t>
      </w:r>
      <w:bookmarkEnd w:id="94"/>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（一）基金管理人、基金托管人不履行本协议或履行本协议不符合约定的，应当承担违约责任。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95" w:name="_GoBack"/>
      <w:bookmarkEnd w:id="95"/>
      <w:r w:rsidRPr="00C41F72">
        <w:rPr>
          <w:rFonts w:asciiTheme="minorEastAsia" w:hAnsiTheme="minorEastAsia" w:cs="Arial" w:hint="eastAsia"/>
          <w:szCs w:val="21"/>
        </w:rPr>
        <w:t>免责：</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1.不可抗力；</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2.基金管理人、基金托管人按照当时有效的法律法规或中国证监会的规定作为或不作为而造成的损失等；</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3.基金管理人由于按照《基金合同》规定的投资原则投资或不投资造成的直接损失或潜在损失等；</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6" w:name="_Toc124325902"/>
      <w:r w:rsidRPr="00C41F72">
        <w:rPr>
          <w:rFonts w:asciiTheme="minorEastAsia" w:eastAsiaTheme="minorEastAsia" w:hAnsiTheme="minorEastAsia" w:hint="eastAsia"/>
          <w:sz w:val="21"/>
          <w:szCs w:val="21"/>
        </w:rPr>
        <w:t>十八、争议解决方式</w:t>
      </w:r>
      <w:bookmarkEnd w:id="96"/>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w:t>
      </w:r>
      <w:r w:rsidRPr="00C41F72">
        <w:rPr>
          <w:rFonts w:asciiTheme="minorEastAsia" w:hAnsiTheme="minorEastAsia" w:cs="Arial" w:hint="eastAsia"/>
          <w:szCs w:val="21"/>
        </w:rPr>
        <w:lastRenderedPageBreak/>
        <w:t>照中国国际经济贸易仲裁委员会届时有效的仲裁规则进行仲裁。仲裁裁决是终局的，对当事人均有约束力，仲裁费用由败诉方承担。</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本协议受中国法律</w:t>
      </w:r>
      <w:r w:rsidRPr="00C41F72">
        <w:rPr>
          <w:rFonts w:asciiTheme="minorEastAsia" w:hAnsiTheme="minorEastAsia" w:cs="Arial" w:hint="eastAsia"/>
          <w:bCs/>
          <w:szCs w:val="21"/>
        </w:rPr>
        <w:t>（为本基金之目的，不包括香港、澳门特别行政区和台湾地区）</w:t>
      </w:r>
      <w:r w:rsidRPr="00C41F72">
        <w:rPr>
          <w:rFonts w:asciiTheme="minorEastAsia" w:hAnsiTheme="minorEastAsia" w:cs="Arial" w:hint="eastAsia"/>
          <w:szCs w:val="21"/>
        </w:rPr>
        <w:t>管辖。</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7" w:name="_Toc124325903"/>
      <w:r w:rsidRPr="00C41F72">
        <w:rPr>
          <w:rFonts w:asciiTheme="minorEastAsia" w:eastAsiaTheme="minorEastAsia" w:hAnsiTheme="minorEastAsia" w:hint="eastAsia"/>
          <w:sz w:val="21"/>
          <w:szCs w:val="21"/>
        </w:rPr>
        <w:t>十九、托管协议的效力</w:t>
      </w:r>
      <w:bookmarkEnd w:id="97"/>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双方对托管协议的效力约定如下：</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（三）托管协议自生效之日起对托管协议当事人具有同等的法律约束力。</w:t>
      </w:r>
    </w:p>
    <w:p w:rsidR="00B05C84" w:rsidRPr="00C41F72" w:rsidRDefault="00B05C84" w:rsidP="00C41F72">
      <w:pPr>
        <w:adjustRightInd w:val="0"/>
        <w:snapToGrid w:val="0"/>
        <w:spacing w:line="360" w:lineRule="auto"/>
        <w:ind w:firstLineChars="200" w:firstLine="420"/>
        <w:rPr>
          <w:rFonts w:asciiTheme="minorEastAsia" w:hAnsiTheme="minorEastAsia"/>
          <w:szCs w:val="21"/>
        </w:rPr>
      </w:pPr>
      <w:r w:rsidRPr="00C41F72">
        <w:rPr>
          <w:rFonts w:asciiTheme="minorEastAsia" w:hAnsiTheme="minorEastAsia" w:cs="Arial" w:hint="eastAsia"/>
          <w:szCs w:val="21"/>
        </w:rPr>
        <w:t>（四）本协议一式六份，协议双方各持二份，上报监管机构二份，每份具有同等的法律效力。</w:t>
      </w:r>
    </w:p>
    <w:p w:rsidR="00B05C84" w:rsidRPr="00C41F72" w:rsidRDefault="00B05C84" w:rsidP="00C41F72">
      <w:pPr>
        <w:adjustRightInd w:val="0"/>
        <w:snapToGrid w:val="0"/>
        <w:spacing w:line="360" w:lineRule="auto"/>
        <w:rPr>
          <w:rFonts w:asciiTheme="minorEastAsia" w:hAnsiTheme="minorEastAsia" w:cs="Arial"/>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8" w:name="_Toc124325904"/>
      <w:r w:rsidRPr="00C41F72">
        <w:rPr>
          <w:rFonts w:asciiTheme="minorEastAsia" w:eastAsiaTheme="minorEastAsia" w:hAnsiTheme="minorEastAsia" w:hint="eastAsia"/>
          <w:sz w:val="21"/>
          <w:szCs w:val="21"/>
        </w:rPr>
        <w:t>二十、其他事项</w:t>
      </w:r>
      <w:bookmarkEnd w:id="98"/>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如发生有权司法机关依法冻结基金份额持有人的基金份额时，基金管理人应予以配合，承担司法协助义务。</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除本协议有明确定义外，本协议的用语定义适用《基金合同》的约定。本协议未尽事宜，当事人依据《基金合同》、有关法律法规等规定协商办理。</w:t>
      </w:r>
    </w:p>
    <w:p w:rsidR="00B05C84" w:rsidRPr="00C41F72" w:rsidRDefault="00B05C84" w:rsidP="00C41F72">
      <w:pPr>
        <w:adjustRightInd w:val="0"/>
        <w:snapToGrid w:val="0"/>
        <w:spacing w:line="360" w:lineRule="auto"/>
        <w:rPr>
          <w:rFonts w:asciiTheme="minorEastAsia" w:hAnsiTheme="minorEastAsia"/>
          <w:b/>
          <w:bCs/>
          <w:szCs w:val="21"/>
        </w:rPr>
      </w:pPr>
    </w:p>
    <w:p w:rsidR="00B05C84" w:rsidRPr="00C41F72" w:rsidRDefault="00B05C84" w:rsidP="00C41F72">
      <w:pPr>
        <w:pStyle w:val="2"/>
        <w:spacing w:line="360" w:lineRule="auto"/>
        <w:jc w:val="center"/>
        <w:rPr>
          <w:rFonts w:asciiTheme="minorEastAsia" w:eastAsiaTheme="minorEastAsia" w:hAnsiTheme="minorEastAsia"/>
          <w:sz w:val="21"/>
          <w:szCs w:val="21"/>
        </w:rPr>
      </w:pPr>
      <w:bookmarkStart w:id="99" w:name="_Toc124325905"/>
      <w:r w:rsidRPr="00C41F72">
        <w:rPr>
          <w:rFonts w:asciiTheme="minorEastAsia" w:eastAsiaTheme="minorEastAsia" w:hAnsiTheme="minorEastAsia" w:hint="eastAsia"/>
          <w:sz w:val="21"/>
          <w:szCs w:val="21"/>
        </w:rPr>
        <w:t>二十一、托管协议的签订</w:t>
      </w:r>
      <w:bookmarkEnd w:id="99"/>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pPr>
      <w:r w:rsidRPr="00C41F72">
        <w:rPr>
          <w:rFonts w:asciiTheme="minorEastAsia" w:hAnsiTheme="minorEastAsia" w:cs="Arial" w:hint="eastAsia"/>
          <w:szCs w:val="21"/>
        </w:rPr>
        <w:t>本协议双方法定代表人或授权代表签章、签订地、签订日</w:t>
      </w:r>
    </w:p>
    <w:p w:rsidR="00B05C84" w:rsidRPr="00C41F72" w:rsidRDefault="00B05C84" w:rsidP="00C41F72">
      <w:pPr>
        <w:adjustRightInd w:val="0"/>
        <w:snapToGrid w:val="0"/>
        <w:spacing w:line="360" w:lineRule="auto"/>
        <w:ind w:firstLineChars="200" w:firstLine="420"/>
        <w:rPr>
          <w:rFonts w:asciiTheme="minorEastAsia" w:hAnsiTheme="minorEastAsia" w:cs="Arial"/>
          <w:szCs w:val="21"/>
        </w:rPr>
        <w:sectPr w:rsidR="00B05C84" w:rsidRPr="00C41F72">
          <w:headerReference w:type="default" r:id="rId9"/>
          <w:pgSz w:w="11906" w:h="16838" w:code="9"/>
          <w:pgMar w:top="1418" w:right="1701" w:bottom="1418" w:left="1701" w:header="851" w:footer="992" w:gutter="0"/>
          <w:cols w:space="425"/>
          <w:docGrid w:type="lines" w:linePitch="312"/>
        </w:sectPr>
      </w:pPr>
    </w:p>
    <w:p w:rsidR="00B05C84" w:rsidRPr="00C41F72" w:rsidRDefault="00B05C84" w:rsidP="00C41F72">
      <w:pPr>
        <w:spacing w:line="360" w:lineRule="auto"/>
        <w:ind w:right="26"/>
        <w:rPr>
          <w:rFonts w:asciiTheme="minorEastAsia" w:hAnsiTheme="minorEastAsia"/>
          <w:szCs w:val="21"/>
        </w:rPr>
      </w:pPr>
      <w:r w:rsidRPr="00C41F72">
        <w:rPr>
          <w:rFonts w:asciiTheme="minorEastAsia" w:hAnsiTheme="minorEastAsia" w:hint="eastAsia"/>
          <w:szCs w:val="21"/>
        </w:rPr>
        <w:lastRenderedPageBreak/>
        <w:t>本页无正文，为《</w:t>
      </w:r>
      <w:r w:rsidR="001F3560" w:rsidRPr="00C41F72">
        <w:rPr>
          <w:rFonts w:asciiTheme="minorEastAsia" w:hAnsiTheme="minorEastAsia" w:hint="eastAsia"/>
          <w:szCs w:val="21"/>
        </w:rPr>
        <w:t>长城量化小盘股票型证券投资基金</w:t>
      </w:r>
      <w:r w:rsidRPr="00C41F72">
        <w:rPr>
          <w:rFonts w:asciiTheme="minorEastAsia" w:hAnsiTheme="minorEastAsia" w:hint="eastAsia"/>
          <w:szCs w:val="21"/>
        </w:rPr>
        <w:t>托管协议》的签字盖章页。</w:t>
      </w: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spacing w:line="360" w:lineRule="auto"/>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r w:rsidRPr="00C41F72">
        <w:rPr>
          <w:rFonts w:asciiTheme="minorEastAsia" w:hAnsiTheme="minorEastAsia" w:hint="eastAsia"/>
          <w:szCs w:val="21"/>
        </w:rPr>
        <w:t>基金管理人：长城基金管理有限公司（盖章）</w:t>
      </w: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r w:rsidRPr="00C41F72">
        <w:rPr>
          <w:rFonts w:asciiTheme="minorEastAsia" w:hAnsiTheme="minorEastAsia" w:hint="eastAsia"/>
          <w:szCs w:val="21"/>
        </w:rPr>
        <w:t xml:space="preserve">法定代表人或授权代表：                   </w:t>
      </w: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r w:rsidRPr="00C41F72">
        <w:rPr>
          <w:rFonts w:asciiTheme="minorEastAsia" w:hAnsiTheme="minorEastAsia" w:hint="eastAsia"/>
          <w:szCs w:val="21"/>
        </w:rPr>
        <w:t>基金托管人：中国建设银行股份有限公司（盖章）</w:t>
      </w: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p>
    <w:p w:rsidR="00B05C84" w:rsidRPr="00C41F72" w:rsidRDefault="00B05C84" w:rsidP="00C41F72">
      <w:pPr>
        <w:spacing w:line="360" w:lineRule="auto"/>
        <w:ind w:right="26"/>
        <w:rPr>
          <w:rFonts w:asciiTheme="minorEastAsia" w:hAnsiTheme="minorEastAsia"/>
          <w:szCs w:val="21"/>
        </w:rPr>
      </w:pPr>
      <w:r w:rsidRPr="00C41F72">
        <w:rPr>
          <w:rFonts w:asciiTheme="minorEastAsia" w:hAnsiTheme="minorEastAsia" w:hint="eastAsia"/>
          <w:szCs w:val="21"/>
        </w:rPr>
        <w:t xml:space="preserve">法定代表人或授权代表：                   </w:t>
      </w:r>
    </w:p>
    <w:p w:rsidR="00B05C84" w:rsidRPr="00C41F72" w:rsidRDefault="00B05C84" w:rsidP="00C41F72">
      <w:pPr>
        <w:spacing w:line="360" w:lineRule="auto"/>
        <w:ind w:right="26"/>
        <w:rPr>
          <w:rFonts w:asciiTheme="minorEastAsia" w:hAnsiTheme="minorEastAsia"/>
          <w:b/>
          <w:szCs w:val="21"/>
        </w:rPr>
      </w:pPr>
    </w:p>
    <w:p w:rsidR="00B05C84" w:rsidRPr="00C41F72" w:rsidRDefault="00B05C84" w:rsidP="00C41F72">
      <w:pPr>
        <w:spacing w:line="360" w:lineRule="auto"/>
        <w:ind w:right="26"/>
        <w:rPr>
          <w:rFonts w:asciiTheme="minorEastAsia" w:hAnsiTheme="minorEastAsia"/>
          <w:b/>
          <w:szCs w:val="21"/>
        </w:rPr>
      </w:pPr>
    </w:p>
    <w:p w:rsidR="004D191F" w:rsidRPr="00C41F72" w:rsidRDefault="004D191F" w:rsidP="00C41F72">
      <w:pPr>
        <w:spacing w:line="360" w:lineRule="auto"/>
        <w:ind w:right="26"/>
        <w:rPr>
          <w:rFonts w:asciiTheme="minorEastAsia" w:hAnsiTheme="minorEastAsia"/>
          <w:b/>
          <w:szCs w:val="21"/>
        </w:rPr>
      </w:pPr>
    </w:p>
    <w:p w:rsidR="00B05C84" w:rsidRPr="00C41F72" w:rsidRDefault="00B05C84" w:rsidP="00C41F72">
      <w:pPr>
        <w:spacing w:line="360" w:lineRule="auto"/>
        <w:ind w:right="26"/>
        <w:rPr>
          <w:rFonts w:asciiTheme="minorEastAsia" w:hAnsiTheme="minorEastAsia"/>
          <w:b/>
          <w:szCs w:val="21"/>
        </w:rPr>
      </w:pPr>
      <w:r w:rsidRPr="00C41F72">
        <w:rPr>
          <w:rFonts w:asciiTheme="minorEastAsia" w:hAnsiTheme="minorEastAsia" w:hint="eastAsia"/>
          <w:b/>
          <w:szCs w:val="21"/>
        </w:rPr>
        <w:t>签订地点：北京</w:t>
      </w:r>
    </w:p>
    <w:p w:rsidR="00EF2B36" w:rsidRPr="00C41F72" w:rsidRDefault="00B05C84" w:rsidP="00C41F72">
      <w:pPr>
        <w:spacing w:line="360" w:lineRule="auto"/>
        <w:ind w:right="26"/>
        <w:rPr>
          <w:rFonts w:asciiTheme="minorEastAsia" w:hAnsiTheme="minorEastAsia"/>
          <w:b/>
          <w:szCs w:val="21"/>
        </w:rPr>
      </w:pPr>
      <w:r w:rsidRPr="00C41F72">
        <w:rPr>
          <w:rFonts w:asciiTheme="minorEastAsia" w:hAnsiTheme="minorEastAsia" w:hint="eastAsia"/>
          <w:b/>
          <w:szCs w:val="21"/>
        </w:rPr>
        <w:t>签 订 日：</w:t>
      </w:r>
      <w:r w:rsidR="003E071A" w:rsidRPr="00C41F72">
        <w:rPr>
          <w:rFonts w:asciiTheme="minorEastAsia" w:hAnsiTheme="minorEastAsia" w:hint="eastAsia"/>
          <w:b/>
          <w:szCs w:val="21"/>
        </w:rPr>
        <w:t xml:space="preserve">      </w:t>
      </w:r>
      <w:r w:rsidRPr="00C41F72">
        <w:rPr>
          <w:rFonts w:asciiTheme="minorEastAsia" w:hAnsiTheme="minorEastAsia" w:hint="eastAsia"/>
          <w:b/>
          <w:szCs w:val="21"/>
        </w:rPr>
        <w:t>年</w:t>
      </w:r>
      <w:r w:rsidR="003E071A" w:rsidRPr="00C41F72">
        <w:rPr>
          <w:rFonts w:asciiTheme="minorEastAsia" w:hAnsiTheme="minorEastAsia" w:hint="eastAsia"/>
          <w:b/>
          <w:szCs w:val="21"/>
        </w:rPr>
        <w:t xml:space="preserve"> </w:t>
      </w:r>
      <w:r w:rsidRPr="00C41F72">
        <w:rPr>
          <w:rFonts w:asciiTheme="minorEastAsia" w:hAnsiTheme="minorEastAsia" w:cs="宋体" w:hint="eastAsia"/>
          <w:b/>
          <w:szCs w:val="21"/>
        </w:rPr>
        <w:t xml:space="preserve"> </w:t>
      </w:r>
      <w:r w:rsidRPr="00C41F72">
        <w:rPr>
          <w:rFonts w:asciiTheme="minorEastAsia" w:hAnsiTheme="minorEastAsia" w:hint="eastAsia"/>
          <w:b/>
          <w:szCs w:val="21"/>
        </w:rPr>
        <w:t>月</w:t>
      </w:r>
      <w:r w:rsidR="003E071A" w:rsidRPr="00C41F72">
        <w:rPr>
          <w:rFonts w:asciiTheme="minorEastAsia" w:hAnsiTheme="minorEastAsia" w:hint="eastAsia"/>
          <w:b/>
          <w:szCs w:val="21"/>
        </w:rPr>
        <w:t xml:space="preserve"> </w:t>
      </w:r>
      <w:r w:rsidRPr="00C41F72">
        <w:rPr>
          <w:rFonts w:asciiTheme="minorEastAsia" w:hAnsiTheme="minorEastAsia" w:cs="宋体" w:hint="eastAsia"/>
          <w:b/>
          <w:szCs w:val="21"/>
        </w:rPr>
        <w:t xml:space="preserve"> </w:t>
      </w:r>
      <w:r w:rsidRPr="00C41F72">
        <w:rPr>
          <w:rFonts w:asciiTheme="minorEastAsia" w:hAnsiTheme="minorEastAsia" w:hint="eastAsia"/>
          <w:b/>
          <w:szCs w:val="21"/>
        </w:rPr>
        <w:t>日</w:t>
      </w:r>
    </w:p>
    <w:sectPr w:rsidR="00EF2B36" w:rsidRPr="00C41F72" w:rsidSect="001125FA">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29E" w:rsidRDefault="00D7629E" w:rsidP="00B05C84">
      <w:pPr>
        <w:ind w:firstLine="480"/>
      </w:pPr>
      <w:r>
        <w:separator/>
      </w:r>
    </w:p>
  </w:endnote>
  <w:endnote w:type="continuationSeparator" w:id="1">
    <w:p w:rsidR="00D7629E" w:rsidRDefault="00D7629E" w:rsidP="00B05C8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C9" w:rsidRDefault="00C46B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6BC9" w:rsidRDefault="00C46BC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C9" w:rsidRDefault="00C46B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348C">
      <w:rPr>
        <w:rStyle w:val="a6"/>
        <w:noProof/>
      </w:rPr>
      <w:t>32</w:t>
    </w:r>
    <w:r>
      <w:rPr>
        <w:rStyle w:val="a6"/>
      </w:rPr>
      <w:fldChar w:fldCharType="end"/>
    </w:r>
  </w:p>
  <w:p w:rsidR="00C46BC9" w:rsidRDefault="00C46BC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C9" w:rsidRDefault="00C46BC9">
    <w:pPr>
      <w:pStyle w:val="a5"/>
      <w:rPr>
        <w:rFonts w:hint="eastAsia"/>
      </w:rPr>
    </w:pPr>
  </w:p>
  <w:p w:rsidR="00C46BC9" w:rsidRDefault="00C46B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29E" w:rsidRDefault="00D7629E" w:rsidP="00B05C84">
      <w:pPr>
        <w:ind w:firstLine="480"/>
      </w:pPr>
      <w:r>
        <w:separator/>
      </w:r>
    </w:p>
  </w:footnote>
  <w:footnote w:type="continuationSeparator" w:id="1">
    <w:p w:rsidR="00D7629E" w:rsidRDefault="00D7629E" w:rsidP="00B05C84">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C9" w:rsidRDefault="00C46BC9">
    <w:pPr>
      <w:pStyle w:val="a4"/>
      <w:jc w:val="right"/>
    </w:pPr>
    <w:r>
      <w:rPr>
        <w:rFonts w:hint="eastAsia"/>
      </w:rPr>
      <w:t>长城量化小盘股票型证券投资基金托管协议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C9" w:rsidRDefault="00C46B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5C84"/>
    <w:rsid w:val="000C7D38"/>
    <w:rsid w:val="000D6C36"/>
    <w:rsid w:val="000E3381"/>
    <w:rsid w:val="001125FA"/>
    <w:rsid w:val="00112E00"/>
    <w:rsid w:val="00133475"/>
    <w:rsid w:val="00142231"/>
    <w:rsid w:val="001503FD"/>
    <w:rsid w:val="00151F07"/>
    <w:rsid w:val="001629F0"/>
    <w:rsid w:val="0016464F"/>
    <w:rsid w:val="001A54DE"/>
    <w:rsid w:val="001F2861"/>
    <w:rsid w:val="001F3560"/>
    <w:rsid w:val="00211AAD"/>
    <w:rsid w:val="002120C8"/>
    <w:rsid w:val="0029540F"/>
    <w:rsid w:val="002F3DB0"/>
    <w:rsid w:val="00380CCD"/>
    <w:rsid w:val="003B6EBE"/>
    <w:rsid w:val="003E071A"/>
    <w:rsid w:val="00432AB6"/>
    <w:rsid w:val="00477646"/>
    <w:rsid w:val="004B67D9"/>
    <w:rsid w:val="004D191F"/>
    <w:rsid w:val="004E3CFA"/>
    <w:rsid w:val="004E5F23"/>
    <w:rsid w:val="004E6CC9"/>
    <w:rsid w:val="004F0754"/>
    <w:rsid w:val="00510709"/>
    <w:rsid w:val="00541D0E"/>
    <w:rsid w:val="0054701C"/>
    <w:rsid w:val="005A4CB9"/>
    <w:rsid w:val="005C10E4"/>
    <w:rsid w:val="005C5470"/>
    <w:rsid w:val="005D7076"/>
    <w:rsid w:val="00616780"/>
    <w:rsid w:val="00620D72"/>
    <w:rsid w:val="00682C3C"/>
    <w:rsid w:val="006951DC"/>
    <w:rsid w:val="006B68B5"/>
    <w:rsid w:val="006C221C"/>
    <w:rsid w:val="006F4963"/>
    <w:rsid w:val="00722029"/>
    <w:rsid w:val="007426FA"/>
    <w:rsid w:val="007A4967"/>
    <w:rsid w:val="007A50C0"/>
    <w:rsid w:val="008067AD"/>
    <w:rsid w:val="0081224B"/>
    <w:rsid w:val="00820403"/>
    <w:rsid w:val="008471F8"/>
    <w:rsid w:val="0087118E"/>
    <w:rsid w:val="00884CBE"/>
    <w:rsid w:val="0088686B"/>
    <w:rsid w:val="008A39E6"/>
    <w:rsid w:val="008B66A9"/>
    <w:rsid w:val="008D57DF"/>
    <w:rsid w:val="0091269B"/>
    <w:rsid w:val="0096051B"/>
    <w:rsid w:val="00970EA4"/>
    <w:rsid w:val="009B79E5"/>
    <w:rsid w:val="009F2413"/>
    <w:rsid w:val="00A73DBC"/>
    <w:rsid w:val="00AA6DA4"/>
    <w:rsid w:val="00AA70DE"/>
    <w:rsid w:val="00B02B7B"/>
    <w:rsid w:val="00B05C84"/>
    <w:rsid w:val="00B500B4"/>
    <w:rsid w:val="00B9427D"/>
    <w:rsid w:val="00BA0150"/>
    <w:rsid w:val="00BA31FF"/>
    <w:rsid w:val="00BB59B8"/>
    <w:rsid w:val="00BE04E4"/>
    <w:rsid w:val="00BE6997"/>
    <w:rsid w:val="00BF3A8B"/>
    <w:rsid w:val="00C06905"/>
    <w:rsid w:val="00C279E9"/>
    <w:rsid w:val="00C340B4"/>
    <w:rsid w:val="00C41F72"/>
    <w:rsid w:val="00C46BC9"/>
    <w:rsid w:val="00C56AB0"/>
    <w:rsid w:val="00C70F3B"/>
    <w:rsid w:val="00CF07DB"/>
    <w:rsid w:val="00D2348C"/>
    <w:rsid w:val="00D7629E"/>
    <w:rsid w:val="00DC2881"/>
    <w:rsid w:val="00E2443E"/>
    <w:rsid w:val="00E30959"/>
    <w:rsid w:val="00E55B34"/>
    <w:rsid w:val="00E73053"/>
    <w:rsid w:val="00E91A56"/>
    <w:rsid w:val="00EC6A38"/>
    <w:rsid w:val="00EF2B36"/>
    <w:rsid w:val="00F17D22"/>
    <w:rsid w:val="00F40999"/>
    <w:rsid w:val="00F46D09"/>
    <w:rsid w:val="00F733B4"/>
    <w:rsid w:val="00FB782D"/>
    <w:rsid w:val="00FD1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B4"/>
    <w:pPr>
      <w:widowControl w:val="0"/>
      <w:jc w:val="both"/>
    </w:pPr>
  </w:style>
  <w:style w:type="paragraph" w:styleId="2">
    <w:name w:val="heading 2"/>
    <w:basedOn w:val="a"/>
    <w:next w:val="a0"/>
    <w:link w:val="2Char"/>
    <w:qFormat/>
    <w:rsid w:val="00B05C84"/>
    <w:pPr>
      <w:keepNext/>
      <w:keepLines/>
      <w:spacing w:before="260" w:after="260" w:line="416"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05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05C84"/>
    <w:rPr>
      <w:sz w:val="18"/>
      <w:szCs w:val="18"/>
    </w:rPr>
  </w:style>
  <w:style w:type="paragraph" w:styleId="a5">
    <w:name w:val="footer"/>
    <w:basedOn w:val="a"/>
    <w:link w:val="Char0"/>
    <w:uiPriority w:val="99"/>
    <w:unhideWhenUsed/>
    <w:rsid w:val="00B05C84"/>
    <w:pPr>
      <w:tabs>
        <w:tab w:val="center" w:pos="4153"/>
        <w:tab w:val="right" w:pos="8306"/>
      </w:tabs>
      <w:snapToGrid w:val="0"/>
      <w:jc w:val="left"/>
    </w:pPr>
    <w:rPr>
      <w:sz w:val="18"/>
      <w:szCs w:val="18"/>
    </w:rPr>
  </w:style>
  <w:style w:type="character" w:customStyle="1" w:styleId="Char0">
    <w:name w:val="页脚 Char"/>
    <w:basedOn w:val="a1"/>
    <w:link w:val="a5"/>
    <w:uiPriority w:val="99"/>
    <w:rsid w:val="00B05C84"/>
    <w:rPr>
      <w:sz w:val="18"/>
      <w:szCs w:val="18"/>
    </w:rPr>
  </w:style>
  <w:style w:type="character" w:customStyle="1" w:styleId="2Char">
    <w:name w:val="标题 2 Char"/>
    <w:basedOn w:val="a1"/>
    <w:link w:val="2"/>
    <w:rsid w:val="00B05C84"/>
    <w:rPr>
      <w:rFonts w:ascii="Arial" w:eastAsia="黑体" w:hAnsi="Arial" w:cs="Times New Roman"/>
      <w:b/>
      <w:kern w:val="0"/>
      <w:sz w:val="32"/>
      <w:szCs w:val="20"/>
    </w:rPr>
  </w:style>
  <w:style w:type="character" w:styleId="a6">
    <w:name w:val="page number"/>
    <w:basedOn w:val="a1"/>
    <w:rsid w:val="00B05C84"/>
  </w:style>
  <w:style w:type="paragraph" w:styleId="a7">
    <w:name w:val="Normal (Web)"/>
    <w:basedOn w:val="a"/>
    <w:rsid w:val="00B05C8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B05C84"/>
    <w:rPr>
      <w:b/>
      <w:bCs/>
    </w:rPr>
  </w:style>
  <w:style w:type="character" w:styleId="a9">
    <w:name w:val="Hyperlink"/>
    <w:rsid w:val="00B05C84"/>
    <w:rPr>
      <w:color w:val="0000FF"/>
      <w:u w:val="single"/>
    </w:rPr>
  </w:style>
  <w:style w:type="paragraph" w:customStyle="1" w:styleId="wz1">
    <w:name w:val="wz1"/>
    <w:basedOn w:val="a"/>
    <w:rsid w:val="00B05C8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B05C84"/>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B05C84"/>
    <w:rPr>
      <w:rFonts w:ascii="仿宋_GB2312" w:eastAsia="仿宋_GB2312" w:hAnsi="Times New Roman" w:cs="Times New Roman"/>
      <w:color w:val="000000"/>
      <w:kern w:val="0"/>
      <w:sz w:val="24"/>
      <w:szCs w:val="28"/>
    </w:rPr>
  </w:style>
  <w:style w:type="character" w:customStyle="1" w:styleId="read">
    <w:name w:val="read"/>
    <w:basedOn w:val="a1"/>
    <w:rsid w:val="00B05C84"/>
  </w:style>
  <w:style w:type="paragraph" w:styleId="a0">
    <w:name w:val="Normal Indent"/>
    <w:basedOn w:val="a"/>
    <w:rsid w:val="00B05C84"/>
    <w:pPr>
      <w:ind w:firstLineChars="200" w:firstLine="420"/>
    </w:pPr>
    <w:rPr>
      <w:rFonts w:ascii="Times New Roman" w:eastAsia="宋体" w:hAnsi="Times New Roman" w:cs="Times New Roman"/>
      <w:szCs w:val="24"/>
    </w:rPr>
  </w:style>
  <w:style w:type="paragraph" w:styleId="ab">
    <w:name w:val="Body Text Indent"/>
    <w:basedOn w:val="a"/>
    <w:link w:val="Char2"/>
    <w:rsid w:val="00B05C84"/>
    <w:pPr>
      <w:adjustRightInd w:val="0"/>
      <w:snapToGrid w:val="0"/>
      <w:spacing w:line="560" w:lineRule="exact"/>
      <w:ind w:firstLineChars="200" w:firstLine="480"/>
    </w:pPr>
    <w:rPr>
      <w:rFonts w:ascii="Times New Roman" w:eastAsia="方正仿宋简体" w:hAnsi="Times New Roman" w:cs="Times New Roman"/>
      <w:kern w:val="0"/>
      <w:sz w:val="24"/>
      <w:szCs w:val="30"/>
    </w:rPr>
  </w:style>
  <w:style w:type="character" w:customStyle="1" w:styleId="Char2">
    <w:name w:val="正文文本缩进 Char"/>
    <w:basedOn w:val="a1"/>
    <w:link w:val="ab"/>
    <w:rsid w:val="00B05C84"/>
    <w:rPr>
      <w:rFonts w:ascii="Times New Roman" w:eastAsia="方正仿宋简体" w:hAnsi="Times New Roman" w:cs="Times New Roman"/>
      <w:kern w:val="0"/>
      <w:sz w:val="24"/>
      <w:szCs w:val="30"/>
    </w:rPr>
  </w:style>
  <w:style w:type="paragraph" w:styleId="20">
    <w:name w:val="Body Text Indent 2"/>
    <w:basedOn w:val="a"/>
    <w:link w:val="2Char0"/>
    <w:rsid w:val="00B05C84"/>
    <w:pPr>
      <w:spacing w:line="360" w:lineRule="auto"/>
      <w:ind w:firstLine="525"/>
    </w:pPr>
    <w:rPr>
      <w:rFonts w:ascii="宋体" w:eastAsia="宋体" w:hAnsi="宋体" w:cs="Times New Roman"/>
      <w:kern w:val="0"/>
      <w:sz w:val="28"/>
      <w:szCs w:val="20"/>
    </w:rPr>
  </w:style>
  <w:style w:type="character" w:customStyle="1" w:styleId="2Char0">
    <w:name w:val="正文文本缩进 2 Char"/>
    <w:basedOn w:val="a1"/>
    <w:link w:val="20"/>
    <w:rsid w:val="00B05C84"/>
    <w:rPr>
      <w:rFonts w:ascii="宋体" w:eastAsia="宋体" w:hAnsi="宋体" w:cs="Times New Roman"/>
      <w:kern w:val="0"/>
      <w:sz w:val="28"/>
      <w:szCs w:val="20"/>
    </w:rPr>
  </w:style>
  <w:style w:type="paragraph" w:styleId="3">
    <w:name w:val="Body Text Indent 3"/>
    <w:basedOn w:val="a"/>
    <w:link w:val="3Char"/>
    <w:rsid w:val="00B05C84"/>
    <w:pPr>
      <w:adjustRightInd w:val="0"/>
      <w:snapToGrid w:val="0"/>
      <w:ind w:firstLineChars="200" w:firstLine="480"/>
    </w:pPr>
    <w:rPr>
      <w:rFonts w:ascii="仿宋_GB2312" w:eastAsia="仿宋_GB2312" w:hAnsi="宋体" w:cs="Times New Roman"/>
      <w:color w:val="000000"/>
      <w:kern w:val="0"/>
      <w:sz w:val="24"/>
      <w:szCs w:val="24"/>
    </w:rPr>
  </w:style>
  <w:style w:type="character" w:customStyle="1" w:styleId="3Char">
    <w:name w:val="正文文本缩进 3 Char"/>
    <w:basedOn w:val="a1"/>
    <w:link w:val="3"/>
    <w:rsid w:val="00B05C84"/>
    <w:rPr>
      <w:rFonts w:ascii="仿宋_GB2312" w:eastAsia="仿宋_GB2312" w:hAnsi="宋体" w:cs="Times New Roman"/>
      <w:color w:val="000000"/>
      <w:kern w:val="0"/>
      <w:sz w:val="24"/>
      <w:szCs w:val="24"/>
    </w:rPr>
  </w:style>
  <w:style w:type="paragraph" w:styleId="1">
    <w:name w:val="toc 1"/>
    <w:basedOn w:val="a"/>
    <w:next w:val="a"/>
    <w:autoRedefine/>
    <w:semiHidden/>
    <w:rsid w:val="00B05C84"/>
    <w:rPr>
      <w:rFonts w:ascii="Times New Roman" w:eastAsia="宋体" w:hAnsi="Times New Roman" w:cs="Times New Roman"/>
      <w:szCs w:val="24"/>
    </w:rPr>
  </w:style>
  <w:style w:type="paragraph" w:styleId="21">
    <w:name w:val="toc 2"/>
    <w:basedOn w:val="a"/>
    <w:next w:val="a"/>
    <w:autoRedefine/>
    <w:semiHidden/>
    <w:rsid w:val="00B05C84"/>
    <w:pPr>
      <w:ind w:leftChars="200" w:left="420"/>
    </w:pPr>
    <w:rPr>
      <w:rFonts w:ascii="Times New Roman" w:eastAsia="宋体" w:hAnsi="Times New Roman" w:cs="Times New Roman"/>
      <w:szCs w:val="24"/>
    </w:rPr>
  </w:style>
  <w:style w:type="paragraph" w:styleId="30">
    <w:name w:val="toc 3"/>
    <w:basedOn w:val="a"/>
    <w:next w:val="a"/>
    <w:autoRedefine/>
    <w:semiHidden/>
    <w:rsid w:val="00B05C84"/>
    <w:pPr>
      <w:ind w:leftChars="400" w:left="840"/>
    </w:pPr>
    <w:rPr>
      <w:rFonts w:ascii="Times New Roman" w:eastAsia="宋体" w:hAnsi="Times New Roman" w:cs="Times New Roman"/>
      <w:szCs w:val="24"/>
    </w:rPr>
  </w:style>
  <w:style w:type="paragraph" w:styleId="4">
    <w:name w:val="toc 4"/>
    <w:basedOn w:val="a"/>
    <w:next w:val="a"/>
    <w:autoRedefine/>
    <w:semiHidden/>
    <w:rsid w:val="00B05C84"/>
    <w:pPr>
      <w:ind w:leftChars="600" w:left="1260"/>
    </w:pPr>
    <w:rPr>
      <w:rFonts w:ascii="Times New Roman" w:eastAsia="宋体" w:hAnsi="Times New Roman" w:cs="Times New Roman"/>
      <w:szCs w:val="24"/>
    </w:rPr>
  </w:style>
  <w:style w:type="paragraph" w:styleId="5">
    <w:name w:val="toc 5"/>
    <w:basedOn w:val="a"/>
    <w:next w:val="a"/>
    <w:autoRedefine/>
    <w:semiHidden/>
    <w:rsid w:val="00B05C84"/>
    <w:pPr>
      <w:ind w:leftChars="800" w:left="1680"/>
    </w:pPr>
    <w:rPr>
      <w:rFonts w:ascii="Times New Roman" w:eastAsia="宋体" w:hAnsi="Times New Roman" w:cs="Times New Roman"/>
      <w:szCs w:val="24"/>
    </w:rPr>
  </w:style>
  <w:style w:type="paragraph" w:styleId="6">
    <w:name w:val="toc 6"/>
    <w:basedOn w:val="a"/>
    <w:next w:val="a"/>
    <w:autoRedefine/>
    <w:semiHidden/>
    <w:rsid w:val="00B05C84"/>
    <w:pPr>
      <w:ind w:leftChars="1000" w:left="2100"/>
    </w:pPr>
    <w:rPr>
      <w:rFonts w:ascii="Times New Roman" w:eastAsia="宋体" w:hAnsi="Times New Roman" w:cs="Times New Roman"/>
      <w:szCs w:val="24"/>
    </w:rPr>
  </w:style>
  <w:style w:type="paragraph" w:styleId="7">
    <w:name w:val="toc 7"/>
    <w:basedOn w:val="a"/>
    <w:next w:val="a"/>
    <w:autoRedefine/>
    <w:semiHidden/>
    <w:rsid w:val="00B05C84"/>
    <w:pPr>
      <w:ind w:leftChars="1200" w:left="2520"/>
    </w:pPr>
    <w:rPr>
      <w:rFonts w:ascii="Times New Roman" w:eastAsia="宋体" w:hAnsi="Times New Roman" w:cs="Times New Roman"/>
      <w:szCs w:val="24"/>
    </w:rPr>
  </w:style>
  <w:style w:type="paragraph" w:styleId="8">
    <w:name w:val="toc 8"/>
    <w:basedOn w:val="a"/>
    <w:next w:val="a"/>
    <w:autoRedefine/>
    <w:semiHidden/>
    <w:rsid w:val="00B05C84"/>
    <w:pPr>
      <w:ind w:leftChars="1400" w:left="2940"/>
    </w:pPr>
    <w:rPr>
      <w:rFonts w:ascii="Times New Roman" w:eastAsia="宋体" w:hAnsi="Times New Roman" w:cs="Times New Roman"/>
      <w:szCs w:val="24"/>
    </w:rPr>
  </w:style>
  <w:style w:type="paragraph" w:styleId="9">
    <w:name w:val="toc 9"/>
    <w:basedOn w:val="a"/>
    <w:next w:val="a"/>
    <w:autoRedefine/>
    <w:semiHidden/>
    <w:rsid w:val="00B05C84"/>
    <w:pPr>
      <w:ind w:leftChars="1600" w:left="3360"/>
    </w:pPr>
    <w:rPr>
      <w:rFonts w:ascii="Times New Roman" w:eastAsia="宋体" w:hAnsi="Times New Roman" w:cs="Times New Roman"/>
      <w:szCs w:val="24"/>
    </w:rPr>
  </w:style>
  <w:style w:type="paragraph" w:styleId="ac">
    <w:name w:val="Balloon Text"/>
    <w:basedOn w:val="a"/>
    <w:link w:val="Char3"/>
    <w:semiHidden/>
    <w:rsid w:val="00B05C84"/>
    <w:rPr>
      <w:rFonts w:ascii="Times New Roman" w:eastAsia="宋体" w:hAnsi="Times New Roman" w:cs="Times New Roman"/>
      <w:kern w:val="0"/>
      <w:sz w:val="18"/>
      <w:szCs w:val="18"/>
    </w:rPr>
  </w:style>
  <w:style w:type="character" w:customStyle="1" w:styleId="Char3">
    <w:name w:val="批注框文本 Char"/>
    <w:basedOn w:val="a1"/>
    <w:link w:val="ac"/>
    <w:semiHidden/>
    <w:rsid w:val="00B05C84"/>
    <w:rPr>
      <w:rFonts w:ascii="Times New Roman" w:eastAsia="宋体" w:hAnsi="Times New Roman" w:cs="Times New Roman"/>
      <w:kern w:val="0"/>
      <w:sz w:val="18"/>
      <w:szCs w:val="18"/>
    </w:rPr>
  </w:style>
  <w:style w:type="paragraph" w:customStyle="1" w:styleId="Char4">
    <w:name w:val="Char"/>
    <w:basedOn w:val="a"/>
    <w:rsid w:val="00B05C84"/>
    <w:rPr>
      <w:rFonts w:ascii="Times New Roman" w:eastAsia="宋体" w:hAnsi="Times New Roman" w:cs="Times New Roman"/>
      <w:szCs w:val="24"/>
    </w:rPr>
  </w:style>
  <w:style w:type="paragraph" w:customStyle="1" w:styleId="Char10">
    <w:name w:val="Char1"/>
    <w:basedOn w:val="a"/>
    <w:autoRedefine/>
    <w:rsid w:val="00B05C84"/>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B05C84"/>
    <w:rPr>
      <w:rFonts w:ascii="Times New Roman" w:eastAsia="宋体" w:hAnsi="Times New Roman" w:cs="Times New Roman"/>
      <w:szCs w:val="24"/>
    </w:rPr>
  </w:style>
  <w:style w:type="character" w:styleId="ad">
    <w:name w:val="annotation reference"/>
    <w:semiHidden/>
    <w:rsid w:val="00B05C84"/>
    <w:rPr>
      <w:sz w:val="21"/>
      <w:szCs w:val="21"/>
    </w:rPr>
  </w:style>
  <w:style w:type="paragraph" w:styleId="ae">
    <w:name w:val="annotation text"/>
    <w:basedOn w:val="a"/>
    <w:link w:val="Char5"/>
    <w:semiHidden/>
    <w:rsid w:val="00B05C84"/>
    <w:pPr>
      <w:jc w:val="left"/>
    </w:pPr>
    <w:rPr>
      <w:rFonts w:ascii="Times New Roman" w:eastAsia="宋体" w:hAnsi="Times New Roman" w:cs="Times New Roman"/>
      <w:kern w:val="0"/>
      <w:sz w:val="20"/>
      <w:szCs w:val="24"/>
    </w:rPr>
  </w:style>
  <w:style w:type="character" w:customStyle="1" w:styleId="Char5">
    <w:name w:val="批注文字 Char"/>
    <w:basedOn w:val="a1"/>
    <w:link w:val="ae"/>
    <w:semiHidden/>
    <w:rsid w:val="00B05C84"/>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B05C84"/>
    <w:rPr>
      <w:rFonts w:ascii="Times New Roman" w:eastAsia="宋体" w:hAnsi="Times New Roman" w:cs="Times New Roman"/>
      <w:szCs w:val="24"/>
    </w:rPr>
  </w:style>
  <w:style w:type="paragraph" w:customStyle="1" w:styleId="CharChar">
    <w:name w:val="Char Char"/>
    <w:basedOn w:val="a"/>
    <w:rsid w:val="00B05C84"/>
    <w:rPr>
      <w:rFonts w:ascii="Times New Roman" w:eastAsia="宋体" w:hAnsi="Times New Roman" w:cs="Times New Roman"/>
      <w:szCs w:val="20"/>
    </w:rPr>
  </w:style>
  <w:style w:type="paragraph" w:styleId="HTML">
    <w:name w:val="HTML Preformatted"/>
    <w:basedOn w:val="a"/>
    <w:link w:val="HTMLChar"/>
    <w:uiPriority w:val="99"/>
    <w:unhideWhenUsed/>
    <w:rsid w:val="00B05C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rsid w:val="00B05C84"/>
    <w:rPr>
      <w:rFonts w:ascii="宋体" w:eastAsia="宋体" w:hAnsi="宋体" w:cs="Times New Roman"/>
      <w:kern w:val="0"/>
      <w:sz w:val="24"/>
      <w:szCs w:val="24"/>
    </w:rPr>
  </w:style>
  <w:style w:type="paragraph" w:styleId="af">
    <w:name w:val="annotation subject"/>
    <w:basedOn w:val="ae"/>
    <w:next w:val="ae"/>
    <w:link w:val="Char6"/>
    <w:rsid w:val="00B05C84"/>
    <w:rPr>
      <w:b/>
      <w:bCs/>
    </w:rPr>
  </w:style>
  <w:style w:type="character" w:customStyle="1" w:styleId="Char6">
    <w:name w:val="批注主题 Char"/>
    <w:basedOn w:val="Char5"/>
    <w:link w:val="af"/>
    <w:rsid w:val="00B05C84"/>
    <w:rPr>
      <w:b/>
      <w:bCs/>
    </w:rPr>
  </w:style>
  <w:style w:type="character" w:styleId="af0">
    <w:name w:val="FollowedHyperlink"/>
    <w:uiPriority w:val="99"/>
    <w:semiHidden/>
    <w:unhideWhenUsed/>
    <w:rsid w:val="00B05C84"/>
    <w:rPr>
      <w:color w:val="800080"/>
      <w:u w:val="single"/>
    </w:rPr>
  </w:style>
  <w:style w:type="paragraph" w:styleId="af1">
    <w:name w:val="Revision"/>
    <w:hidden/>
    <w:uiPriority w:val="99"/>
    <w:semiHidden/>
    <w:rsid w:val="00B05C84"/>
    <w:rPr>
      <w:rFonts w:ascii="Times New Roman" w:eastAsia="宋体" w:hAnsi="Times New Roman" w:cs="Times New Roman"/>
      <w:szCs w:val="24"/>
    </w:rPr>
  </w:style>
  <w:style w:type="paragraph" w:styleId="af2">
    <w:name w:val="Document Map"/>
    <w:basedOn w:val="a"/>
    <w:link w:val="Char7"/>
    <w:uiPriority w:val="99"/>
    <w:semiHidden/>
    <w:unhideWhenUsed/>
    <w:rsid w:val="00B05C84"/>
    <w:rPr>
      <w:rFonts w:ascii="宋体" w:eastAsia="宋体" w:hAnsi="Times New Roman" w:cs="Times New Roman"/>
      <w:sz w:val="18"/>
      <w:szCs w:val="18"/>
    </w:rPr>
  </w:style>
  <w:style w:type="character" w:customStyle="1" w:styleId="Char7">
    <w:name w:val="文档结构图 Char"/>
    <w:basedOn w:val="a1"/>
    <w:link w:val="af2"/>
    <w:uiPriority w:val="99"/>
    <w:semiHidden/>
    <w:rsid w:val="00B05C84"/>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33</Pages>
  <Words>4547</Words>
  <Characters>25921</Characters>
  <Application>Microsoft Office Word</Application>
  <DocSecurity>0</DocSecurity>
  <Lines>216</Lines>
  <Paragraphs>60</Paragraphs>
  <ScaleCrop>false</ScaleCrop>
  <Company>Lenovo</Company>
  <LinksUpToDate>false</LinksUpToDate>
  <CharactersWithSpaces>30408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王峰</dc:creator>
  <cp:keywords/>
  <dc:description/>
  <cp:lastModifiedBy>吴晓欣</cp:lastModifiedBy>
  <cp:revision>76</cp:revision>
  <cp:lastPrinted>2019-06-17T07:23:00Z</cp:lastPrinted>
  <dcterms:created xsi:type="dcterms:W3CDTF">2018-09-10T06:31:00Z</dcterms:created>
  <dcterms:modified xsi:type="dcterms:W3CDTF">2019-12-05T02:18:00Z</dcterms:modified>
</cp:coreProperties>
</file>