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5FC" w:rsidRDefault="00D745FC">
      <w:pPr>
        <w:adjustRightInd w:val="0"/>
        <w:snapToGrid w:val="0"/>
        <w:jc w:val="center"/>
        <w:rPr>
          <w:rFonts w:ascii="彩虹粗仿宋" w:eastAsia="彩虹粗仿宋" w:hAnsi="宋体" w:cs="Arial" w:hint="eastAsia"/>
          <w:sz w:val="24"/>
        </w:rPr>
      </w:pPr>
    </w:p>
    <w:p w:rsidR="00D745FC" w:rsidRDefault="00D745FC">
      <w:pPr>
        <w:adjustRightInd w:val="0"/>
        <w:snapToGrid w:val="0"/>
        <w:jc w:val="center"/>
        <w:rPr>
          <w:rFonts w:ascii="彩虹粗仿宋" w:eastAsia="彩虹粗仿宋" w:hAnsi="宋体" w:cs="Arial"/>
          <w:sz w:val="24"/>
        </w:rPr>
      </w:pPr>
    </w:p>
    <w:p w:rsidR="00D745FC" w:rsidRDefault="00D745FC">
      <w:pPr>
        <w:adjustRightInd w:val="0"/>
        <w:snapToGrid w:val="0"/>
        <w:jc w:val="center"/>
        <w:rPr>
          <w:rFonts w:ascii="彩虹粗仿宋" w:eastAsia="彩虹粗仿宋" w:hAnsi="宋体" w:cs="Arial"/>
          <w:sz w:val="24"/>
        </w:rPr>
      </w:pPr>
    </w:p>
    <w:p w:rsidR="00D745FC" w:rsidRDefault="00D745FC">
      <w:pPr>
        <w:adjustRightInd w:val="0"/>
        <w:snapToGrid w:val="0"/>
        <w:jc w:val="center"/>
        <w:rPr>
          <w:rFonts w:ascii="彩虹粗仿宋" w:eastAsia="彩虹粗仿宋" w:hAnsi="宋体" w:cs="Arial"/>
          <w:sz w:val="24"/>
        </w:rPr>
      </w:pPr>
    </w:p>
    <w:p w:rsidR="00D745FC" w:rsidRDefault="00D745FC">
      <w:pPr>
        <w:adjustRightInd w:val="0"/>
        <w:snapToGrid w:val="0"/>
        <w:jc w:val="center"/>
        <w:rPr>
          <w:rFonts w:ascii="彩虹粗仿宋" w:eastAsia="彩虹粗仿宋" w:hAnsi="宋体" w:cs="Arial"/>
          <w:sz w:val="24"/>
        </w:rPr>
      </w:pPr>
    </w:p>
    <w:p w:rsidR="00D745FC" w:rsidRDefault="00D745FC">
      <w:pPr>
        <w:adjustRightInd w:val="0"/>
        <w:snapToGrid w:val="0"/>
        <w:jc w:val="center"/>
        <w:rPr>
          <w:rFonts w:ascii="彩虹粗仿宋" w:eastAsia="彩虹粗仿宋" w:hAnsi="宋体" w:cs="Arial"/>
          <w:sz w:val="24"/>
        </w:rPr>
      </w:pPr>
    </w:p>
    <w:p w:rsidR="00D745FC" w:rsidRDefault="00D745FC">
      <w:pPr>
        <w:adjustRightInd w:val="0"/>
        <w:snapToGrid w:val="0"/>
        <w:jc w:val="center"/>
        <w:rPr>
          <w:rFonts w:ascii="彩虹粗仿宋" w:eastAsia="彩虹粗仿宋" w:hAnsi="宋体" w:cs="Arial"/>
          <w:sz w:val="24"/>
        </w:rPr>
      </w:pPr>
    </w:p>
    <w:p w:rsidR="00D745FC" w:rsidRDefault="00D745FC">
      <w:pPr>
        <w:adjustRightInd w:val="0"/>
        <w:snapToGrid w:val="0"/>
        <w:jc w:val="center"/>
        <w:rPr>
          <w:rFonts w:ascii="彩虹粗仿宋" w:eastAsia="彩虹粗仿宋" w:hAnsi="宋体" w:cs="Arial"/>
          <w:sz w:val="24"/>
        </w:rPr>
      </w:pPr>
    </w:p>
    <w:p w:rsidR="00D745FC" w:rsidRDefault="00D745FC">
      <w:pPr>
        <w:adjustRightInd w:val="0"/>
        <w:snapToGrid w:val="0"/>
        <w:jc w:val="center"/>
        <w:rPr>
          <w:rFonts w:ascii="彩虹粗仿宋" w:eastAsia="彩虹粗仿宋" w:hAnsi="宋体" w:cs="Arial"/>
          <w:sz w:val="24"/>
        </w:rPr>
      </w:pPr>
    </w:p>
    <w:p w:rsidR="00D745FC" w:rsidRDefault="00D745FC">
      <w:pPr>
        <w:adjustRightInd w:val="0"/>
        <w:snapToGrid w:val="0"/>
        <w:jc w:val="center"/>
        <w:rPr>
          <w:rFonts w:ascii="彩虹粗仿宋" w:eastAsia="彩虹粗仿宋" w:hAnsi="宋体" w:cs="Arial"/>
          <w:sz w:val="24"/>
        </w:rPr>
      </w:pPr>
    </w:p>
    <w:p w:rsidR="00D745FC" w:rsidRDefault="00D745FC">
      <w:pPr>
        <w:adjustRightInd w:val="0"/>
        <w:snapToGrid w:val="0"/>
        <w:jc w:val="center"/>
        <w:rPr>
          <w:rFonts w:ascii="彩虹粗仿宋" w:eastAsia="彩虹粗仿宋" w:hAnsi="宋体" w:cs="Arial"/>
          <w:sz w:val="24"/>
        </w:rPr>
      </w:pPr>
    </w:p>
    <w:p w:rsidR="00D745FC" w:rsidRDefault="001F197F">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格林泓裕一年定期开放债券型证券投资基金</w:t>
      </w:r>
    </w:p>
    <w:p w:rsidR="00D745FC" w:rsidRDefault="001F197F">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rsidR="00D745FC" w:rsidRDefault="00D745FC">
      <w:pPr>
        <w:adjustRightInd w:val="0"/>
        <w:snapToGrid w:val="0"/>
        <w:jc w:val="center"/>
        <w:outlineLvl w:val="0"/>
        <w:rPr>
          <w:rFonts w:ascii="彩虹粗仿宋" w:eastAsia="彩虹粗仿宋" w:hAnsi="宋体" w:cs="Arial"/>
          <w:sz w:val="24"/>
        </w:rPr>
      </w:pPr>
    </w:p>
    <w:p w:rsidR="00D745FC" w:rsidRDefault="00D745FC">
      <w:pPr>
        <w:adjustRightInd w:val="0"/>
        <w:snapToGrid w:val="0"/>
        <w:jc w:val="center"/>
        <w:outlineLvl w:val="0"/>
        <w:rPr>
          <w:rFonts w:ascii="彩虹粗仿宋" w:eastAsia="彩虹粗仿宋" w:hAnsi="宋体" w:cs="Arial"/>
          <w:sz w:val="24"/>
        </w:rPr>
      </w:pPr>
    </w:p>
    <w:p w:rsidR="00D745FC" w:rsidRDefault="00D745FC">
      <w:pPr>
        <w:adjustRightInd w:val="0"/>
        <w:snapToGrid w:val="0"/>
        <w:jc w:val="center"/>
        <w:outlineLvl w:val="0"/>
        <w:rPr>
          <w:rFonts w:ascii="彩虹粗仿宋" w:eastAsia="彩虹粗仿宋" w:hAnsi="宋体" w:cs="Arial"/>
          <w:sz w:val="24"/>
        </w:rPr>
      </w:pPr>
    </w:p>
    <w:p w:rsidR="00D745FC" w:rsidRDefault="00D745FC">
      <w:pPr>
        <w:adjustRightInd w:val="0"/>
        <w:snapToGrid w:val="0"/>
        <w:jc w:val="center"/>
        <w:outlineLvl w:val="0"/>
        <w:rPr>
          <w:rFonts w:ascii="彩虹粗仿宋" w:eastAsia="彩虹粗仿宋" w:hAnsi="宋体" w:cs="Arial"/>
          <w:sz w:val="24"/>
        </w:rPr>
      </w:pPr>
    </w:p>
    <w:p w:rsidR="00D745FC" w:rsidRDefault="00D745FC">
      <w:pPr>
        <w:adjustRightInd w:val="0"/>
        <w:snapToGrid w:val="0"/>
        <w:jc w:val="center"/>
        <w:outlineLvl w:val="0"/>
        <w:rPr>
          <w:rFonts w:ascii="彩虹粗仿宋" w:eastAsia="彩虹粗仿宋" w:hAnsi="宋体" w:cs="Arial"/>
          <w:sz w:val="24"/>
        </w:rPr>
      </w:pPr>
    </w:p>
    <w:p w:rsidR="00D745FC" w:rsidRDefault="00D745FC">
      <w:pPr>
        <w:adjustRightInd w:val="0"/>
        <w:snapToGrid w:val="0"/>
        <w:jc w:val="center"/>
        <w:outlineLvl w:val="0"/>
        <w:rPr>
          <w:rFonts w:ascii="彩虹粗仿宋" w:eastAsia="彩虹粗仿宋" w:hAnsi="宋体" w:cs="Arial"/>
          <w:sz w:val="24"/>
        </w:rPr>
      </w:pPr>
    </w:p>
    <w:p w:rsidR="00D745FC" w:rsidRDefault="00D745FC">
      <w:pPr>
        <w:adjustRightInd w:val="0"/>
        <w:snapToGrid w:val="0"/>
        <w:jc w:val="center"/>
        <w:outlineLvl w:val="0"/>
        <w:rPr>
          <w:rFonts w:ascii="彩虹粗仿宋" w:eastAsia="彩虹粗仿宋" w:hAnsi="宋体" w:cs="Arial"/>
          <w:sz w:val="24"/>
        </w:rPr>
      </w:pPr>
    </w:p>
    <w:p w:rsidR="00D745FC" w:rsidRDefault="00D745FC">
      <w:pPr>
        <w:adjustRightInd w:val="0"/>
        <w:snapToGrid w:val="0"/>
        <w:jc w:val="center"/>
        <w:outlineLvl w:val="0"/>
        <w:rPr>
          <w:rFonts w:ascii="彩虹粗仿宋" w:eastAsia="彩虹粗仿宋" w:hAnsi="宋体" w:cs="Arial"/>
          <w:sz w:val="24"/>
        </w:rPr>
      </w:pPr>
    </w:p>
    <w:p w:rsidR="00D745FC" w:rsidRDefault="00D745FC">
      <w:pPr>
        <w:adjustRightInd w:val="0"/>
        <w:snapToGrid w:val="0"/>
        <w:jc w:val="center"/>
        <w:outlineLvl w:val="0"/>
        <w:rPr>
          <w:rFonts w:ascii="彩虹粗仿宋" w:eastAsia="彩虹粗仿宋" w:hAnsi="宋体" w:cs="Arial"/>
          <w:sz w:val="24"/>
        </w:rPr>
      </w:pPr>
    </w:p>
    <w:p w:rsidR="00D745FC" w:rsidRDefault="00D745FC">
      <w:pPr>
        <w:adjustRightInd w:val="0"/>
        <w:snapToGrid w:val="0"/>
        <w:jc w:val="center"/>
        <w:outlineLvl w:val="0"/>
        <w:rPr>
          <w:rFonts w:ascii="彩虹粗仿宋" w:eastAsia="彩虹粗仿宋" w:hAnsi="宋体" w:cs="Arial"/>
          <w:sz w:val="24"/>
        </w:rPr>
      </w:pPr>
    </w:p>
    <w:p w:rsidR="00D745FC" w:rsidRDefault="00D745FC">
      <w:pPr>
        <w:adjustRightInd w:val="0"/>
        <w:snapToGrid w:val="0"/>
        <w:jc w:val="center"/>
        <w:outlineLvl w:val="0"/>
        <w:rPr>
          <w:rFonts w:ascii="彩虹粗仿宋" w:eastAsia="彩虹粗仿宋" w:hAnsi="宋体" w:cs="Arial"/>
          <w:sz w:val="24"/>
        </w:rPr>
      </w:pPr>
    </w:p>
    <w:p w:rsidR="00D745FC" w:rsidRDefault="00D745FC">
      <w:pPr>
        <w:adjustRightInd w:val="0"/>
        <w:snapToGrid w:val="0"/>
        <w:jc w:val="center"/>
        <w:outlineLvl w:val="0"/>
        <w:rPr>
          <w:rFonts w:ascii="彩虹粗仿宋" w:eastAsia="彩虹粗仿宋" w:hAnsi="宋体" w:cs="Arial"/>
          <w:sz w:val="24"/>
        </w:rPr>
      </w:pPr>
    </w:p>
    <w:p w:rsidR="00D745FC" w:rsidRDefault="001F197F">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Pr>
          <w:rFonts w:ascii="彩虹粗仿宋" w:eastAsia="彩虹粗仿宋" w:hAnsi="宋体" w:cs="Arial"/>
          <w:b/>
          <w:bCs/>
          <w:sz w:val="28"/>
        </w:rPr>
        <w:t xml:space="preserve">   </w:t>
      </w:r>
      <w:r>
        <w:rPr>
          <w:rFonts w:ascii="彩虹粗仿宋" w:eastAsia="彩虹粗仿宋" w:hAnsi="宋体" w:cs="Arial" w:hint="eastAsia"/>
          <w:b/>
          <w:bCs/>
          <w:sz w:val="28"/>
        </w:rPr>
        <w:t>基金管理人：格林基金管理有限公司</w:t>
      </w:r>
    </w:p>
    <w:p w:rsidR="00D745FC" w:rsidRDefault="001F197F">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基金托管人：中国建设银行股份有限公司</w:t>
      </w:r>
    </w:p>
    <w:p w:rsidR="00D745FC" w:rsidRDefault="00D745FC">
      <w:pPr>
        <w:adjustRightInd w:val="0"/>
        <w:snapToGrid w:val="0"/>
        <w:jc w:val="center"/>
        <w:outlineLvl w:val="0"/>
        <w:rPr>
          <w:rFonts w:ascii="彩虹粗仿宋" w:eastAsia="彩虹粗仿宋" w:hAnsi="宋体" w:cs="Arial"/>
          <w:sz w:val="24"/>
        </w:rPr>
      </w:pPr>
    </w:p>
    <w:p w:rsidR="00D745FC" w:rsidRDefault="001F197F">
      <w:pPr>
        <w:adjustRightInd w:val="0"/>
        <w:snapToGrid w:val="0"/>
        <w:jc w:val="center"/>
        <w:outlineLvl w:val="0"/>
        <w:rPr>
          <w:rFonts w:ascii="彩虹粗仿宋" w:eastAsia="彩虹粗仿宋" w:hAnsi="宋体" w:cs="Arial"/>
          <w:sz w:val="24"/>
        </w:rPr>
      </w:pPr>
      <w:r>
        <w:rPr>
          <w:rFonts w:ascii="彩虹粗仿宋" w:eastAsia="彩虹粗仿宋" w:hAnsi="宋体" w:cs="Arial" w:hint="eastAsia"/>
          <w:sz w:val="24"/>
        </w:rPr>
        <w:t>二零一九年十二月</w:t>
      </w:r>
    </w:p>
    <w:p w:rsidR="00D745FC" w:rsidRDefault="00D745FC">
      <w:pPr>
        <w:adjustRightInd w:val="0"/>
        <w:snapToGrid w:val="0"/>
        <w:jc w:val="center"/>
        <w:outlineLvl w:val="0"/>
        <w:rPr>
          <w:rFonts w:ascii="彩虹粗仿宋" w:eastAsia="彩虹粗仿宋" w:hAnsi="宋体" w:cs="Arial"/>
          <w:sz w:val="24"/>
        </w:rPr>
      </w:pPr>
    </w:p>
    <w:p w:rsidR="00D745FC" w:rsidRDefault="001F197F">
      <w:pPr>
        <w:adjustRightInd w:val="0"/>
        <w:snapToGrid w:val="0"/>
        <w:outlineLvl w:val="0"/>
        <w:rPr>
          <w:rFonts w:ascii="彩虹粗仿宋" w:eastAsia="彩虹粗仿宋" w:hAnsi="宋体" w:cs="Arial"/>
          <w:sz w:val="24"/>
        </w:rPr>
      </w:pPr>
      <w:r>
        <w:rPr>
          <w:rFonts w:ascii="彩虹粗仿宋" w:eastAsia="彩虹粗仿宋" w:hAnsi="宋体" w:cs="Arial" w:hint="eastAsia"/>
          <w:sz w:val="24"/>
        </w:rPr>
        <w:t xml:space="preserve">                           </w:t>
      </w:r>
    </w:p>
    <w:p w:rsidR="00D745FC" w:rsidRDefault="00D745FC">
      <w:pPr>
        <w:adjustRightInd w:val="0"/>
        <w:snapToGrid w:val="0"/>
        <w:rPr>
          <w:rFonts w:ascii="彩虹粗仿宋" w:eastAsia="彩虹粗仿宋" w:hAnsi="宋体" w:cs="Arial"/>
          <w:bCs/>
          <w:sz w:val="24"/>
        </w:rPr>
      </w:pPr>
    </w:p>
    <w:p w:rsidR="00D745FC" w:rsidRDefault="001F197F">
      <w:pPr>
        <w:jc w:val="center"/>
        <w:rPr>
          <w:rFonts w:ascii="彩虹粗仿宋" w:eastAsia="彩虹粗仿宋"/>
          <w:b/>
          <w:bCs/>
          <w:sz w:val="30"/>
        </w:rPr>
      </w:pPr>
      <w:r>
        <w:rPr>
          <w:rFonts w:ascii="彩虹粗仿宋" w:eastAsia="彩虹粗仿宋" w:hint="eastAsia"/>
          <w:b/>
          <w:bCs/>
          <w:sz w:val="30"/>
        </w:rPr>
        <w:lastRenderedPageBreak/>
        <w:t>目    录</w:t>
      </w:r>
    </w:p>
    <w:p w:rsidR="00D745FC" w:rsidRDefault="001F197F">
      <w:pPr>
        <w:pStyle w:val="TOC2"/>
        <w:tabs>
          <w:tab w:val="right" w:leader="dot" w:pos="8494"/>
        </w:tabs>
        <w:rPr>
          <w:rFonts w:asciiTheme="minorHAnsi" w:eastAsiaTheme="minorEastAsia" w:hAnsiTheme="minorHAnsi" w:cstheme="minorBidi"/>
          <w:sz w:val="24"/>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26280967" w:history="1">
        <w:r>
          <w:rPr>
            <w:rStyle w:val="af5"/>
            <w:rFonts w:ascii="彩虹粗仿宋" w:eastAsia="彩虹粗仿宋"/>
            <w:sz w:val="24"/>
          </w:rPr>
          <w:t>一、基金托管协议当事人</w:t>
        </w:r>
        <w:r>
          <w:rPr>
            <w:sz w:val="24"/>
          </w:rPr>
          <w:tab/>
        </w:r>
        <w:r>
          <w:rPr>
            <w:sz w:val="24"/>
          </w:rPr>
          <w:fldChar w:fldCharType="begin"/>
        </w:r>
        <w:r>
          <w:rPr>
            <w:sz w:val="24"/>
          </w:rPr>
          <w:instrText xml:space="preserve"> PAGEREF _Toc26280967 \h </w:instrText>
        </w:r>
        <w:r>
          <w:rPr>
            <w:sz w:val="24"/>
          </w:rPr>
        </w:r>
        <w:r>
          <w:rPr>
            <w:sz w:val="24"/>
          </w:rPr>
          <w:fldChar w:fldCharType="separate"/>
        </w:r>
        <w:r w:rsidR="00C87A30">
          <w:rPr>
            <w:noProof/>
            <w:sz w:val="24"/>
          </w:rPr>
          <w:t>3</w:t>
        </w:r>
        <w:r>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68" w:history="1">
        <w:r w:rsidR="001F197F">
          <w:rPr>
            <w:rStyle w:val="af5"/>
            <w:rFonts w:ascii="彩虹粗仿宋" w:eastAsia="彩虹粗仿宋"/>
            <w:sz w:val="24"/>
          </w:rPr>
          <w:t>二、基金托管协议的依据、目的和原则</w:t>
        </w:r>
        <w:r w:rsidR="001F197F">
          <w:rPr>
            <w:sz w:val="24"/>
          </w:rPr>
          <w:tab/>
        </w:r>
        <w:r w:rsidR="001F197F">
          <w:rPr>
            <w:sz w:val="24"/>
          </w:rPr>
          <w:fldChar w:fldCharType="begin"/>
        </w:r>
        <w:r w:rsidR="001F197F">
          <w:rPr>
            <w:sz w:val="24"/>
          </w:rPr>
          <w:instrText xml:space="preserve"> PAGEREF _Toc26280968 \h </w:instrText>
        </w:r>
        <w:r w:rsidR="001F197F">
          <w:rPr>
            <w:sz w:val="24"/>
          </w:rPr>
        </w:r>
        <w:r w:rsidR="001F197F">
          <w:rPr>
            <w:sz w:val="24"/>
          </w:rPr>
          <w:fldChar w:fldCharType="separate"/>
        </w:r>
        <w:r w:rsidR="00C87A30">
          <w:rPr>
            <w:noProof/>
            <w:sz w:val="24"/>
          </w:rPr>
          <w:t>4</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69" w:history="1">
        <w:r w:rsidR="001F197F">
          <w:rPr>
            <w:rStyle w:val="af5"/>
            <w:rFonts w:ascii="彩虹粗仿宋" w:eastAsia="彩虹粗仿宋"/>
            <w:sz w:val="24"/>
          </w:rPr>
          <w:t>三、基金托管人对基金管理人的业务监督和核查</w:t>
        </w:r>
        <w:r w:rsidR="001F197F">
          <w:rPr>
            <w:sz w:val="24"/>
          </w:rPr>
          <w:tab/>
        </w:r>
        <w:r w:rsidR="001F197F">
          <w:rPr>
            <w:sz w:val="24"/>
          </w:rPr>
          <w:fldChar w:fldCharType="begin"/>
        </w:r>
        <w:r w:rsidR="001F197F">
          <w:rPr>
            <w:sz w:val="24"/>
          </w:rPr>
          <w:instrText xml:space="preserve"> PAGEREF _Toc26280969 \h </w:instrText>
        </w:r>
        <w:r w:rsidR="001F197F">
          <w:rPr>
            <w:sz w:val="24"/>
          </w:rPr>
        </w:r>
        <w:r w:rsidR="001F197F">
          <w:rPr>
            <w:sz w:val="24"/>
          </w:rPr>
          <w:fldChar w:fldCharType="separate"/>
        </w:r>
        <w:r w:rsidR="00C87A30">
          <w:rPr>
            <w:noProof/>
            <w:sz w:val="24"/>
          </w:rPr>
          <w:t>5</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70" w:history="1">
        <w:r w:rsidR="001F197F">
          <w:rPr>
            <w:rStyle w:val="af5"/>
            <w:rFonts w:ascii="彩虹粗仿宋" w:eastAsia="彩虹粗仿宋"/>
            <w:sz w:val="24"/>
          </w:rPr>
          <w:t>四、基金管理人对基金托管人的业务核查</w:t>
        </w:r>
        <w:r w:rsidR="001F197F">
          <w:rPr>
            <w:sz w:val="24"/>
          </w:rPr>
          <w:tab/>
        </w:r>
        <w:r w:rsidR="001F197F">
          <w:rPr>
            <w:sz w:val="24"/>
          </w:rPr>
          <w:fldChar w:fldCharType="begin"/>
        </w:r>
        <w:r w:rsidR="001F197F">
          <w:rPr>
            <w:sz w:val="24"/>
          </w:rPr>
          <w:instrText xml:space="preserve"> PAGEREF _Toc26280970 \h </w:instrText>
        </w:r>
        <w:r w:rsidR="001F197F">
          <w:rPr>
            <w:sz w:val="24"/>
          </w:rPr>
        </w:r>
        <w:r w:rsidR="001F197F">
          <w:rPr>
            <w:sz w:val="24"/>
          </w:rPr>
          <w:fldChar w:fldCharType="separate"/>
        </w:r>
        <w:r w:rsidR="00C87A30">
          <w:rPr>
            <w:noProof/>
            <w:sz w:val="24"/>
          </w:rPr>
          <w:t>8</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71" w:history="1">
        <w:r w:rsidR="001F197F">
          <w:rPr>
            <w:rStyle w:val="af5"/>
            <w:rFonts w:ascii="彩虹粗仿宋" w:eastAsia="彩虹粗仿宋"/>
            <w:sz w:val="24"/>
          </w:rPr>
          <w:t>五、基金财产的保管</w:t>
        </w:r>
        <w:r w:rsidR="001F197F">
          <w:rPr>
            <w:sz w:val="24"/>
          </w:rPr>
          <w:tab/>
        </w:r>
        <w:r w:rsidR="001F197F">
          <w:rPr>
            <w:sz w:val="24"/>
          </w:rPr>
          <w:fldChar w:fldCharType="begin"/>
        </w:r>
        <w:r w:rsidR="001F197F">
          <w:rPr>
            <w:sz w:val="24"/>
          </w:rPr>
          <w:instrText xml:space="preserve"> PAGEREF _Toc26280971 \h </w:instrText>
        </w:r>
        <w:r w:rsidR="001F197F">
          <w:rPr>
            <w:sz w:val="24"/>
          </w:rPr>
        </w:r>
        <w:r w:rsidR="001F197F">
          <w:rPr>
            <w:sz w:val="24"/>
          </w:rPr>
          <w:fldChar w:fldCharType="separate"/>
        </w:r>
        <w:r w:rsidR="00C87A30">
          <w:rPr>
            <w:noProof/>
            <w:sz w:val="24"/>
          </w:rPr>
          <w:t>9</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72" w:history="1">
        <w:r w:rsidR="001F197F">
          <w:rPr>
            <w:rStyle w:val="af5"/>
            <w:rFonts w:ascii="彩虹粗仿宋" w:eastAsia="彩虹粗仿宋"/>
            <w:sz w:val="24"/>
          </w:rPr>
          <w:t>六、指令的发送、确认及执行</w:t>
        </w:r>
        <w:r w:rsidR="001F197F">
          <w:rPr>
            <w:sz w:val="24"/>
          </w:rPr>
          <w:tab/>
        </w:r>
        <w:r w:rsidR="001F197F">
          <w:rPr>
            <w:sz w:val="24"/>
          </w:rPr>
          <w:fldChar w:fldCharType="begin"/>
        </w:r>
        <w:r w:rsidR="001F197F">
          <w:rPr>
            <w:sz w:val="24"/>
          </w:rPr>
          <w:instrText xml:space="preserve"> PAGEREF _Toc26280972 \h </w:instrText>
        </w:r>
        <w:r w:rsidR="001F197F">
          <w:rPr>
            <w:sz w:val="24"/>
          </w:rPr>
        </w:r>
        <w:r w:rsidR="001F197F">
          <w:rPr>
            <w:sz w:val="24"/>
          </w:rPr>
          <w:fldChar w:fldCharType="separate"/>
        </w:r>
        <w:r w:rsidR="00C87A30">
          <w:rPr>
            <w:noProof/>
            <w:sz w:val="24"/>
          </w:rPr>
          <w:t>12</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73" w:history="1">
        <w:r w:rsidR="001F197F">
          <w:rPr>
            <w:rStyle w:val="af5"/>
            <w:rFonts w:ascii="彩虹粗仿宋" w:eastAsia="彩虹粗仿宋"/>
            <w:sz w:val="24"/>
          </w:rPr>
          <w:t>七、交易及清算交收安排</w:t>
        </w:r>
        <w:r w:rsidR="001F197F">
          <w:rPr>
            <w:sz w:val="24"/>
          </w:rPr>
          <w:tab/>
        </w:r>
        <w:r w:rsidR="001F197F">
          <w:rPr>
            <w:sz w:val="24"/>
          </w:rPr>
          <w:fldChar w:fldCharType="begin"/>
        </w:r>
        <w:r w:rsidR="001F197F">
          <w:rPr>
            <w:sz w:val="24"/>
          </w:rPr>
          <w:instrText xml:space="preserve"> PAGEREF _Toc26280973 \h </w:instrText>
        </w:r>
        <w:r w:rsidR="001F197F">
          <w:rPr>
            <w:sz w:val="24"/>
          </w:rPr>
        </w:r>
        <w:r w:rsidR="001F197F">
          <w:rPr>
            <w:sz w:val="24"/>
          </w:rPr>
          <w:fldChar w:fldCharType="separate"/>
        </w:r>
        <w:r w:rsidR="00C87A30">
          <w:rPr>
            <w:noProof/>
            <w:sz w:val="24"/>
          </w:rPr>
          <w:t>14</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74" w:history="1">
        <w:r w:rsidR="001F197F">
          <w:rPr>
            <w:rStyle w:val="af5"/>
            <w:rFonts w:ascii="彩虹粗仿宋" w:eastAsia="彩虹粗仿宋"/>
            <w:sz w:val="24"/>
          </w:rPr>
          <w:t>八、基金资产净值计算和会计核算</w:t>
        </w:r>
        <w:r w:rsidR="001F197F">
          <w:rPr>
            <w:sz w:val="24"/>
          </w:rPr>
          <w:tab/>
        </w:r>
        <w:r w:rsidR="001F197F">
          <w:rPr>
            <w:sz w:val="24"/>
          </w:rPr>
          <w:fldChar w:fldCharType="begin"/>
        </w:r>
        <w:r w:rsidR="001F197F">
          <w:rPr>
            <w:sz w:val="24"/>
          </w:rPr>
          <w:instrText xml:space="preserve"> PAGEREF _Toc26280974 \h </w:instrText>
        </w:r>
        <w:r w:rsidR="001F197F">
          <w:rPr>
            <w:sz w:val="24"/>
          </w:rPr>
        </w:r>
        <w:r w:rsidR="001F197F">
          <w:rPr>
            <w:sz w:val="24"/>
          </w:rPr>
          <w:fldChar w:fldCharType="separate"/>
        </w:r>
        <w:r w:rsidR="00C87A30">
          <w:rPr>
            <w:noProof/>
            <w:sz w:val="24"/>
          </w:rPr>
          <w:t>18</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75" w:history="1">
        <w:r w:rsidR="001F197F">
          <w:rPr>
            <w:rStyle w:val="af5"/>
            <w:rFonts w:ascii="彩虹粗仿宋" w:eastAsia="彩虹粗仿宋"/>
            <w:sz w:val="24"/>
          </w:rPr>
          <w:t>九、基金收益分配</w:t>
        </w:r>
        <w:r w:rsidR="001F197F">
          <w:rPr>
            <w:sz w:val="24"/>
          </w:rPr>
          <w:tab/>
        </w:r>
        <w:r w:rsidR="001F197F">
          <w:rPr>
            <w:sz w:val="24"/>
          </w:rPr>
          <w:fldChar w:fldCharType="begin"/>
        </w:r>
        <w:r w:rsidR="001F197F">
          <w:rPr>
            <w:sz w:val="24"/>
          </w:rPr>
          <w:instrText xml:space="preserve"> PAGEREF _Toc26280975 \h </w:instrText>
        </w:r>
        <w:r w:rsidR="001F197F">
          <w:rPr>
            <w:sz w:val="24"/>
          </w:rPr>
        </w:r>
        <w:r w:rsidR="001F197F">
          <w:rPr>
            <w:sz w:val="24"/>
          </w:rPr>
          <w:fldChar w:fldCharType="separate"/>
        </w:r>
        <w:r w:rsidR="00C87A30">
          <w:rPr>
            <w:noProof/>
            <w:sz w:val="24"/>
          </w:rPr>
          <w:t>22</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76" w:history="1">
        <w:r w:rsidR="001F197F">
          <w:rPr>
            <w:rStyle w:val="af5"/>
            <w:rFonts w:ascii="彩虹粗仿宋" w:eastAsia="彩虹粗仿宋"/>
            <w:sz w:val="24"/>
          </w:rPr>
          <w:t>十、基金信息披露</w:t>
        </w:r>
        <w:r w:rsidR="001F197F">
          <w:rPr>
            <w:sz w:val="24"/>
          </w:rPr>
          <w:tab/>
        </w:r>
        <w:r w:rsidR="001F197F">
          <w:rPr>
            <w:sz w:val="24"/>
          </w:rPr>
          <w:fldChar w:fldCharType="begin"/>
        </w:r>
        <w:r w:rsidR="001F197F">
          <w:rPr>
            <w:sz w:val="24"/>
          </w:rPr>
          <w:instrText xml:space="preserve"> PAGEREF _Toc26280976 \h </w:instrText>
        </w:r>
        <w:r w:rsidR="001F197F">
          <w:rPr>
            <w:sz w:val="24"/>
          </w:rPr>
        </w:r>
        <w:r w:rsidR="001F197F">
          <w:rPr>
            <w:sz w:val="24"/>
          </w:rPr>
          <w:fldChar w:fldCharType="separate"/>
        </w:r>
        <w:r w:rsidR="00C87A30">
          <w:rPr>
            <w:noProof/>
            <w:sz w:val="24"/>
          </w:rPr>
          <w:t>22</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77" w:history="1">
        <w:r w:rsidR="001F197F">
          <w:rPr>
            <w:rStyle w:val="af5"/>
            <w:rFonts w:ascii="彩虹粗仿宋" w:eastAsia="彩虹粗仿宋"/>
            <w:sz w:val="24"/>
          </w:rPr>
          <w:t>十一、基金费用</w:t>
        </w:r>
        <w:r w:rsidR="001F197F">
          <w:rPr>
            <w:sz w:val="24"/>
          </w:rPr>
          <w:tab/>
        </w:r>
        <w:r w:rsidR="001F197F">
          <w:rPr>
            <w:sz w:val="24"/>
          </w:rPr>
          <w:fldChar w:fldCharType="begin"/>
        </w:r>
        <w:r w:rsidR="001F197F">
          <w:rPr>
            <w:sz w:val="24"/>
          </w:rPr>
          <w:instrText xml:space="preserve"> PAGEREF _Toc26280977 \h </w:instrText>
        </w:r>
        <w:r w:rsidR="001F197F">
          <w:rPr>
            <w:sz w:val="24"/>
          </w:rPr>
        </w:r>
        <w:r w:rsidR="001F197F">
          <w:rPr>
            <w:sz w:val="24"/>
          </w:rPr>
          <w:fldChar w:fldCharType="separate"/>
        </w:r>
        <w:r w:rsidR="00C87A30">
          <w:rPr>
            <w:noProof/>
            <w:sz w:val="24"/>
          </w:rPr>
          <w:t>24</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78" w:history="1">
        <w:r w:rsidR="001F197F">
          <w:rPr>
            <w:rStyle w:val="af5"/>
            <w:rFonts w:ascii="彩虹粗仿宋" w:eastAsia="彩虹粗仿宋"/>
            <w:sz w:val="24"/>
          </w:rPr>
          <w:t>十二、基金份额持有人名册的保管</w:t>
        </w:r>
        <w:r w:rsidR="001F197F">
          <w:rPr>
            <w:sz w:val="24"/>
          </w:rPr>
          <w:tab/>
        </w:r>
        <w:r w:rsidR="001F197F">
          <w:rPr>
            <w:sz w:val="24"/>
          </w:rPr>
          <w:fldChar w:fldCharType="begin"/>
        </w:r>
        <w:r w:rsidR="001F197F">
          <w:rPr>
            <w:sz w:val="24"/>
          </w:rPr>
          <w:instrText xml:space="preserve"> PAGEREF _Toc26280978 \h </w:instrText>
        </w:r>
        <w:r w:rsidR="001F197F">
          <w:rPr>
            <w:sz w:val="24"/>
          </w:rPr>
        </w:r>
        <w:r w:rsidR="001F197F">
          <w:rPr>
            <w:sz w:val="24"/>
          </w:rPr>
          <w:fldChar w:fldCharType="separate"/>
        </w:r>
        <w:r w:rsidR="00C87A30">
          <w:rPr>
            <w:noProof/>
            <w:sz w:val="24"/>
          </w:rPr>
          <w:t>25</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79" w:history="1">
        <w:r w:rsidR="001F197F">
          <w:rPr>
            <w:rStyle w:val="af5"/>
            <w:rFonts w:ascii="彩虹粗仿宋" w:eastAsia="彩虹粗仿宋"/>
            <w:sz w:val="24"/>
          </w:rPr>
          <w:t>十三、基金有关文件档案的保存</w:t>
        </w:r>
        <w:r w:rsidR="001F197F">
          <w:rPr>
            <w:sz w:val="24"/>
          </w:rPr>
          <w:tab/>
        </w:r>
        <w:r w:rsidR="001F197F">
          <w:rPr>
            <w:sz w:val="24"/>
          </w:rPr>
          <w:fldChar w:fldCharType="begin"/>
        </w:r>
        <w:r w:rsidR="001F197F">
          <w:rPr>
            <w:sz w:val="24"/>
          </w:rPr>
          <w:instrText xml:space="preserve"> PAGEREF _Toc26280979 \h </w:instrText>
        </w:r>
        <w:r w:rsidR="001F197F">
          <w:rPr>
            <w:sz w:val="24"/>
          </w:rPr>
        </w:r>
        <w:r w:rsidR="001F197F">
          <w:rPr>
            <w:sz w:val="24"/>
          </w:rPr>
          <w:fldChar w:fldCharType="separate"/>
        </w:r>
        <w:r w:rsidR="00C87A30">
          <w:rPr>
            <w:noProof/>
            <w:sz w:val="24"/>
          </w:rPr>
          <w:t>26</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80" w:history="1">
        <w:r w:rsidR="001F197F">
          <w:rPr>
            <w:rStyle w:val="af5"/>
            <w:rFonts w:ascii="彩虹粗仿宋" w:eastAsia="彩虹粗仿宋"/>
            <w:sz w:val="24"/>
          </w:rPr>
          <w:t>十四、基金管理人和基金托管人的更换</w:t>
        </w:r>
        <w:r w:rsidR="001F197F">
          <w:rPr>
            <w:sz w:val="24"/>
          </w:rPr>
          <w:tab/>
        </w:r>
        <w:r w:rsidR="001F197F">
          <w:rPr>
            <w:sz w:val="24"/>
          </w:rPr>
          <w:fldChar w:fldCharType="begin"/>
        </w:r>
        <w:r w:rsidR="001F197F">
          <w:rPr>
            <w:sz w:val="24"/>
          </w:rPr>
          <w:instrText xml:space="preserve"> PAGEREF _Toc26280980 \h </w:instrText>
        </w:r>
        <w:r w:rsidR="001F197F">
          <w:rPr>
            <w:sz w:val="24"/>
          </w:rPr>
        </w:r>
        <w:r w:rsidR="001F197F">
          <w:rPr>
            <w:sz w:val="24"/>
          </w:rPr>
          <w:fldChar w:fldCharType="separate"/>
        </w:r>
        <w:r w:rsidR="00C87A30">
          <w:rPr>
            <w:noProof/>
            <w:sz w:val="24"/>
          </w:rPr>
          <w:t>26</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81" w:history="1">
        <w:r w:rsidR="001F197F">
          <w:rPr>
            <w:rStyle w:val="af5"/>
            <w:rFonts w:ascii="彩虹粗仿宋" w:eastAsia="彩虹粗仿宋"/>
            <w:sz w:val="24"/>
          </w:rPr>
          <w:t>十五、禁止行为</w:t>
        </w:r>
        <w:r w:rsidR="001F197F">
          <w:rPr>
            <w:sz w:val="24"/>
          </w:rPr>
          <w:tab/>
        </w:r>
        <w:r w:rsidR="001F197F">
          <w:rPr>
            <w:sz w:val="24"/>
          </w:rPr>
          <w:fldChar w:fldCharType="begin"/>
        </w:r>
        <w:r w:rsidR="001F197F">
          <w:rPr>
            <w:sz w:val="24"/>
          </w:rPr>
          <w:instrText xml:space="preserve"> PAGEREF _Toc26280981 \h </w:instrText>
        </w:r>
        <w:r w:rsidR="001F197F">
          <w:rPr>
            <w:sz w:val="24"/>
          </w:rPr>
        </w:r>
        <w:r w:rsidR="001F197F">
          <w:rPr>
            <w:sz w:val="24"/>
          </w:rPr>
          <w:fldChar w:fldCharType="separate"/>
        </w:r>
        <w:r w:rsidR="00C87A30">
          <w:rPr>
            <w:noProof/>
            <w:sz w:val="24"/>
          </w:rPr>
          <w:t>28</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82" w:history="1">
        <w:r w:rsidR="001F197F">
          <w:rPr>
            <w:rStyle w:val="af5"/>
            <w:rFonts w:ascii="彩虹粗仿宋" w:eastAsia="彩虹粗仿宋"/>
            <w:sz w:val="24"/>
          </w:rPr>
          <w:t>十六、托管协议的变更、终止与基金财产的清算</w:t>
        </w:r>
        <w:r w:rsidR="001F197F">
          <w:rPr>
            <w:sz w:val="24"/>
          </w:rPr>
          <w:tab/>
        </w:r>
        <w:r w:rsidR="001F197F">
          <w:rPr>
            <w:sz w:val="24"/>
          </w:rPr>
          <w:fldChar w:fldCharType="begin"/>
        </w:r>
        <w:r w:rsidR="001F197F">
          <w:rPr>
            <w:sz w:val="24"/>
          </w:rPr>
          <w:instrText xml:space="preserve"> PAGEREF _Toc26280982 \h </w:instrText>
        </w:r>
        <w:r w:rsidR="001F197F">
          <w:rPr>
            <w:sz w:val="24"/>
          </w:rPr>
        </w:r>
        <w:r w:rsidR="001F197F">
          <w:rPr>
            <w:sz w:val="24"/>
          </w:rPr>
          <w:fldChar w:fldCharType="separate"/>
        </w:r>
        <w:r w:rsidR="00C87A30">
          <w:rPr>
            <w:noProof/>
            <w:sz w:val="24"/>
          </w:rPr>
          <w:t>29</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83" w:history="1">
        <w:r w:rsidR="001F197F">
          <w:rPr>
            <w:rStyle w:val="af5"/>
            <w:rFonts w:ascii="彩虹粗仿宋" w:eastAsia="彩虹粗仿宋"/>
            <w:sz w:val="24"/>
          </w:rPr>
          <w:t>十七、违约责任</w:t>
        </w:r>
        <w:r w:rsidR="001F197F">
          <w:rPr>
            <w:sz w:val="24"/>
          </w:rPr>
          <w:tab/>
        </w:r>
        <w:r w:rsidR="001F197F">
          <w:rPr>
            <w:sz w:val="24"/>
          </w:rPr>
          <w:fldChar w:fldCharType="begin"/>
        </w:r>
        <w:r w:rsidR="001F197F">
          <w:rPr>
            <w:sz w:val="24"/>
          </w:rPr>
          <w:instrText xml:space="preserve"> PAGEREF _Toc26280983 \h </w:instrText>
        </w:r>
        <w:r w:rsidR="001F197F">
          <w:rPr>
            <w:sz w:val="24"/>
          </w:rPr>
        </w:r>
        <w:r w:rsidR="001F197F">
          <w:rPr>
            <w:sz w:val="24"/>
          </w:rPr>
          <w:fldChar w:fldCharType="separate"/>
        </w:r>
        <w:r w:rsidR="00C87A30">
          <w:rPr>
            <w:noProof/>
            <w:sz w:val="24"/>
          </w:rPr>
          <w:t>30</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84" w:history="1">
        <w:r w:rsidR="001F197F">
          <w:rPr>
            <w:rStyle w:val="af5"/>
            <w:rFonts w:ascii="彩虹粗仿宋" w:eastAsia="彩虹粗仿宋"/>
            <w:sz w:val="24"/>
          </w:rPr>
          <w:t>十八、争议解决方式</w:t>
        </w:r>
        <w:r w:rsidR="001F197F">
          <w:rPr>
            <w:sz w:val="24"/>
          </w:rPr>
          <w:tab/>
        </w:r>
        <w:r w:rsidR="001F197F">
          <w:rPr>
            <w:sz w:val="24"/>
          </w:rPr>
          <w:fldChar w:fldCharType="begin"/>
        </w:r>
        <w:r w:rsidR="001F197F">
          <w:rPr>
            <w:sz w:val="24"/>
          </w:rPr>
          <w:instrText xml:space="preserve"> PAGEREF _Toc26280984 \h </w:instrText>
        </w:r>
        <w:r w:rsidR="001F197F">
          <w:rPr>
            <w:sz w:val="24"/>
          </w:rPr>
        </w:r>
        <w:r w:rsidR="001F197F">
          <w:rPr>
            <w:sz w:val="24"/>
          </w:rPr>
          <w:fldChar w:fldCharType="separate"/>
        </w:r>
        <w:r w:rsidR="00C87A30">
          <w:rPr>
            <w:noProof/>
            <w:sz w:val="24"/>
          </w:rPr>
          <w:t>31</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85" w:history="1">
        <w:r w:rsidR="001F197F">
          <w:rPr>
            <w:rStyle w:val="af5"/>
            <w:rFonts w:ascii="彩虹粗仿宋" w:eastAsia="彩虹粗仿宋"/>
            <w:sz w:val="24"/>
          </w:rPr>
          <w:t>十九、托管协议的效力</w:t>
        </w:r>
        <w:r w:rsidR="001F197F">
          <w:rPr>
            <w:sz w:val="24"/>
          </w:rPr>
          <w:tab/>
        </w:r>
        <w:r w:rsidR="001F197F">
          <w:rPr>
            <w:sz w:val="24"/>
          </w:rPr>
          <w:fldChar w:fldCharType="begin"/>
        </w:r>
        <w:r w:rsidR="001F197F">
          <w:rPr>
            <w:sz w:val="24"/>
          </w:rPr>
          <w:instrText xml:space="preserve"> PAGEREF _Toc26280985 \h </w:instrText>
        </w:r>
        <w:r w:rsidR="001F197F">
          <w:rPr>
            <w:sz w:val="24"/>
          </w:rPr>
        </w:r>
        <w:r w:rsidR="001F197F">
          <w:rPr>
            <w:sz w:val="24"/>
          </w:rPr>
          <w:fldChar w:fldCharType="separate"/>
        </w:r>
        <w:r w:rsidR="00C87A30">
          <w:rPr>
            <w:noProof/>
            <w:sz w:val="24"/>
          </w:rPr>
          <w:t>32</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86" w:history="1">
        <w:r w:rsidR="001F197F">
          <w:rPr>
            <w:rStyle w:val="af5"/>
            <w:rFonts w:ascii="彩虹粗仿宋" w:eastAsia="彩虹粗仿宋"/>
            <w:sz w:val="24"/>
          </w:rPr>
          <w:t>二十、其他事项</w:t>
        </w:r>
        <w:r w:rsidR="001F197F">
          <w:rPr>
            <w:sz w:val="24"/>
          </w:rPr>
          <w:tab/>
        </w:r>
        <w:r w:rsidR="001F197F">
          <w:rPr>
            <w:sz w:val="24"/>
          </w:rPr>
          <w:fldChar w:fldCharType="begin"/>
        </w:r>
        <w:r w:rsidR="001F197F">
          <w:rPr>
            <w:sz w:val="24"/>
          </w:rPr>
          <w:instrText xml:space="preserve"> PAGEREF _Toc26280986 \h </w:instrText>
        </w:r>
        <w:r w:rsidR="001F197F">
          <w:rPr>
            <w:sz w:val="24"/>
          </w:rPr>
        </w:r>
        <w:r w:rsidR="001F197F">
          <w:rPr>
            <w:sz w:val="24"/>
          </w:rPr>
          <w:fldChar w:fldCharType="separate"/>
        </w:r>
        <w:r w:rsidR="00C87A30">
          <w:rPr>
            <w:noProof/>
            <w:sz w:val="24"/>
          </w:rPr>
          <w:t>32</w:t>
        </w:r>
        <w:r w:rsidR="001F197F">
          <w:rPr>
            <w:sz w:val="24"/>
          </w:rPr>
          <w:fldChar w:fldCharType="end"/>
        </w:r>
      </w:hyperlink>
    </w:p>
    <w:p w:rsidR="00D745FC" w:rsidRDefault="00D751D7">
      <w:pPr>
        <w:pStyle w:val="TOC2"/>
        <w:tabs>
          <w:tab w:val="right" w:leader="dot" w:pos="8494"/>
        </w:tabs>
        <w:rPr>
          <w:rFonts w:asciiTheme="minorHAnsi" w:eastAsiaTheme="minorEastAsia" w:hAnsiTheme="minorHAnsi" w:cstheme="minorBidi"/>
          <w:sz w:val="24"/>
        </w:rPr>
      </w:pPr>
      <w:hyperlink w:anchor="_Toc26280987" w:history="1">
        <w:r w:rsidR="001F197F">
          <w:rPr>
            <w:rStyle w:val="af5"/>
            <w:rFonts w:ascii="彩虹粗仿宋" w:eastAsia="彩虹粗仿宋"/>
            <w:sz w:val="24"/>
          </w:rPr>
          <w:t>二十一、托管协议的签订</w:t>
        </w:r>
        <w:r w:rsidR="001F197F">
          <w:rPr>
            <w:sz w:val="24"/>
          </w:rPr>
          <w:tab/>
        </w:r>
        <w:r w:rsidR="001F197F">
          <w:rPr>
            <w:sz w:val="24"/>
          </w:rPr>
          <w:fldChar w:fldCharType="begin"/>
        </w:r>
        <w:r w:rsidR="001F197F">
          <w:rPr>
            <w:sz w:val="24"/>
          </w:rPr>
          <w:instrText xml:space="preserve"> PAGEREF _Toc26280987 \h </w:instrText>
        </w:r>
        <w:r w:rsidR="001F197F">
          <w:rPr>
            <w:sz w:val="24"/>
          </w:rPr>
        </w:r>
        <w:r w:rsidR="001F197F">
          <w:rPr>
            <w:sz w:val="24"/>
          </w:rPr>
          <w:fldChar w:fldCharType="separate"/>
        </w:r>
        <w:r w:rsidR="00C87A30">
          <w:rPr>
            <w:noProof/>
            <w:sz w:val="24"/>
          </w:rPr>
          <w:t>32</w:t>
        </w:r>
        <w:r w:rsidR="001F197F">
          <w:rPr>
            <w:sz w:val="24"/>
          </w:rPr>
          <w:fldChar w:fldCharType="end"/>
        </w:r>
      </w:hyperlink>
    </w:p>
    <w:p w:rsidR="00D745FC" w:rsidRDefault="001F197F">
      <w:pPr>
        <w:rPr>
          <w:rFonts w:ascii="彩虹粗仿宋" w:eastAsia="彩虹粗仿宋"/>
          <w:sz w:val="24"/>
        </w:rPr>
      </w:pPr>
      <w:r>
        <w:rPr>
          <w:rFonts w:ascii="彩虹粗仿宋" w:eastAsia="彩虹粗仿宋" w:hAnsi="宋体" w:hint="eastAsia"/>
          <w:sz w:val="28"/>
        </w:rPr>
        <w:lastRenderedPageBreak/>
        <w:fldChar w:fldCharType="end"/>
      </w:r>
    </w:p>
    <w:p w:rsidR="00D745FC" w:rsidRDefault="001F197F">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鉴于格林基金管理有限公司系一家依照中国法律合法成立并有效存续的有限责任公司，按照相关法律法规的规定具备担任基金管理人的资格和能力，拟募集发行格林泓裕一年定期开放债券型证券投资基金；</w:t>
      </w:r>
    </w:p>
    <w:p w:rsidR="00D745FC" w:rsidRDefault="001F197F">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D745FC" w:rsidRDefault="001F197F">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鉴于格林基金管理有限公司拟担任格林泓裕一年定期开放债券型证券投资基金的基金管理人，中国建设银行股份有限公司拟担任格林泓裕一年定期开放债券型证券投资基金的基金托管人；</w:t>
      </w:r>
    </w:p>
    <w:p w:rsidR="00D745FC" w:rsidRDefault="001F197F">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为明确格林泓裕一年定期开放债券型证券投资基金的基金管理人和基金托管人之间的权利义务关系，特制订本托管协议；</w:t>
      </w:r>
    </w:p>
    <w:p w:rsidR="00D745FC" w:rsidRDefault="001F197F">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除非另有约定，《格林泓裕一年定期开放债券型证券投资基金基金合同》(以下简称“《基金合同》”)中定义的术语在用于本托管协议时应具有相同的含义；若有抵触应以《基金合同》为准，并依其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D745FC" w:rsidRDefault="00D745FC">
      <w:pPr>
        <w:rPr>
          <w:rFonts w:ascii="彩虹粗仿宋" w:eastAsia="彩虹粗仿宋"/>
          <w:sz w:val="24"/>
          <w:lang w:val="en-GB"/>
        </w:rPr>
      </w:pPr>
    </w:p>
    <w:p w:rsidR="00D745FC" w:rsidRDefault="001F197F">
      <w:pPr>
        <w:pStyle w:val="2"/>
        <w:jc w:val="center"/>
        <w:rPr>
          <w:rFonts w:ascii="彩虹粗仿宋" w:eastAsia="彩虹粗仿宋"/>
        </w:rPr>
      </w:pPr>
      <w:bookmarkStart w:id="0" w:name="_Toc26280967"/>
      <w:r>
        <w:rPr>
          <w:rFonts w:ascii="彩虹粗仿宋" w:eastAsia="彩虹粗仿宋" w:hint="eastAsia"/>
        </w:rPr>
        <w:t>一、基金托管协议当事人</w:t>
      </w:r>
      <w:bookmarkEnd w:id="0"/>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名称：格林基金管理有限公司</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注册地址：北京市朝阳区东三环中路</w:t>
      </w:r>
      <w:r>
        <w:rPr>
          <w:rFonts w:ascii="彩虹粗仿宋" w:eastAsia="彩虹粗仿宋" w:hAnsi="宋体" w:cs="Arial"/>
          <w:sz w:val="24"/>
        </w:rPr>
        <w:t>5号楼47层04、05、06号</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办公地址：北京市朝阳区东三环中路</w:t>
      </w:r>
      <w:r>
        <w:rPr>
          <w:rFonts w:ascii="彩虹粗仿宋" w:eastAsia="彩虹粗仿宋" w:hAnsi="宋体" w:cs="Arial"/>
          <w:sz w:val="24"/>
        </w:rPr>
        <w:t>5号楼财富金融中心47层（电梯层58层）04、05、06号</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w:t>
      </w:r>
      <w:r>
        <w:rPr>
          <w:rFonts w:ascii="彩虹粗仿宋" w:eastAsia="彩虹粗仿宋" w:hAnsi="宋体" w:cs="Arial"/>
          <w:sz w:val="24"/>
        </w:rPr>
        <w:t>00020</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法定代表人：高永红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w:t>
      </w:r>
      <w:r>
        <w:rPr>
          <w:rFonts w:ascii="彩虹粗仿宋" w:eastAsia="彩虹粗仿宋" w:hAnsi="宋体" w:cs="Arial"/>
          <w:sz w:val="24"/>
        </w:rPr>
        <w:t>016</w:t>
      </w:r>
      <w:r>
        <w:rPr>
          <w:rStyle w:val="read"/>
          <w:rFonts w:ascii="彩虹粗仿宋" w:eastAsia="彩虹粗仿宋" w:hAnsi="宋体" w:cs="Arial" w:hint="eastAsia"/>
          <w:sz w:val="24"/>
        </w:rPr>
        <w:t>年1</w:t>
      </w:r>
      <w:r>
        <w:rPr>
          <w:rStyle w:val="read"/>
          <w:rFonts w:ascii="彩虹粗仿宋" w:eastAsia="彩虹粗仿宋" w:hAnsi="宋体" w:cs="Arial"/>
          <w:sz w:val="24"/>
        </w:rPr>
        <w:t>1</w:t>
      </w:r>
      <w:r>
        <w:rPr>
          <w:rStyle w:val="read"/>
          <w:rFonts w:ascii="彩虹粗仿宋" w:eastAsia="彩虹粗仿宋" w:hAnsi="宋体" w:cs="Arial" w:hint="eastAsia"/>
          <w:sz w:val="24"/>
        </w:rPr>
        <w:t>月1日</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批准设立机关及批准设立文号：中国证监会证监许可</w:t>
      </w:r>
      <w:r>
        <w:rPr>
          <w:rStyle w:val="read"/>
          <w:rFonts w:ascii="彩虹粗仿宋" w:eastAsia="彩虹粗仿宋" w:hAnsi="宋体" w:cs="Arial" w:hint="eastAsia"/>
          <w:sz w:val="24"/>
        </w:rPr>
        <w:t>[</w:t>
      </w:r>
      <w:r>
        <w:rPr>
          <w:rStyle w:val="read"/>
          <w:rFonts w:ascii="彩虹粗仿宋" w:eastAsia="彩虹粗仿宋" w:hAnsi="宋体" w:cs="Arial"/>
          <w:sz w:val="24"/>
        </w:rPr>
        <w:t>2016</w:t>
      </w:r>
      <w:r>
        <w:rPr>
          <w:rStyle w:val="read"/>
          <w:rFonts w:ascii="彩虹粗仿宋" w:eastAsia="彩虹粗仿宋" w:hAnsi="宋体" w:cs="Arial" w:hint="eastAsia"/>
          <w:sz w:val="24"/>
        </w:rPr>
        <w:t>]</w:t>
      </w:r>
      <w:r>
        <w:rPr>
          <w:rStyle w:val="read"/>
          <w:rFonts w:ascii="彩虹粗仿宋" w:eastAsia="彩虹粗仿宋" w:hAnsi="宋体" w:cs="Arial"/>
          <w:sz w:val="24"/>
        </w:rPr>
        <w:t>2266</w:t>
      </w:r>
      <w:r>
        <w:rPr>
          <w:rFonts w:ascii="彩虹粗仿宋" w:eastAsia="彩虹粗仿宋" w:hAnsi="宋体" w:cs="Arial" w:hint="eastAsia"/>
          <w:sz w:val="24"/>
        </w:rPr>
        <w:t>号</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注册资本：1</w:t>
      </w:r>
      <w:r>
        <w:rPr>
          <w:rFonts w:ascii="彩虹粗仿宋" w:eastAsia="彩虹粗仿宋" w:hAnsi="宋体" w:cs="Arial"/>
          <w:sz w:val="24"/>
        </w:rPr>
        <w:t>5000</w:t>
      </w:r>
      <w:r>
        <w:rPr>
          <w:rFonts w:ascii="彩虹粗仿宋" w:eastAsia="彩虹粗仿宋" w:hAnsi="宋体" w:cs="Arial" w:hint="eastAsia"/>
          <w:sz w:val="24"/>
        </w:rPr>
        <w:t>万元人民币</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存续期间：永续经营</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经营范围：基金募集、基金销售、资产管理、特定客户资产管理和中国证监会许可的其他业务</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名称：中国建设银行股份有限公司</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1" w:name="OLE_LINK3"/>
      <w:r>
        <w:rPr>
          <w:rFonts w:ascii="彩虹粗仿宋" w:eastAsia="彩虹粗仿宋" w:hAnsi="宋体" w:cs="Arial" w:hint="eastAsia"/>
          <w:sz w:val="24"/>
        </w:rPr>
        <w:t>]</w:t>
      </w:r>
      <w:bookmarkEnd w:id="1"/>
      <w:r>
        <w:rPr>
          <w:rFonts w:ascii="彩虹粗仿宋" w:eastAsia="彩虹粗仿宋" w:hAnsi="宋体" w:cs="Arial" w:hint="eastAsia"/>
          <w:sz w:val="24"/>
        </w:rPr>
        <w:t>12号</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D745FC" w:rsidRDefault="001F197F">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745FC" w:rsidRDefault="00D745FC">
      <w:pPr>
        <w:rPr>
          <w:rFonts w:ascii="彩虹粗仿宋" w:eastAsia="彩虹粗仿宋"/>
          <w:sz w:val="24"/>
        </w:rPr>
      </w:pPr>
    </w:p>
    <w:p w:rsidR="00D745FC" w:rsidRDefault="001F197F">
      <w:pPr>
        <w:pStyle w:val="2"/>
        <w:jc w:val="center"/>
        <w:rPr>
          <w:rFonts w:ascii="彩虹粗仿宋" w:eastAsia="彩虹粗仿宋"/>
          <w:sz w:val="30"/>
        </w:rPr>
      </w:pPr>
      <w:bookmarkStart w:id="2" w:name="_Toc26280968"/>
      <w:r>
        <w:rPr>
          <w:rFonts w:ascii="彩虹粗仿宋" w:eastAsia="彩虹粗仿宋" w:hint="eastAsia"/>
          <w:sz w:val="30"/>
        </w:rPr>
        <w:t>二、基金托管协议的依据、目的和原则</w:t>
      </w:r>
      <w:bookmarkEnd w:id="2"/>
    </w:p>
    <w:p w:rsidR="00D745FC" w:rsidRDefault="001F197F">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D745FC" w:rsidRDefault="001F197F">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基金份额持有人名册的保管、信息披露及相互监督等相关事宜中的权利义务及职责，确保基金财产的安全，保护基金份额持有人的合法权益。</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D745FC" w:rsidRDefault="00D745FC">
      <w:pPr>
        <w:rPr>
          <w:rFonts w:ascii="彩虹粗仿宋" w:eastAsia="彩虹粗仿宋"/>
          <w:sz w:val="24"/>
        </w:rPr>
      </w:pPr>
    </w:p>
    <w:p w:rsidR="00D745FC" w:rsidRDefault="001F197F">
      <w:pPr>
        <w:pStyle w:val="2"/>
        <w:jc w:val="center"/>
        <w:rPr>
          <w:rFonts w:ascii="彩虹粗仿宋" w:eastAsia="彩虹粗仿宋"/>
          <w:sz w:val="30"/>
          <w:szCs w:val="24"/>
        </w:rPr>
      </w:pPr>
      <w:bookmarkStart w:id="3" w:name="_Toc26280969"/>
      <w:r>
        <w:rPr>
          <w:rFonts w:ascii="彩虹粗仿宋" w:eastAsia="彩虹粗仿宋" w:hint="eastAsia"/>
          <w:sz w:val="30"/>
        </w:rPr>
        <w:lastRenderedPageBreak/>
        <w:t>三、基金托管人对基金管理人的业务监督和核查</w:t>
      </w:r>
      <w:bookmarkEnd w:id="3"/>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745FC" w:rsidRDefault="001F197F">
      <w:pPr>
        <w:adjustRightInd w:val="0"/>
        <w:snapToGrid w:val="0"/>
        <w:ind w:firstLineChars="200" w:firstLine="480"/>
        <w:rPr>
          <w:rFonts w:ascii="彩虹粗仿宋" w:eastAsia="彩虹粗仿宋"/>
          <w:sz w:val="24"/>
          <w:szCs w:val="30"/>
        </w:rPr>
      </w:pPr>
      <w:r>
        <w:rPr>
          <w:rFonts w:ascii="彩虹粗仿宋" w:eastAsia="彩虹粗仿宋" w:hint="eastAsia"/>
          <w:sz w:val="24"/>
          <w:szCs w:val="30"/>
        </w:rPr>
        <w:t>本基金的投资范围为具有良好流动性的金融工具,包括债券（含国债、央行票据、金融债、地方政府债、企业债、公司债、短期融资券、超短期融资券、可分离交易可转债的纯债部分、中期票据、公开发行的次级债券）、资产支持证券、债券回购、同业存单、银行存款(包括协议存款、定期存款及其他银行存款)、货币市场工具及法律法规或中国证监会允许基金投资的其他金融工具,但须符合中国证监会相关规定。</w:t>
      </w:r>
    </w:p>
    <w:p w:rsidR="00D745FC" w:rsidRDefault="001F197F">
      <w:pPr>
        <w:adjustRightInd w:val="0"/>
        <w:snapToGrid w:val="0"/>
        <w:ind w:firstLineChars="200" w:firstLine="480"/>
        <w:rPr>
          <w:rFonts w:ascii="彩虹粗仿宋" w:eastAsia="彩虹粗仿宋"/>
          <w:sz w:val="24"/>
          <w:szCs w:val="30"/>
        </w:rPr>
      </w:pPr>
      <w:r>
        <w:rPr>
          <w:rFonts w:ascii="彩虹粗仿宋" w:eastAsia="彩虹粗仿宋" w:hint="eastAsia"/>
          <w:sz w:val="24"/>
          <w:szCs w:val="30"/>
        </w:rPr>
        <w:t>本基金不投资于股票,也不投资于可转换债券（可分离交易可转债的纯债部分除外）及可交换债券。</w:t>
      </w:r>
    </w:p>
    <w:p w:rsidR="00D745FC" w:rsidRDefault="001F197F">
      <w:pPr>
        <w:adjustRightInd w:val="0"/>
        <w:snapToGrid w:val="0"/>
        <w:ind w:firstLineChars="200" w:firstLine="480"/>
        <w:rPr>
          <w:rFonts w:ascii="彩虹粗仿宋" w:eastAsia="彩虹粗仿宋"/>
          <w:sz w:val="24"/>
          <w:szCs w:val="30"/>
        </w:rPr>
      </w:pPr>
      <w:r>
        <w:rPr>
          <w:rFonts w:ascii="彩虹粗仿宋" w:eastAsia="彩虹粗仿宋" w:hint="eastAsia"/>
          <w:sz w:val="24"/>
          <w:szCs w:val="30"/>
        </w:rPr>
        <w:t>如法律法规或监管机构以后允许基金投资其他品种，基金管理人在履行适当程序后，可以将其纳入投资范围。</w:t>
      </w:r>
    </w:p>
    <w:p w:rsidR="00D745FC" w:rsidRDefault="001F197F">
      <w:pPr>
        <w:adjustRightInd w:val="0"/>
        <w:snapToGrid w:val="0"/>
        <w:ind w:firstLineChars="200" w:firstLine="480"/>
        <w:rPr>
          <w:rFonts w:ascii="彩虹粗仿宋" w:eastAsia="彩虹粗仿宋"/>
          <w:sz w:val="24"/>
          <w:szCs w:val="30"/>
        </w:rPr>
      </w:pPr>
      <w:r>
        <w:rPr>
          <w:rFonts w:ascii="彩虹粗仿宋" w:eastAsia="彩虹粗仿宋" w:hint="eastAsia"/>
          <w:sz w:val="24"/>
          <w:szCs w:val="30"/>
        </w:rPr>
        <w:t>基金的投资组合比例为：本基金投资于债券资产的比例不低于基金资产的80%，但应开放期流动性需要，为保护基金份额持有人利益，在每个开放期的前一个月、开放期及开放期结束后一个月的期间内，本基金投资不受前述比例限制。在开放期内，本基金持有现金或者到期日在一年以内的政府债券比例不低于基金资产净值的5%。在封闭期内，本基金不受上述5%的限制。其中，现金不包括结算备付金、存出保证金、应收申购款等。</w:t>
      </w:r>
    </w:p>
    <w:p w:rsidR="00D745FC" w:rsidRDefault="001F197F">
      <w:pPr>
        <w:adjustRightInd w:val="0"/>
        <w:snapToGrid w:val="0"/>
        <w:ind w:firstLineChars="200" w:firstLine="480"/>
        <w:rPr>
          <w:rFonts w:ascii="彩虹粗仿宋" w:eastAsia="彩虹粗仿宋"/>
          <w:sz w:val="24"/>
          <w:szCs w:val="30"/>
        </w:rPr>
      </w:pPr>
      <w:r>
        <w:rPr>
          <w:rFonts w:ascii="彩虹粗仿宋" w:eastAsia="彩虹粗仿宋" w:hAnsi="Times New Roman" w:hint="eastAsia"/>
          <w:sz w:val="24"/>
          <w:szCs w:val="30"/>
        </w:rPr>
        <w:t>如法律法规或中国证监会变更投资品种的投资比例限制，基金管理人在履行适当程序后，可以调整上述投资品种的投资比例。</w:t>
      </w:r>
    </w:p>
    <w:p w:rsidR="00D745FC" w:rsidRDefault="001F197F">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D745FC" w:rsidRDefault="001F197F">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w:t>
      </w:r>
      <w:r>
        <w:rPr>
          <w:rFonts w:ascii="彩虹粗仿宋" w:eastAsia="彩虹粗仿宋" w:hint="eastAsia"/>
          <w:sz w:val="24"/>
        </w:rPr>
        <w:t>在封闭期内，本基金投资的各类金融工具的到期日（或回售日）不得晚于该封闭期的最后一日；</w:t>
      </w:r>
    </w:p>
    <w:p w:rsidR="00D745FC" w:rsidRDefault="001F197F">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w:t>
      </w:r>
      <w:r>
        <w:rPr>
          <w:rFonts w:ascii="彩虹粗仿宋" w:eastAsia="彩虹粗仿宋" w:hint="eastAsia"/>
          <w:sz w:val="24"/>
        </w:rPr>
        <w:t>本基金投资于债券资产比例不低于基金资产的80%，但应开放期流动性需要，为保护基金份额持有人利益，本基金开放期开始前1个月、开放期及开放期结束后的1个月的期间内，本基金的债券资产的投资比例可不受上述限制；</w:t>
      </w:r>
    </w:p>
    <w:p w:rsidR="00D745FC" w:rsidRDefault="001F197F">
      <w:pPr>
        <w:adjustRightInd w:val="0"/>
        <w:snapToGrid w:val="0"/>
        <w:ind w:firstLineChars="200" w:firstLine="480"/>
        <w:rPr>
          <w:rFonts w:ascii="彩虹粗仿宋" w:eastAsia="彩虹粗仿宋"/>
          <w:sz w:val="24"/>
        </w:rPr>
      </w:pPr>
      <w:r>
        <w:rPr>
          <w:rFonts w:ascii="彩虹粗仿宋" w:eastAsia="彩虹粗仿宋"/>
          <w:sz w:val="24"/>
        </w:rPr>
        <w:t>3</w:t>
      </w:r>
      <w:r>
        <w:rPr>
          <w:rFonts w:ascii="彩虹粗仿宋" w:eastAsia="彩虹粗仿宋" w:hint="eastAsia"/>
          <w:sz w:val="24"/>
        </w:rPr>
        <w:t>.开放期内，保持不低于基金资产净值5％的现金或者到期日在一年以内的政</w:t>
      </w:r>
      <w:r>
        <w:rPr>
          <w:rFonts w:ascii="彩虹粗仿宋" w:eastAsia="彩虹粗仿宋" w:hint="eastAsia"/>
          <w:sz w:val="24"/>
        </w:rPr>
        <w:lastRenderedPageBreak/>
        <w:t>府债券。封闭期内，本基金不受上述5%的限制；其中现金不包括结算备付金、存出保证金和应收申购款等；</w:t>
      </w:r>
    </w:p>
    <w:p w:rsidR="00D745FC" w:rsidRDefault="001F197F">
      <w:pPr>
        <w:adjustRightInd w:val="0"/>
        <w:snapToGrid w:val="0"/>
        <w:ind w:firstLineChars="200" w:firstLine="480"/>
        <w:rPr>
          <w:rFonts w:ascii="彩虹粗仿宋" w:eastAsia="彩虹粗仿宋"/>
          <w:sz w:val="24"/>
        </w:rPr>
      </w:pPr>
      <w:r>
        <w:rPr>
          <w:rFonts w:ascii="彩虹粗仿宋" w:eastAsia="彩虹粗仿宋"/>
          <w:sz w:val="24"/>
        </w:rPr>
        <w:t>4</w:t>
      </w:r>
      <w:r>
        <w:rPr>
          <w:rFonts w:ascii="彩虹粗仿宋" w:eastAsia="彩虹粗仿宋" w:hint="eastAsia"/>
          <w:sz w:val="24"/>
        </w:rPr>
        <w:t>.本基金持有一家公司发行的证券，其市值不超过基金资产净值的10％；</w:t>
      </w:r>
    </w:p>
    <w:p w:rsidR="00D745FC" w:rsidRDefault="001F197F">
      <w:pPr>
        <w:adjustRightInd w:val="0"/>
        <w:snapToGrid w:val="0"/>
        <w:ind w:firstLineChars="200" w:firstLine="480"/>
        <w:rPr>
          <w:rFonts w:ascii="彩虹粗仿宋" w:eastAsia="彩虹粗仿宋"/>
          <w:sz w:val="24"/>
        </w:rPr>
      </w:pPr>
      <w:r>
        <w:rPr>
          <w:rFonts w:ascii="彩虹粗仿宋" w:eastAsia="彩虹粗仿宋" w:hint="eastAsia"/>
          <w:sz w:val="24"/>
        </w:rPr>
        <w:t>5</w:t>
      </w:r>
      <w:r>
        <w:rPr>
          <w:rFonts w:ascii="彩虹粗仿宋" w:eastAsia="彩虹粗仿宋"/>
          <w:sz w:val="24"/>
        </w:rPr>
        <w:t>.</w:t>
      </w:r>
      <w:r>
        <w:rPr>
          <w:rFonts w:ascii="彩虹粗仿宋" w:eastAsia="彩虹粗仿宋" w:hint="eastAsia"/>
          <w:sz w:val="24"/>
        </w:rPr>
        <w:t>本基金管理人管理且由本基金托管人托管的全部基金持有一家公司发行的证券，不超过该证券的10％，完全按照有关指数的构成比例进行证券投资的基金品种可以不受此条款规定的比例限制；</w:t>
      </w:r>
    </w:p>
    <w:p w:rsidR="00D745FC" w:rsidRDefault="001F197F">
      <w:pPr>
        <w:adjustRightInd w:val="0"/>
        <w:snapToGrid w:val="0"/>
        <w:ind w:firstLineChars="200" w:firstLine="480"/>
        <w:rPr>
          <w:rFonts w:ascii="彩虹粗仿宋" w:eastAsia="彩虹粗仿宋"/>
          <w:sz w:val="24"/>
        </w:rPr>
      </w:pPr>
      <w:r>
        <w:rPr>
          <w:rFonts w:ascii="彩虹粗仿宋" w:eastAsia="彩虹粗仿宋" w:hint="eastAsia"/>
          <w:sz w:val="24"/>
        </w:rPr>
        <w:t>6.本基金投资于同一原始权益人的各类资产支持证券的比例，不得超过基金资产净值的10％；</w:t>
      </w:r>
    </w:p>
    <w:p w:rsidR="00D745FC" w:rsidRDefault="001F197F">
      <w:pPr>
        <w:adjustRightInd w:val="0"/>
        <w:snapToGrid w:val="0"/>
        <w:ind w:firstLineChars="200" w:firstLine="480"/>
        <w:rPr>
          <w:rFonts w:ascii="彩虹粗仿宋" w:eastAsia="彩虹粗仿宋"/>
          <w:sz w:val="24"/>
        </w:rPr>
      </w:pPr>
      <w:r>
        <w:rPr>
          <w:rFonts w:ascii="彩虹粗仿宋" w:eastAsia="彩虹粗仿宋" w:hint="eastAsia"/>
          <w:sz w:val="24"/>
        </w:rPr>
        <w:t>7.本基金持有的全部资产支持证券，其市值不得超过基金资产净值的20％；</w:t>
      </w:r>
    </w:p>
    <w:p w:rsidR="00D745FC" w:rsidRDefault="001F197F">
      <w:pPr>
        <w:adjustRightInd w:val="0"/>
        <w:snapToGrid w:val="0"/>
        <w:ind w:firstLineChars="200" w:firstLine="480"/>
        <w:rPr>
          <w:rFonts w:ascii="彩虹粗仿宋" w:eastAsia="彩虹粗仿宋"/>
          <w:sz w:val="24"/>
        </w:rPr>
      </w:pPr>
      <w:r>
        <w:rPr>
          <w:rFonts w:ascii="彩虹粗仿宋" w:eastAsia="彩虹粗仿宋" w:hint="eastAsia"/>
          <w:sz w:val="24"/>
        </w:rPr>
        <w:t>8.本基金持有的同一(指同一信用级别)资产支持证券的比例，不得超过该资产支持证券规模的10％；</w:t>
      </w:r>
    </w:p>
    <w:p w:rsidR="00D745FC" w:rsidRDefault="001F197F">
      <w:pPr>
        <w:adjustRightInd w:val="0"/>
        <w:snapToGrid w:val="0"/>
        <w:ind w:firstLineChars="200" w:firstLine="480"/>
        <w:rPr>
          <w:rFonts w:ascii="彩虹粗仿宋" w:eastAsia="彩虹粗仿宋"/>
          <w:sz w:val="24"/>
        </w:rPr>
      </w:pPr>
      <w:r>
        <w:rPr>
          <w:rFonts w:ascii="彩虹粗仿宋" w:eastAsia="彩虹粗仿宋" w:hint="eastAsia"/>
          <w:sz w:val="24"/>
        </w:rPr>
        <w:t>9</w:t>
      </w:r>
      <w:r>
        <w:rPr>
          <w:rFonts w:ascii="彩虹粗仿宋" w:eastAsia="彩虹粗仿宋"/>
          <w:sz w:val="24"/>
        </w:rPr>
        <w:t>.</w:t>
      </w:r>
      <w:r>
        <w:rPr>
          <w:rFonts w:hint="eastAsia"/>
        </w:rPr>
        <w:t xml:space="preserve"> </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rsidR="00D745FC" w:rsidRDefault="001F197F">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D745FC" w:rsidRDefault="001F197F">
      <w:pPr>
        <w:adjustRightInd w:val="0"/>
        <w:snapToGrid w:val="0"/>
        <w:ind w:firstLineChars="200" w:firstLine="480"/>
        <w:rPr>
          <w:rFonts w:ascii="彩虹粗仿宋" w:eastAsia="彩虹粗仿宋"/>
          <w:sz w:val="24"/>
        </w:rPr>
      </w:pPr>
      <w:r>
        <w:rPr>
          <w:rFonts w:ascii="彩虹粗仿宋" w:eastAsia="彩虹粗仿宋" w:hint="eastAsia"/>
          <w:sz w:val="24"/>
        </w:rPr>
        <w:t>11.本基金进入全国银行间同业市场进行债券回购的资金余额不得超过基金资产净值的40％，进入全国银行间同业市场进行债券回购的最长期限为1年，债券回购到期后不得展期；</w:t>
      </w:r>
    </w:p>
    <w:p w:rsidR="00D745FC" w:rsidRDefault="001F197F">
      <w:pPr>
        <w:adjustRightInd w:val="0"/>
        <w:snapToGrid w:val="0"/>
        <w:ind w:firstLineChars="200" w:firstLine="480"/>
        <w:rPr>
          <w:rFonts w:ascii="彩虹粗仿宋" w:eastAsia="彩虹粗仿宋"/>
          <w:sz w:val="24"/>
        </w:rPr>
      </w:pPr>
      <w:r>
        <w:rPr>
          <w:rFonts w:ascii="彩虹粗仿宋" w:eastAsia="彩虹粗仿宋" w:hint="eastAsia"/>
          <w:sz w:val="24"/>
        </w:rPr>
        <w:t>12.开放期内，基金总资产不得超过基金净资产的140%；封闭期内，本基金的基金总资产不得超过基金净资产的200%；</w:t>
      </w:r>
    </w:p>
    <w:p w:rsidR="00D745FC" w:rsidRDefault="001F197F">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3</w:t>
      </w:r>
      <w:r>
        <w:rPr>
          <w:rFonts w:ascii="彩虹粗仿宋" w:eastAsia="彩虹粗仿宋" w:hint="eastAsia"/>
          <w:sz w:val="24"/>
        </w:rPr>
        <w:t>.开放期内，本基金主动投资于流动性受限资产的市值合计不得超过该基金资产净值的15%；封闭期不受此限制。因证券市场波动、基金规模变动等基金管理人之外的因素致使基金不符合该比例限制的，基金管理人不得主动新增流动性受限资产的投资；</w:t>
      </w:r>
    </w:p>
    <w:p w:rsidR="00D745FC" w:rsidRDefault="001F197F">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4.</w:t>
      </w:r>
      <w:r>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rsidR="00D745FC" w:rsidRDefault="001F197F">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5.</w:t>
      </w:r>
      <w:r>
        <w:rPr>
          <w:rFonts w:ascii="彩虹粗仿宋" w:eastAsia="彩虹粗仿宋" w:hint="eastAsia"/>
          <w:sz w:val="24"/>
        </w:rPr>
        <w:t>法律法规及中国证监会规定的和《基金合同》约定的其他投资限制。</w:t>
      </w:r>
    </w:p>
    <w:p w:rsidR="00D745FC" w:rsidRDefault="001F197F">
      <w:pPr>
        <w:adjustRightInd w:val="0"/>
        <w:snapToGrid w:val="0"/>
        <w:ind w:firstLineChars="200" w:firstLine="480"/>
        <w:rPr>
          <w:rFonts w:ascii="彩虹粗仿宋" w:eastAsia="彩虹粗仿宋"/>
          <w:sz w:val="24"/>
        </w:rPr>
      </w:pPr>
      <w:r>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如果法律法规对上述投资组合比例限制进行变更的，以变更后的规定为准。法律法规或监管部门取消上述限制，如适用于本基金，则本基金投资不再受相关限制除上述第</w:t>
      </w:r>
      <w:r>
        <w:rPr>
          <w:rFonts w:ascii="彩虹粗仿宋" w:eastAsia="彩虹粗仿宋"/>
          <w:sz w:val="24"/>
        </w:rPr>
        <w:t>3</w:t>
      </w:r>
      <w:r>
        <w:rPr>
          <w:rFonts w:ascii="彩虹粗仿宋" w:eastAsia="彩虹粗仿宋" w:hint="eastAsia"/>
          <w:sz w:val="24"/>
        </w:rPr>
        <w:t>、10、1</w:t>
      </w:r>
      <w:r>
        <w:rPr>
          <w:rFonts w:ascii="彩虹粗仿宋" w:eastAsia="彩虹粗仿宋"/>
          <w:sz w:val="24"/>
        </w:rPr>
        <w:t>3</w:t>
      </w:r>
      <w:r>
        <w:rPr>
          <w:rFonts w:ascii="彩虹粗仿宋" w:eastAsia="彩虹粗仿宋" w:hint="eastAsia"/>
          <w:sz w:val="24"/>
        </w:rPr>
        <w:t>、</w:t>
      </w:r>
      <w:r>
        <w:rPr>
          <w:rFonts w:ascii="彩虹粗仿宋" w:eastAsia="彩虹粗仿宋"/>
          <w:sz w:val="24"/>
        </w:rPr>
        <w:t>14</w:t>
      </w:r>
      <w:r>
        <w:rPr>
          <w:rFonts w:ascii="彩虹粗仿宋" w:eastAsia="彩虹粗仿宋" w:hint="eastAsia"/>
          <w:sz w:val="24"/>
        </w:rPr>
        <w:t>项另有约定外，因证券市场波动、证券发行人合并、基金规模变动等基金管理人之外的因素致使基金投资比例不符合上述规定投资比例的，基金管理人应当在10个交易日内进行调整，但中国证监会规定的特殊情形除</w:t>
      </w:r>
      <w:r>
        <w:rPr>
          <w:rFonts w:ascii="彩虹粗仿宋" w:eastAsia="彩虹粗仿宋" w:hint="eastAsia"/>
          <w:sz w:val="24"/>
        </w:rPr>
        <w:lastRenderedPageBreak/>
        <w:t>外。</w:t>
      </w:r>
    </w:p>
    <w:p w:rsidR="00D745FC" w:rsidRDefault="001F197F">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w:t>
      </w:r>
      <w:r>
        <w:rPr>
          <w:rFonts w:ascii="彩虹粗仿宋" w:eastAsia="彩虹粗仿宋"/>
          <w:sz w:val="24"/>
        </w:rPr>
        <w:t>6</w:t>
      </w:r>
      <w:r>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4" w:name="OLE_LINK1"/>
      <w:r>
        <w:rPr>
          <w:rFonts w:ascii="彩虹粗仿宋" w:eastAsia="彩虹粗仿宋" w:hAnsi="宋体" w:cs="Arial" w:hint="eastAsia"/>
          <w:sz w:val="24"/>
        </w:rPr>
        <w:t>根据有关法律法规的规定及《基金合同》的约定，</w:t>
      </w:r>
      <w:bookmarkEnd w:id="4"/>
      <w:r>
        <w:rPr>
          <w:rFonts w:ascii="彩虹粗仿宋" w:eastAsia="彩虹粗仿宋" w:hAnsi="宋体" w:cs="Arial" w:hint="eastAsia"/>
          <w:sz w:val="24"/>
        </w:rPr>
        <w:t>对本托管协议第十五条第九款基金投资禁止行为通过事后监督方式进行监督。</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szCs w:val="24"/>
        </w:rPr>
        <w:t>法律法规或监管部门修改或取消上述限制，如适用于本基金，在基金管理人履行适当程序后，则本基金投资不再受相关限制或自动遵守届时有效的法律法规或监管规定。</w:t>
      </w:r>
    </w:p>
    <w:p w:rsidR="00D745FC" w:rsidRDefault="001F197F">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D745FC" w:rsidRDefault="001F197F">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w:t>
      </w:r>
      <w:r>
        <w:rPr>
          <w:rFonts w:ascii="彩虹粗仿宋" w:eastAsia="彩虹粗仿宋" w:hAnsi="宋体" w:cs="Arial" w:hint="eastAsia"/>
          <w:color w:val="000000"/>
          <w:sz w:val="24"/>
        </w:rPr>
        <w:lastRenderedPageBreak/>
        <w:t>人，基金托管人不承担由此造成的任何损失和责任。</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（八）若基金托管人发现基金管理人依据交易程序已经生效的指令违反法律、行政法规和其他有关规定，或者违反《基金合同》约定的，应当立即通知基金管理人，由此造成的损失由基金管理人承担。</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745FC" w:rsidRDefault="001F197F">
      <w:pPr>
        <w:pStyle w:val="2"/>
        <w:jc w:val="center"/>
        <w:rPr>
          <w:rFonts w:ascii="彩虹粗仿宋" w:eastAsia="彩虹粗仿宋"/>
          <w:sz w:val="30"/>
        </w:rPr>
      </w:pPr>
      <w:bookmarkStart w:id="5" w:name="_Toc86727355"/>
      <w:bookmarkStart w:id="6" w:name="_Toc120435783"/>
      <w:bookmarkStart w:id="7" w:name="_Toc86726439"/>
      <w:bookmarkStart w:id="8" w:name="_Toc118774803"/>
      <w:bookmarkStart w:id="9" w:name="_Toc86649722"/>
      <w:bookmarkStart w:id="10" w:name="_Toc26280970"/>
      <w:bookmarkStart w:id="11" w:name="_Toc86225291"/>
      <w:bookmarkStart w:id="12" w:name="_Toc89163368"/>
      <w:bookmarkStart w:id="13" w:name="_Toc110765660"/>
      <w:bookmarkStart w:id="14" w:name="_Toc110830492"/>
      <w:bookmarkStart w:id="15" w:name="_Toc119402710"/>
      <w:bookmarkStart w:id="16" w:name="_Toc108512358"/>
      <w:bookmarkStart w:id="17" w:name="_Toc118212950"/>
      <w:bookmarkStart w:id="18" w:name="_Toc118972648"/>
      <w:bookmarkStart w:id="19" w:name="_Toc86737929"/>
      <w:bookmarkStart w:id="20" w:name="_Toc110761796"/>
      <w:bookmarkStart w:id="21" w:name="_Toc86223242"/>
      <w:r>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各类基金份额净值、根据基金管理人指令办理清算交收、相关信息披露和监督基金投资运作等行为。</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w:t>
      </w:r>
      <w:r>
        <w:rPr>
          <w:rFonts w:ascii="彩虹粗仿宋" w:eastAsia="彩虹粗仿宋" w:hAnsi="宋体" w:cs="Arial" w:hint="eastAsia"/>
          <w:sz w:val="24"/>
        </w:rPr>
        <w:lastRenderedPageBreak/>
        <w:t>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745FC" w:rsidRDefault="00D745FC">
      <w:pPr>
        <w:rPr>
          <w:rFonts w:ascii="彩虹粗仿宋" w:eastAsia="彩虹粗仿宋"/>
          <w:sz w:val="24"/>
        </w:rPr>
      </w:pPr>
    </w:p>
    <w:p w:rsidR="00D745FC" w:rsidRDefault="001F197F">
      <w:pPr>
        <w:pStyle w:val="2"/>
        <w:jc w:val="center"/>
        <w:rPr>
          <w:rFonts w:ascii="彩虹粗仿宋" w:eastAsia="彩虹粗仿宋"/>
          <w:sz w:val="30"/>
        </w:rPr>
      </w:pPr>
      <w:bookmarkStart w:id="22" w:name="_Toc110761797"/>
      <w:bookmarkStart w:id="23" w:name="_Toc84133786"/>
      <w:bookmarkStart w:id="24" w:name="_Toc86727356"/>
      <w:bookmarkStart w:id="25" w:name="_Toc110830493"/>
      <w:bookmarkStart w:id="26" w:name="_Toc86223243"/>
      <w:bookmarkStart w:id="27" w:name="_Toc89163369"/>
      <w:bookmarkStart w:id="28" w:name="_Toc108512359"/>
      <w:bookmarkStart w:id="29" w:name="_Toc86726440"/>
      <w:bookmarkStart w:id="30" w:name="_Toc110765661"/>
      <w:bookmarkStart w:id="31" w:name="_Toc118972649"/>
      <w:bookmarkStart w:id="32" w:name="_Toc119402711"/>
      <w:bookmarkStart w:id="33" w:name="_Toc118212951"/>
      <w:bookmarkStart w:id="34" w:name="_Toc26280971"/>
      <w:bookmarkStart w:id="35" w:name="_Toc84234435"/>
      <w:bookmarkStart w:id="36" w:name="_Toc86649723"/>
      <w:bookmarkStart w:id="37" w:name="_Toc86225292"/>
      <w:bookmarkStart w:id="38" w:name="_Toc84234388"/>
      <w:bookmarkStart w:id="39" w:name="_Toc118774804"/>
      <w:bookmarkStart w:id="40" w:name="_Toc86204789"/>
      <w:bookmarkStart w:id="41" w:name="_Toc86737930"/>
      <w:bookmarkStart w:id="42" w:name="_Toc120435784"/>
      <w:r>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4.基金托管人对所托管的不同基金财产分别设置账户，与基金托管人的其他业务和其他基金的托管业务实行严格的分账管理，确保基金财产的完整与独立。</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（二）基金募集期间及募集资金的验资</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1.基金托管人应以基金的名义在其营业机构开立基金的银行账户，并根据基金管理人合法合规的指令办理资金收付。本基金的银行预留印鉴由基金托管人保管和使用。</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w:t>
      </w:r>
      <w:r>
        <w:rPr>
          <w:rFonts w:ascii="彩虹粗仿宋" w:eastAsia="彩虹粗仿宋" w:hAnsi="宋体" w:cs="Arial" w:hint="eastAsia"/>
          <w:sz w:val="24"/>
        </w:rPr>
        <w:lastRenderedPageBreak/>
        <w:t>金等的收取按照中国证券登记结算有限责任公司的规定以及基金管理人与基金托管人签署的《托管银行证券资金结算协议》执行。</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D745FC" w:rsidRDefault="001F197F">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D745FC" w:rsidRDefault="001F197F">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w:t>
      </w:r>
      <w:r>
        <w:rPr>
          <w:rFonts w:ascii="彩虹粗仿宋" w:eastAsia="彩虹粗仿宋" w:hAnsi="宋体" w:cs="Arial" w:hint="eastAsia"/>
          <w:sz w:val="24"/>
        </w:rPr>
        <w:lastRenderedPageBreak/>
        <w:t>在三十个工作日内将正本送达基金托管人处。重大合同的保管期限为《基金合同》终止后15年。</w:t>
      </w:r>
    </w:p>
    <w:p w:rsidR="00D745FC" w:rsidRDefault="00D745FC">
      <w:pPr>
        <w:rPr>
          <w:rFonts w:ascii="彩虹粗仿宋" w:eastAsia="彩虹粗仿宋"/>
          <w:sz w:val="24"/>
        </w:rPr>
      </w:pPr>
    </w:p>
    <w:p w:rsidR="00D745FC" w:rsidRDefault="001F197F">
      <w:pPr>
        <w:pStyle w:val="2"/>
        <w:jc w:val="center"/>
        <w:rPr>
          <w:rFonts w:ascii="彩虹粗仿宋" w:eastAsia="彩虹粗仿宋"/>
          <w:sz w:val="30"/>
        </w:rPr>
      </w:pPr>
      <w:bookmarkStart w:id="43" w:name="_Toc89163370"/>
      <w:bookmarkStart w:id="44" w:name="_Toc86649724"/>
      <w:bookmarkStart w:id="45" w:name="_Toc119402712"/>
      <w:bookmarkStart w:id="46" w:name="_Toc118972650"/>
      <w:bookmarkStart w:id="47" w:name="_Toc110761798"/>
      <w:bookmarkStart w:id="48" w:name="_Toc110765662"/>
      <w:bookmarkStart w:id="49" w:name="_Toc86204790"/>
      <w:bookmarkStart w:id="50" w:name="_Toc84234389"/>
      <w:bookmarkStart w:id="51" w:name="_Toc110830494"/>
      <w:bookmarkStart w:id="52" w:name="_Toc84234436"/>
      <w:bookmarkStart w:id="53" w:name="_Toc84133787"/>
      <w:bookmarkStart w:id="54" w:name="_Toc120435785"/>
      <w:bookmarkStart w:id="55" w:name="_Toc118212952"/>
      <w:bookmarkStart w:id="56" w:name="_Toc86223244"/>
      <w:bookmarkStart w:id="57" w:name="_Toc86727357"/>
      <w:bookmarkStart w:id="58" w:name="_Toc86726441"/>
      <w:bookmarkStart w:id="59" w:name="_Toc108512360"/>
      <w:bookmarkStart w:id="60" w:name="_Toc86225293"/>
      <w:bookmarkStart w:id="61" w:name="_Toc86737931"/>
      <w:bookmarkStart w:id="62" w:name="_Toc118774805"/>
      <w:bookmarkStart w:id="63" w:name="_Toc26280972"/>
      <w:r>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w:t>
      </w:r>
      <w:r>
        <w:rPr>
          <w:rFonts w:ascii="彩虹粗仿宋" w:eastAsia="彩虹粗仿宋" w:hAnsi="宋体" w:hint="eastAsia"/>
          <w:sz w:val="24"/>
        </w:rPr>
        <w:lastRenderedPageBreak/>
        <w:t>印章后发至基金托管人并电话确认，由基金托管人完成后台交易匹配及资金交收事宜。如果银行间结算系统已经生成的交易需要取消或终止，基金管理人要书面通知基金托管人。</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D745FC" w:rsidRDefault="001F197F">
      <w:pPr>
        <w:pStyle w:val="a8"/>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D745FC" w:rsidRDefault="001F197F">
      <w:pPr>
        <w:pStyle w:val="a8"/>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若基金托管人发现基金管理人的指令违反法律法规，或者违反《基金合同》约定的，应当拒绝执行，立即通知基金管理人。</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D745FC" w:rsidRDefault="00D745FC">
      <w:pPr>
        <w:adjustRightInd w:val="0"/>
        <w:snapToGrid w:val="0"/>
        <w:rPr>
          <w:rFonts w:ascii="彩虹粗仿宋" w:eastAsia="彩虹粗仿宋" w:hAnsi="宋体" w:cs="Arial"/>
          <w:sz w:val="24"/>
        </w:rPr>
      </w:pPr>
    </w:p>
    <w:p w:rsidR="00D745FC" w:rsidRDefault="001F197F">
      <w:pPr>
        <w:pStyle w:val="2"/>
        <w:jc w:val="center"/>
        <w:rPr>
          <w:rFonts w:ascii="彩虹粗仿宋" w:eastAsia="彩虹粗仿宋"/>
          <w:sz w:val="30"/>
        </w:rPr>
      </w:pPr>
      <w:bookmarkStart w:id="64" w:name="_Toc84234390"/>
      <w:bookmarkStart w:id="65" w:name="_Toc86225294"/>
      <w:bookmarkStart w:id="66" w:name="_Toc110830495"/>
      <w:bookmarkStart w:id="67" w:name="_Toc86726442"/>
      <w:bookmarkStart w:id="68" w:name="_Toc86737932"/>
      <w:bookmarkStart w:id="69" w:name="_Toc84234437"/>
      <w:bookmarkStart w:id="70" w:name="_Toc84133788"/>
      <w:bookmarkStart w:id="71" w:name="_Toc86727358"/>
      <w:bookmarkStart w:id="72" w:name="_Toc86649725"/>
      <w:bookmarkStart w:id="73" w:name="_Toc108512361"/>
      <w:bookmarkStart w:id="74" w:name="_Toc86204791"/>
      <w:bookmarkStart w:id="75" w:name="_Toc86223245"/>
      <w:bookmarkStart w:id="76" w:name="_Toc110765663"/>
      <w:bookmarkStart w:id="77" w:name="_Toc120435786"/>
      <w:bookmarkStart w:id="78" w:name="_Toc119402713"/>
      <w:bookmarkStart w:id="79" w:name="_Toc118972651"/>
      <w:bookmarkStart w:id="80" w:name="_Toc118212953"/>
      <w:bookmarkStart w:id="81" w:name="_Toc110761799"/>
      <w:bookmarkStart w:id="82" w:name="_Toc118774806"/>
      <w:bookmarkStart w:id="83" w:name="_Toc89163371"/>
      <w:bookmarkStart w:id="84" w:name="_Toc26280973"/>
      <w:r>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（一）选择证券买卖的证券经营机构</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D745FC" w:rsidRDefault="001F197F">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w:t>
      </w:r>
      <w:r>
        <w:rPr>
          <w:rFonts w:ascii="彩虹粗仿宋" w:eastAsia="彩虹粗仿宋" w:hint="eastAsia"/>
          <w:sz w:val="24"/>
        </w:rPr>
        <w:lastRenderedPageBreak/>
        <w:t>基金管理人应预留最低备付金和结算保证金，并根据中国证券登记结算有限责任公司确定的实际最低备付金、结算保证金数据为依据安排资金运作，调整所需的现金头寸。</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资产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D745FC" w:rsidRDefault="001F197F">
      <w:pPr>
        <w:adjustRightInd w:val="0"/>
        <w:snapToGrid w:val="0"/>
        <w:ind w:firstLine="480"/>
        <w:rPr>
          <w:rFonts w:ascii="彩虹粗仿宋" w:eastAsia="彩虹粗仿宋" w:hAnsi="宋体" w:cs="宋体"/>
          <w:color w:val="000000"/>
          <w:kern w:val="0"/>
          <w:sz w:val="24"/>
        </w:rPr>
      </w:pPr>
      <w:r>
        <w:rPr>
          <w:rFonts w:ascii="彩虹粗仿宋" w:eastAsia="彩虹粗仿宋" w:hAnsi="宋体" w:cs="Arial" w:hint="eastAsia"/>
          <w:sz w:val="24"/>
        </w:rPr>
        <w:t>基金管理人应采取合理、必要措施，确保T日日终有足够的</w:t>
      </w:r>
      <w:r>
        <w:rPr>
          <w:rFonts w:ascii="彩虹粗仿宋" w:eastAsia="彩虹粗仿宋" w:hAnsi="宋体" w:cs="宋体" w:hint="eastAsia"/>
          <w:color w:val="000000"/>
          <w:kern w:val="0"/>
          <w:sz w:val="24"/>
        </w:rPr>
        <w:t>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资金账目按日核实。</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D745FC" w:rsidRDefault="001F197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托管账户与基金清算账户间的资金结算遵循“全额清算、净额交收”的原则，每日按照基金托管账户应收资金与应付资金的差额来确定基金托管账户净应收额或净应付额，以此确定资金交收额。如当日托管账户为净应收额时，基金管理人应在交收日15：00之前从基金清算账户划到基金托管账户，；如当日托管账户为净应付额时，基金管理人应在当日10:00前将划款指令发送给基金托管人，基金托管人按基金管理人的划款指令将托管账户净应付额在交收日15：00之前划往基金清算账户，</w:t>
      </w:r>
    </w:p>
    <w:p w:rsidR="00D745FC" w:rsidRDefault="001F197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D745FC" w:rsidRDefault="001F197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D745FC" w:rsidRDefault="001F197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D745FC" w:rsidRDefault="001F197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依照《信息披露办法》的有关规定在中国证监会指定媒介上公告</w:t>
      </w:r>
      <w:r>
        <w:rPr>
          <w:rFonts w:ascii="彩虹粗仿宋" w:eastAsia="彩虹粗仿宋" w:hAnsi="宋体" w:cs="Arial" w:hint="eastAsia"/>
          <w:sz w:val="24"/>
        </w:rPr>
        <w:t>。</w:t>
      </w:r>
    </w:p>
    <w:p w:rsidR="00D745FC" w:rsidRDefault="001F197F" w:rsidP="007B157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D745FC" w:rsidRDefault="001F197F" w:rsidP="007B157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D745FC" w:rsidRDefault="001F197F" w:rsidP="007B157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（七）投资银行存款的特别约定</w:t>
      </w:r>
    </w:p>
    <w:p w:rsidR="00D745FC" w:rsidRDefault="001F197F" w:rsidP="007B157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D745FC" w:rsidRDefault="001F197F" w:rsidP="007B157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D745FC" w:rsidRDefault="001F197F" w:rsidP="007B157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D745FC" w:rsidRDefault="001F197F" w:rsidP="007B157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D745FC" w:rsidRDefault="001F197F" w:rsidP="007B157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w:t>
      </w:r>
      <w:r>
        <w:rPr>
          <w:rFonts w:ascii="彩虹粗仿宋" w:eastAsia="彩虹粗仿宋" w:hAnsi="宋体" w:cs="Arial" w:hint="eastAsia"/>
          <w:sz w:val="24"/>
        </w:rPr>
        <w:lastRenderedPageBreak/>
        <w:t>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szCs w:val="24"/>
        </w:rPr>
        <w:t>4</w:t>
      </w:r>
      <w:r>
        <w:rPr>
          <w:rFonts w:ascii="彩虹粗仿宋" w:eastAsia="彩虹粗仿宋" w:hAnsi="宋体" w:cs="Arial" w:hint="eastAsia"/>
          <w:sz w:val="24"/>
          <w:szCs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Pr>
          <w:rFonts w:ascii="彩虹粗仿宋" w:eastAsia="彩虹粗仿宋" w:hAnsi="宋体" w:cs="Arial"/>
          <w:sz w:val="24"/>
          <w:szCs w:val="24"/>
        </w:rPr>
        <w:t>1</w:t>
      </w:r>
      <w:r>
        <w:rPr>
          <w:rFonts w:ascii="彩虹粗仿宋" w:eastAsia="彩虹粗仿宋" w:hAnsi="宋体" w:cs="Arial" w:hint="eastAsia"/>
          <w:sz w:val="24"/>
          <w:szCs w:val="24"/>
        </w:rPr>
        <w:t>）建立风险预警机制，对于实物凭证未送达集中度较高的存款银行，主动发函管理人尽量避免在此类银行进行存款投资；（</w:t>
      </w:r>
      <w:r>
        <w:rPr>
          <w:rFonts w:ascii="彩虹粗仿宋" w:eastAsia="彩虹粗仿宋" w:hAnsi="宋体" w:cs="Arial"/>
          <w:sz w:val="24"/>
          <w:szCs w:val="24"/>
        </w:rPr>
        <w:t>2</w:t>
      </w:r>
      <w:r>
        <w:rPr>
          <w:rFonts w:ascii="彩虹粗仿宋" w:eastAsia="彩虹粗仿宋" w:hAnsi="宋体" w:cs="Arial" w:hint="eastAsia"/>
          <w:sz w:val="24"/>
          <w:szCs w:val="24"/>
        </w:rPr>
        <w:t>）在定期报告中，对未按约定送达托管人保管的实物凭证信息进行规定范围信息披露；（</w:t>
      </w:r>
      <w:r>
        <w:rPr>
          <w:rFonts w:ascii="彩虹粗仿宋" w:eastAsia="彩虹粗仿宋" w:hAnsi="宋体" w:cs="Arial"/>
          <w:sz w:val="24"/>
          <w:szCs w:val="24"/>
        </w:rPr>
        <w:t>3</w:t>
      </w:r>
      <w:r>
        <w:rPr>
          <w:rFonts w:ascii="彩虹粗仿宋" w:eastAsia="彩虹粗仿宋" w:hAnsi="宋体" w:cs="Arial" w:hint="eastAsia"/>
          <w:sz w:val="24"/>
          <w:szCs w:val="24"/>
        </w:rPr>
        <w:t>）未送达实物凭证超过送单截止日后</w:t>
      </w:r>
      <w:r>
        <w:rPr>
          <w:rFonts w:ascii="彩虹粗仿宋" w:eastAsia="彩虹粗仿宋" w:hAnsi="宋体" w:cs="Arial"/>
          <w:sz w:val="24"/>
          <w:szCs w:val="24"/>
        </w:rPr>
        <w:t>30</w:t>
      </w:r>
      <w:r>
        <w:rPr>
          <w:rFonts w:ascii="彩虹粗仿宋" w:eastAsia="彩虹粗仿宋" w:hAnsi="宋体" w:cs="Arial" w:hint="eastAsia"/>
          <w:sz w:val="24"/>
          <w:szCs w:val="24"/>
        </w:rPr>
        <w:t>个工作日，且累计超过</w:t>
      </w:r>
      <w:r>
        <w:rPr>
          <w:rFonts w:ascii="彩虹粗仿宋" w:eastAsia="彩虹粗仿宋" w:hAnsi="宋体" w:cs="Arial"/>
          <w:sz w:val="24"/>
          <w:szCs w:val="24"/>
        </w:rPr>
        <w:t>3</w:t>
      </w:r>
      <w:r>
        <w:rPr>
          <w:rFonts w:ascii="彩虹粗仿宋" w:eastAsia="彩虹粗仿宋" w:hAnsi="宋体" w:cs="Arial" w:hint="eastAsia"/>
          <w:sz w:val="24"/>
          <w:szCs w:val="24"/>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D745FC" w:rsidRDefault="001F197F">
      <w:pPr>
        <w:pStyle w:val="2"/>
        <w:jc w:val="center"/>
        <w:rPr>
          <w:rFonts w:ascii="彩虹粗仿宋" w:eastAsia="彩虹粗仿宋"/>
          <w:sz w:val="30"/>
        </w:rPr>
      </w:pPr>
      <w:r>
        <w:rPr>
          <w:rFonts w:ascii="彩虹粗仿宋" w:eastAsia="彩虹粗仿宋" w:hint="eastAsia"/>
          <w:sz w:val="30"/>
        </w:rPr>
        <w:t xml:space="preserve"> </w:t>
      </w:r>
      <w:bookmarkStart w:id="85" w:name="_Toc26280974"/>
      <w:r>
        <w:rPr>
          <w:rFonts w:ascii="彩虹粗仿宋" w:eastAsia="彩虹粗仿宋" w:hint="eastAsia"/>
          <w:sz w:val="30"/>
        </w:rPr>
        <w:t>八、基金资产净值计算和会计核算</w:t>
      </w:r>
      <w:bookmarkEnd w:id="85"/>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1.由于基金费用的不同，本基金各类基金份额将分别计算基金份额净值。各类基金份额净值是按照每个估值日闭市后，该类基金资产净值除以当日基金份额的余额数量计算，精确到0.00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1元，小数点后第五位四舍五入。</w:t>
      </w:r>
      <w:r>
        <w:rPr>
          <w:rFonts w:hint="eastAsia"/>
          <w:bCs/>
          <w:sz w:val="24"/>
        </w:rPr>
        <w:t>基金管理人可以设立大额赎回情形下的净值精度应急调整机制。</w:t>
      </w:r>
      <w:r>
        <w:rPr>
          <w:rFonts w:ascii="彩虹粗仿宋" w:eastAsia="彩虹粗仿宋" w:hAnsi="宋体" w:cs="Arial" w:hint="eastAsia"/>
          <w:sz w:val="24"/>
        </w:rPr>
        <w:t>国家另有规定的，从其规定。</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基金管理人于每个估值日计算基金资产净值及各类基金份额净值，并按规定公告。</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估值日对基金资产估值。但基金管理人根据法律法规或《基金合同》的规定暂停估值时除外。基金管理人每个交易日对基金资产估值后，将各类基金份额净值结果发送基金托管人，经基金托管人复核无误后，由基金管理人按规定对外公布。</w:t>
      </w:r>
    </w:p>
    <w:p w:rsidR="00D745FC" w:rsidRDefault="001F197F">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1.估值对象</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基金所拥有的债券、资产支持证券、货币市场工具、银行存款本息、应收款项、其它投资等资产及负债。</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估值采用摊余成本法，即估值对象以买入成本列示，按票面利率或协议利率并考虑其买入时的溢价与折价，在其剩余存续期内按照实际利率法进行摊销，确认利息收入并评估减值准备。本基金不采用市场利率和上市交易的债券和票据的市价计算基金资产净值。</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为了避免采用“摊余成本法”计算的基金资产净值与按市场利率和交易市价计算的基金资产净值发生重大偏离，基金管理人于每一估值日，采用估值技术，对基金持有的估值对象进行重新评估，即“影子定价”。</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（3）债券回购以协议成本列示，按协议利率在实际持有期内逐日计提利息。</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（4）银行存款以本金列示，按银行实际协议利率逐日计提利息。</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（5）基金应当按照企业会计准则的要求，评估金融资产是否发生减值，如有客观证据表明其发生减值的，应当计提减值准备。</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（6）当基金发生大额申购或赎回情形时，基金管理人可以采用摆动定价机制，以确保基金估值的公平性。</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如有确凿证据表明本基金在封闭期内买入持有至到期的投资策略发生变化或其他原因，导致按原有摊余成本法估值不能客观反映上述资产或负债于开放期内的公允价值的，基金管理人可根据具体情况与基金托管人商定后，按最能反映上述资产或负债于开放期内的公允价值的方法估值。为最大限度保护持有人利益，基金管理人可采用的风险控制手段包括但不限于：处置信用风险显著增加的固定收益品种、及时评估和计提固定收益品种减值损失、封闭期到期暂停进入下一开放期、于开放期内改按公允价值计算基金份额净值等。</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（8）相关法律法规以及监管部门、自律规则另有规定的，从其规定。如有新增事项，按国家最新规定估值。</w:t>
      </w:r>
    </w:p>
    <w:p w:rsidR="00D745FC" w:rsidRDefault="001F19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745FC" w:rsidRDefault="001F197F">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745FC" w:rsidRDefault="001F197F">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lastRenderedPageBreak/>
        <w:t>3.特殊情形的处理</w:t>
      </w:r>
    </w:p>
    <w:p w:rsidR="00D745FC" w:rsidRDefault="001F197F">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7</w:t>
      </w:r>
      <w:r>
        <w:rPr>
          <w:rStyle w:val="read"/>
          <w:rFonts w:ascii="彩虹粗仿宋" w:eastAsia="彩虹粗仿宋" w:hAnsi="宋体" w:cs="Arial" w:hint="eastAsia"/>
          <w:sz w:val="24"/>
        </w:rPr>
        <w:t>)项进行估值时，所造成的误差不作为基金份额净值</w:t>
      </w:r>
      <w:r>
        <w:rPr>
          <w:rStyle w:val="read"/>
          <w:rFonts w:ascii="彩虹粗仿宋" w:eastAsia="彩虹粗仿宋" w:hint="eastAsia"/>
          <w:sz w:val="24"/>
        </w:rPr>
        <w:t>错误处理。</w:t>
      </w:r>
    </w:p>
    <w:p w:rsidR="00D745FC" w:rsidRDefault="001F197F">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rsidR="00D745FC" w:rsidRDefault="001F197F">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1.当某一类基金份额净值小数点后</w:t>
      </w:r>
      <w:r>
        <w:rPr>
          <w:rStyle w:val="read"/>
          <w:rFonts w:ascii="彩虹粗仿宋" w:eastAsia="彩虹粗仿宋"/>
          <w:sz w:val="24"/>
        </w:rPr>
        <w:t>4</w:t>
      </w:r>
      <w:r>
        <w:rPr>
          <w:rStyle w:val="read"/>
          <w:rFonts w:ascii="彩虹粗仿宋" w:eastAsia="彩虹粗仿宋" w:hint="eastAsia"/>
          <w:sz w:val="24"/>
        </w:rPr>
        <w:t>位以内(含第</w:t>
      </w:r>
      <w:r>
        <w:rPr>
          <w:rStyle w:val="read"/>
          <w:rFonts w:ascii="彩虹粗仿宋" w:eastAsia="彩虹粗仿宋"/>
          <w:sz w:val="24"/>
        </w:rPr>
        <w:t>4</w:t>
      </w:r>
      <w:r>
        <w:rPr>
          <w:rStyle w:val="read"/>
          <w:rFonts w:ascii="彩虹粗仿宋" w:eastAsia="彩虹粗仿宋" w:hint="eastAsia"/>
          <w:sz w:val="24"/>
        </w:rPr>
        <w:t>位)发生估值错误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0.5%时，基金管理人应当公告，并报中国证监会备案</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D745FC" w:rsidRDefault="001F197F">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D745FC" w:rsidRDefault="001F197F">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4.基金管理人和基金托管人由于各自技术系统设置而产生的净值计算尾差，以基金管理人计算结果为准。</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1.基金投资所涉及的证券交易市场遇法定节假日或因其他原因暂停营业时；</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50%以上的资产出现无可参考的活跃市场价格且采用估值技术仍导致公允价值存在重大不确定性时，经与基金托管人协商确认后，基金管理人应当暂停估值；</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.中国证监会和《基金合同》认定的其它情形。</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并公告；在上半年结束之日起两个月内完成基金中期报告的编制并公告；在每年结束之日起三个月内完成基金年度报告的编制并公告。基金年度报告中的财务会计报告应当经过具有证券、期货相关业务资格的会计师事务所审计。《基金合同》生效不足两个月的，基金管理人可以不编制当期季度报告、中期报告或者年度报告。</w:t>
      </w:r>
    </w:p>
    <w:p w:rsidR="00D745FC" w:rsidRDefault="001F197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D745FC" w:rsidRDefault="001F197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rsidR="00D745FC" w:rsidRDefault="001F197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D745FC" w:rsidRDefault="00D745FC">
      <w:pPr>
        <w:pStyle w:val="a0"/>
        <w:adjustRightInd w:val="0"/>
        <w:snapToGrid w:val="0"/>
        <w:ind w:firstLineChars="0" w:firstLine="0"/>
        <w:rPr>
          <w:rFonts w:ascii="彩虹粗仿宋" w:eastAsia="彩虹粗仿宋" w:hAnsi="宋体" w:cs="Arial"/>
          <w:sz w:val="24"/>
        </w:rPr>
      </w:pPr>
    </w:p>
    <w:p w:rsidR="00D745FC" w:rsidRDefault="001F197F">
      <w:pPr>
        <w:pStyle w:val="2"/>
        <w:jc w:val="center"/>
        <w:rPr>
          <w:rFonts w:ascii="彩虹粗仿宋" w:eastAsia="彩虹粗仿宋"/>
          <w:sz w:val="30"/>
        </w:rPr>
      </w:pPr>
      <w:bookmarkStart w:id="86" w:name="_Toc26280975"/>
      <w:r>
        <w:rPr>
          <w:rFonts w:ascii="彩虹粗仿宋" w:eastAsia="彩虹粗仿宋" w:hint="eastAsia"/>
          <w:sz w:val="30"/>
        </w:rPr>
        <w:t>九、基金收益分配</w:t>
      </w:r>
      <w:bookmarkEnd w:id="86"/>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1.本基金收益分配方式仅有现金分红；</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2.基金收益分配后各类基金份额净值不能低于面值；即基金收益分配基准日的各类基金份额净值减去该类基金份额的每单位基金份额收益分配金额后不能低于面值；</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w:t>
      </w:r>
      <w:r>
        <w:rPr>
          <w:rFonts w:ascii="彩虹粗仿宋" w:eastAsia="彩虹粗仿宋" w:hAnsi="宋体" w:cs="Arial" w:hint="eastAsia"/>
          <w:sz w:val="24"/>
        </w:rPr>
        <w:t>由于基金费用的不同，不同类别的基金份额在收益分配数额方面可能有所不同，基金管理人可对各类别基金份额分别制定收益分配方案，本基金同一类别的每一基金份额享有同等分配权；</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4法律法规或监管机关另有规定的，从其规定。</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2日内在指定媒介公告。基金收益分配方案公告后(依据具体方案的规定)，基金管理人就支付的现金红利向基金托管人发送划款指令，基金托管人按照基金管理人的指令及时进行分红资金的划付。</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w:t>
      </w:r>
    </w:p>
    <w:p w:rsidR="00D745FC" w:rsidRDefault="00D745FC">
      <w:pPr>
        <w:adjustRightInd w:val="0"/>
        <w:snapToGrid w:val="0"/>
        <w:rPr>
          <w:rFonts w:ascii="彩虹粗仿宋" w:eastAsia="彩虹粗仿宋" w:hAnsi="宋体" w:cs="Arial"/>
          <w:sz w:val="24"/>
        </w:rPr>
      </w:pPr>
    </w:p>
    <w:p w:rsidR="00D745FC" w:rsidRDefault="001F197F">
      <w:pPr>
        <w:pStyle w:val="2"/>
        <w:jc w:val="center"/>
        <w:rPr>
          <w:rFonts w:ascii="彩虹粗仿宋" w:eastAsia="彩虹粗仿宋"/>
          <w:sz w:val="30"/>
        </w:rPr>
      </w:pPr>
      <w:bookmarkStart w:id="87" w:name="_Toc26280976"/>
      <w:r>
        <w:rPr>
          <w:rFonts w:ascii="彩虹粗仿宋" w:eastAsia="彩虹粗仿宋" w:hint="eastAsia"/>
          <w:sz w:val="30"/>
        </w:rPr>
        <w:t>十、基金信息披露</w:t>
      </w:r>
      <w:bookmarkEnd w:id="87"/>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w:t>
      </w:r>
      <w:r>
        <w:rPr>
          <w:rFonts w:ascii="彩虹粗仿宋" w:eastAsia="彩虹粗仿宋" w:hAnsi="宋体" w:cs="Arial" w:hint="eastAsia"/>
          <w:sz w:val="24"/>
        </w:rPr>
        <w:lastRenderedPageBreak/>
        <w:t>密。但是，如下情况不应视为基金管理人或基金托管人违反保密义务：</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份额发售公告、基金募集情况、《基金合同》生效公告、基金产品资料概要、基金清算报告、基金净值信息、各类基金份额申购、赎回价格、基金定期报告（包括基金年度报告、基金中期报告和基金季度报告）、临时报告、澄清公告、基金份额持有人大会决议、投资资产支持证券信息披露、中国证监会规定的其他信息。基金年度报告中的财务会计报告部分，需经具有从事证券、期货相关业务资格的会计师事务所审计后，方可披露。</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基金管理人、基金托管人应当在指定报刊中选择一家报刊披露本基金的信息。基金管理人、基金托管人应当向中国证监会基金电子披露网站报送拟披露的基金信息，并保证报送信息的真实、准确、完整、及时。</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(1)基金投资所涉及的证券交易市场遇法定节假日或因其他原因暂停营业时；</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(3)出现基金合同约定的暂停估值的情形；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(4)法律法规、中国证监会和基金合同认定的其它情形。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3.信息文本的存放</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依法必须披露的信息发布后，基金管理人、基金托管人应当按照相关法律法规规定将信息置备于各自住所，供社会公众查阅、复制。</w:t>
      </w:r>
    </w:p>
    <w:p w:rsidR="00D745FC" w:rsidRDefault="00D745FC">
      <w:pPr>
        <w:pStyle w:val="a0"/>
        <w:ind w:firstLineChars="0" w:firstLine="0"/>
        <w:rPr>
          <w:rFonts w:ascii="彩虹粗仿宋" w:eastAsia="彩虹粗仿宋" w:hAnsi="宋体" w:cs="Arial"/>
          <w:sz w:val="24"/>
        </w:rPr>
      </w:pPr>
    </w:p>
    <w:p w:rsidR="00D745FC" w:rsidRDefault="001F197F">
      <w:pPr>
        <w:pStyle w:val="2"/>
        <w:jc w:val="center"/>
        <w:rPr>
          <w:rFonts w:ascii="彩虹粗仿宋" w:eastAsia="彩虹粗仿宋"/>
          <w:sz w:val="30"/>
        </w:rPr>
      </w:pPr>
      <w:bookmarkStart w:id="88" w:name="_Toc26280977"/>
      <w:r>
        <w:rPr>
          <w:rFonts w:ascii="彩虹粗仿宋" w:eastAsia="彩虹粗仿宋" w:hint="eastAsia"/>
          <w:sz w:val="30"/>
        </w:rPr>
        <w:t>十一、基金费用</w:t>
      </w:r>
      <w:bookmarkEnd w:id="88"/>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本基金的管理费按前一日基金资产净值的0</w:t>
      </w:r>
      <w:r>
        <w:rPr>
          <w:rFonts w:ascii="彩虹粗仿宋" w:eastAsia="彩虹粗仿宋" w:hAnsi="宋体" w:cs="Arial"/>
          <w:sz w:val="24"/>
        </w:rPr>
        <w:t>.30</w:t>
      </w:r>
      <w:r>
        <w:rPr>
          <w:rFonts w:ascii="彩虹粗仿宋" w:eastAsia="彩虹粗仿宋" w:hAnsi="宋体" w:cs="Arial" w:hint="eastAsia"/>
          <w:sz w:val="24"/>
        </w:rPr>
        <w:t>%年费率计提。管理费的计算方法如下：</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w:t>
      </w:r>
      <w:r>
        <w:rPr>
          <w:rFonts w:ascii="彩虹粗仿宋" w:eastAsia="彩虹粗仿宋" w:hAnsi="宋体" w:cs="Arial"/>
          <w:sz w:val="24"/>
        </w:rPr>
        <w:t>.30%</w:t>
      </w:r>
      <w:r>
        <w:rPr>
          <w:rFonts w:ascii="彩虹粗仿宋" w:eastAsia="彩虹粗仿宋" w:hAnsi="宋体" w:cs="Arial" w:hint="eastAsia"/>
          <w:sz w:val="24"/>
        </w:rPr>
        <w:t>÷当年天数</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w:t>
      </w:r>
      <w:r>
        <w:rPr>
          <w:rFonts w:ascii="彩虹粗仿宋" w:eastAsia="彩虹粗仿宋" w:hAnsi="宋体" w:cs="Arial"/>
          <w:sz w:val="24"/>
        </w:rPr>
        <w:t>.05</w:t>
      </w:r>
      <w:r>
        <w:rPr>
          <w:rFonts w:ascii="彩虹粗仿宋" w:eastAsia="彩虹粗仿宋" w:hAnsi="宋体" w:cs="Arial" w:hint="eastAsia"/>
          <w:sz w:val="24"/>
        </w:rPr>
        <w:t>%年费率计提。托管费的计算方法如下：</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w:t>
      </w:r>
      <w:r>
        <w:rPr>
          <w:rFonts w:ascii="彩虹粗仿宋" w:eastAsia="彩虹粗仿宋" w:hAnsi="宋体" w:cs="Arial"/>
          <w:sz w:val="24"/>
        </w:rPr>
        <w:t>.05%</w:t>
      </w:r>
      <w:r>
        <w:rPr>
          <w:rFonts w:ascii="彩虹粗仿宋" w:eastAsia="彩虹粗仿宋" w:hAnsi="宋体" w:cs="Arial" w:hint="eastAsia"/>
          <w:sz w:val="24"/>
        </w:rPr>
        <w:t>÷当年天数</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（三）C类份额的基金销售服务费</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本基金A类基金份额不收取销售服务费，C类基金份额的销售服务费年费率为0.45%。销售服务费计提的计算公式具体如下：</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H＝E×0.45%÷当年天数</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H为每日C类基金份额应计提的基金销售服务费</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E为前一日C类基金份额的基金资产净值</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证券账户开户费用、证券交易结算费用、基金财产划拨支付的银行费用、账户开户及维护费、《基金合同》生效后的信息披露费用、基金份额持有人大会费用、《基金合同》生效后与基金有关的会计师费、律师费、仲裁费和诉讼费等根据有关法律法规、《基金合同》及相应协议的规定，列入当期基金费用。</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（四）不列入基金费用的项目</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1.基金管理人和基金托管人因未履行或未完全履行义务导致的费用支出或基金财产的损失；</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2.基金管理人和基金托管人处理与基金运作无关的事项发生的费用；</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3.《基金合同》生效前的相关费用；</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4.其他根据相关法律法规及中国证监会的有关规定不得列入基金费用的项目。</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（五）基金管理费和基金托管费的复核程序、支付方式和时间</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销售服务费每日计提，逐日累计至每月月末，按月支付。由基金托管人根据与基金管理人核对一致的财务数据，自动于次月首日起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在首期支付基金管理费、销售服务费前，基金管理人应向托管人出具正式函件指定基金管理费的收款账户。基金管理人如需要变更此账户，应提前5个工作日向托管人出具书面的收款账户变更通知。</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（六）违规处理方式</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D745FC" w:rsidRDefault="00D745FC">
      <w:pPr>
        <w:adjustRightInd w:val="0"/>
        <w:snapToGrid w:val="0"/>
        <w:rPr>
          <w:rFonts w:ascii="彩虹粗仿宋" w:eastAsia="彩虹粗仿宋" w:hAnsi="宋体" w:cs="Arial"/>
          <w:sz w:val="24"/>
        </w:rPr>
      </w:pPr>
    </w:p>
    <w:p w:rsidR="00D745FC" w:rsidRDefault="001F197F">
      <w:pPr>
        <w:pStyle w:val="2"/>
        <w:jc w:val="center"/>
        <w:rPr>
          <w:rFonts w:ascii="彩虹粗仿宋" w:eastAsia="彩虹粗仿宋"/>
          <w:sz w:val="30"/>
        </w:rPr>
      </w:pPr>
      <w:bookmarkStart w:id="89" w:name="_Toc26280978"/>
      <w:r>
        <w:rPr>
          <w:rFonts w:ascii="彩虹粗仿宋" w:eastAsia="彩虹粗仿宋" w:hint="eastAsia"/>
          <w:sz w:val="30"/>
        </w:rPr>
        <w:t>十二、基金份额持有人名册的保管</w:t>
      </w:r>
      <w:bookmarkEnd w:id="89"/>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D745FC" w:rsidRDefault="00D745FC">
      <w:pPr>
        <w:adjustRightInd w:val="0"/>
        <w:snapToGrid w:val="0"/>
        <w:rPr>
          <w:rFonts w:ascii="彩虹粗仿宋" w:eastAsia="彩虹粗仿宋" w:hAnsi="宋体" w:cs="Arial"/>
          <w:sz w:val="24"/>
        </w:rPr>
      </w:pPr>
    </w:p>
    <w:p w:rsidR="00D745FC" w:rsidRDefault="001F197F">
      <w:pPr>
        <w:pStyle w:val="2"/>
        <w:jc w:val="center"/>
        <w:rPr>
          <w:rFonts w:ascii="彩虹粗仿宋" w:eastAsia="彩虹粗仿宋"/>
          <w:sz w:val="30"/>
        </w:rPr>
      </w:pPr>
      <w:bookmarkStart w:id="90" w:name="_Toc26280979"/>
      <w:r>
        <w:rPr>
          <w:rFonts w:ascii="彩虹粗仿宋" w:eastAsia="彩虹粗仿宋" w:hint="eastAsia"/>
          <w:sz w:val="30"/>
        </w:rPr>
        <w:lastRenderedPageBreak/>
        <w:t>十三、基金有关文件档案的保存</w:t>
      </w:r>
      <w:bookmarkEnd w:id="90"/>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D745FC" w:rsidRDefault="001F197F">
      <w:pPr>
        <w:adjustRightInd w:val="0"/>
        <w:snapToGrid w:val="0"/>
        <w:ind w:firstLineChars="200" w:firstLine="480"/>
        <w:rPr>
          <w:rFonts w:ascii="彩虹粗仿宋" w:eastAsia="彩虹粗仿宋"/>
          <w:b/>
          <w:bCs/>
          <w:sz w:val="30"/>
          <w:szCs w:val="30"/>
        </w:rPr>
      </w:pPr>
      <w:r>
        <w:rPr>
          <w:rFonts w:ascii="彩虹粗仿宋" w:eastAsia="彩虹粗仿宋" w:hAnsi="宋体" w:cs="Arial" w:hint="eastAsia"/>
          <w:sz w:val="24"/>
        </w:rPr>
        <w:t>若基金管理人/基金托管人发生变更，未变更的一方有义务协助变更后的接任人接收相应文件。</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p>
    <w:p w:rsidR="00D745FC" w:rsidRDefault="00D745FC">
      <w:pPr>
        <w:adjustRightInd w:val="0"/>
        <w:snapToGrid w:val="0"/>
        <w:rPr>
          <w:rFonts w:ascii="彩虹粗仿宋" w:eastAsia="彩虹粗仿宋"/>
          <w:sz w:val="30"/>
          <w:szCs w:val="30"/>
        </w:rPr>
      </w:pPr>
    </w:p>
    <w:p w:rsidR="00D745FC" w:rsidRDefault="001F197F">
      <w:pPr>
        <w:pStyle w:val="2"/>
        <w:jc w:val="center"/>
        <w:rPr>
          <w:rFonts w:ascii="彩虹粗仿宋" w:eastAsia="彩虹粗仿宋"/>
          <w:sz w:val="30"/>
        </w:rPr>
      </w:pPr>
      <w:bookmarkStart w:id="91" w:name="_Toc26280980"/>
      <w:r>
        <w:rPr>
          <w:rFonts w:ascii="彩虹粗仿宋" w:eastAsia="彩虹粗仿宋" w:hint="eastAsia"/>
          <w:sz w:val="30"/>
        </w:rPr>
        <w:t>十四、基金管理人和基金托管人的更换</w:t>
      </w:r>
      <w:bookmarkEnd w:id="91"/>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被基金份额持有人大会解任；</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3)</w:t>
      </w:r>
      <w:r>
        <w:rPr>
          <w:rFonts w:ascii="彩虹粗仿宋" w:eastAsia="彩虹粗仿宋" w:hAnsi="宋体" w:cs="Arial" w:hint="eastAsia"/>
          <w:sz w:val="24"/>
        </w:rPr>
        <w:t>依法解散、被依法撤销或被依法宣告破产；</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(3)临时基金管理人：新任基金管理人产生之前，由中国证监会指定临时基金管理人；</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(4)备案：基金份额持有人大会选任基金管理人的决议须报中国证监会备案；</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D745FC" w:rsidRDefault="001F197F">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)被基金份额持有人大会解任；</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3)</w:t>
      </w:r>
      <w:r>
        <w:rPr>
          <w:rFonts w:ascii="彩虹粗仿宋" w:eastAsia="彩虹粗仿宋" w:hAnsi="宋体" w:cs="Arial" w:hint="eastAsia"/>
          <w:sz w:val="24"/>
        </w:rPr>
        <w:t>依法解散、被依法撤销或被依法宣告破产；</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w:t>
      </w:r>
      <w:r>
        <w:rPr>
          <w:rFonts w:ascii="彩虹粗仿宋" w:eastAsia="彩虹粗仿宋" w:hAnsi="宋体" w:cs="Arial" w:hint="eastAsia"/>
          <w:sz w:val="24"/>
        </w:rPr>
        <w:lastRenderedPageBreak/>
        <w:t>托管人应当及时接收。新任基金托管人与基金管理人核对基金资产总值；</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依据法律法规和《基金合同》的规定继续履行相关职责，并保证不做出对基金份额持有人的利益造成损害的行为。</w:t>
      </w:r>
    </w:p>
    <w:p w:rsidR="00D745FC" w:rsidRDefault="00D745FC">
      <w:pPr>
        <w:adjustRightInd w:val="0"/>
        <w:snapToGrid w:val="0"/>
        <w:rPr>
          <w:rFonts w:ascii="彩虹粗仿宋" w:eastAsia="彩虹粗仿宋" w:hAnsi="宋体" w:cs="Arial"/>
          <w:sz w:val="24"/>
        </w:rPr>
      </w:pPr>
    </w:p>
    <w:p w:rsidR="00D745FC" w:rsidRDefault="001F197F">
      <w:pPr>
        <w:pStyle w:val="2"/>
        <w:jc w:val="center"/>
        <w:rPr>
          <w:rFonts w:ascii="彩虹粗仿宋" w:eastAsia="彩虹粗仿宋"/>
          <w:sz w:val="30"/>
        </w:rPr>
      </w:pPr>
      <w:bookmarkStart w:id="92" w:name="_Toc26280981"/>
      <w:r>
        <w:rPr>
          <w:rFonts w:ascii="彩虹粗仿宋" w:eastAsia="彩虹粗仿宋" w:hint="eastAsia"/>
          <w:sz w:val="30"/>
        </w:rPr>
        <w:t>十五、禁止行为</w:t>
      </w:r>
      <w:bookmarkEnd w:id="92"/>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 其高级管理人员和其他从业人员相互兼职。</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九）基金财产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（十）法律法规和《基金合同》禁止的其他行为，以及</w:t>
      </w:r>
      <w:r>
        <w:rPr>
          <w:rFonts w:ascii="彩虹粗仿宋" w:eastAsia="彩虹粗仿宋" w:hint="eastAsia"/>
          <w:sz w:val="24"/>
        </w:rPr>
        <w:t>依照法律、行政法规有关规定，由国务院证券监督管理机构规定禁止基金管理人、基金托管人从事的其他行为。</w:t>
      </w:r>
    </w:p>
    <w:p w:rsidR="00D745FC" w:rsidRDefault="00D745FC">
      <w:pPr>
        <w:adjustRightInd w:val="0"/>
        <w:snapToGrid w:val="0"/>
        <w:rPr>
          <w:rFonts w:ascii="彩虹粗仿宋" w:eastAsia="彩虹粗仿宋"/>
          <w:sz w:val="30"/>
          <w:szCs w:val="30"/>
        </w:rPr>
      </w:pPr>
    </w:p>
    <w:p w:rsidR="00D745FC" w:rsidRDefault="001F197F">
      <w:pPr>
        <w:pStyle w:val="2"/>
        <w:jc w:val="center"/>
        <w:rPr>
          <w:rFonts w:ascii="彩虹粗仿宋" w:eastAsia="彩虹粗仿宋"/>
          <w:sz w:val="30"/>
        </w:rPr>
      </w:pPr>
      <w:bookmarkStart w:id="93" w:name="_Toc26280982"/>
      <w:r>
        <w:rPr>
          <w:rFonts w:ascii="彩虹粗仿宋" w:eastAsia="彩虹粗仿宋" w:hint="eastAsia"/>
          <w:sz w:val="30"/>
        </w:rPr>
        <w:t>十六、托管协议的变更、终止与基金财产的清算</w:t>
      </w:r>
      <w:bookmarkEnd w:id="93"/>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D745FC" w:rsidRDefault="001F197F">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(2)对基金财产和债权债务进行清理和确认；</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个工作日内由基金财产清算小组进行公告，基金财产清算小组应当将清算报告登载在指定网站上，并将清算报告提示性公告登载在指定报刊上。</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基金财产清算账册及有关文件由基金托管人保存至少15年。</w:t>
      </w:r>
    </w:p>
    <w:p w:rsidR="00D745FC" w:rsidRDefault="00D745FC">
      <w:pPr>
        <w:adjustRightInd w:val="0"/>
        <w:snapToGrid w:val="0"/>
        <w:rPr>
          <w:rFonts w:ascii="彩虹粗仿宋" w:eastAsia="彩虹粗仿宋" w:hAnsi="宋体" w:cs="Arial"/>
          <w:sz w:val="24"/>
        </w:rPr>
      </w:pPr>
    </w:p>
    <w:p w:rsidR="00D745FC" w:rsidRDefault="001F197F">
      <w:pPr>
        <w:pStyle w:val="2"/>
        <w:jc w:val="center"/>
        <w:rPr>
          <w:rFonts w:ascii="彩虹粗仿宋" w:eastAsia="彩虹粗仿宋"/>
          <w:sz w:val="30"/>
        </w:rPr>
      </w:pPr>
      <w:bookmarkStart w:id="94" w:name="_Toc26280983"/>
      <w:r>
        <w:rPr>
          <w:rFonts w:ascii="彩虹粗仿宋" w:eastAsia="彩虹粗仿宋" w:hint="eastAsia"/>
          <w:sz w:val="30"/>
        </w:rPr>
        <w:t>十七、违约责任</w:t>
      </w:r>
      <w:bookmarkEnd w:id="94"/>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2.基金管理人、基金托管人按照当时有效的法律法规或中国证监会的规定作为或不作为而造成的损失等；</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D745FC" w:rsidRDefault="001F19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745FC" w:rsidRDefault="00D745FC">
      <w:pPr>
        <w:adjustRightInd w:val="0"/>
        <w:snapToGrid w:val="0"/>
        <w:outlineLvl w:val="0"/>
        <w:rPr>
          <w:rFonts w:ascii="彩虹粗仿宋" w:eastAsia="彩虹粗仿宋" w:hAnsi="宋体" w:cs="Arial"/>
          <w:sz w:val="24"/>
        </w:rPr>
      </w:pPr>
    </w:p>
    <w:p w:rsidR="00D745FC" w:rsidRDefault="001F197F">
      <w:pPr>
        <w:pStyle w:val="2"/>
        <w:jc w:val="center"/>
        <w:rPr>
          <w:rFonts w:ascii="彩虹粗仿宋" w:eastAsia="彩虹粗仿宋"/>
          <w:sz w:val="30"/>
        </w:rPr>
      </w:pPr>
      <w:bookmarkStart w:id="95" w:name="_Toc26280984"/>
      <w:r>
        <w:rPr>
          <w:rFonts w:ascii="彩虹粗仿宋" w:eastAsia="彩虹粗仿宋" w:hint="eastAsia"/>
          <w:sz w:val="30"/>
        </w:rPr>
        <w:t>十八、争议解决方式</w:t>
      </w:r>
      <w:bookmarkEnd w:id="95"/>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双方当事人具有约束力，除非仲裁裁决另有规定，仲裁费用由败诉方承担。</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本协议受中国法律管辖。</w:t>
      </w:r>
    </w:p>
    <w:p w:rsidR="00D745FC" w:rsidRDefault="00D745FC">
      <w:pPr>
        <w:adjustRightInd w:val="0"/>
        <w:snapToGrid w:val="0"/>
        <w:rPr>
          <w:rFonts w:ascii="彩虹粗仿宋" w:eastAsia="彩虹粗仿宋" w:hAnsi="宋体" w:cs="Arial"/>
          <w:sz w:val="24"/>
        </w:rPr>
      </w:pPr>
    </w:p>
    <w:p w:rsidR="00D745FC" w:rsidRDefault="001F197F">
      <w:pPr>
        <w:pStyle w:val="2"/>
        <w:jc w:val="center"/>
        <w:rPr>
          <w:rFonts w:ascii="彩虹粗仿宋" w:eastAsia="彩虹粗仿宋"/>
          <w:sz w:val="30"/>
        </w:rPr>
      </w:pPr>
      <w:bookmarkStart w:id="96" w:name="_Toc26280985"/>
      <w:r>
        <w:rPr>
          <w:rFonts w:ascii="彩虹粗仿宋" w:eastAsia="彩虹粗仿宋" w:hint="eastAsia"/>
          <w:sz w:val="30"/>
        </w:rPr>
        <w:lastRenderedPageBreak/>
        <w:t>十九、托管协议的效力</w:t>
      </w:r>
      <w:bookmarkEnd w:id="96"/>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D745FC" w:rsidRDefault="001F197F">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rsidR="00D745FC" w:rsidRDefault="00D745FC">
      <w:pPr>
        <w:adjustRightInd w:val="0"/>
        <w:snapToGrid w:val="0"/>
        <w:rPr>
          <w:rFonts w:ascii="彩虹粗仿宋" w:eastAsia="彩虹粗仿宋" w:hAnsi="宋体" w:cs="Arial"/>
          <w:sz w:val="24"/>
        </w:rPr>
      </w:pPr>
    </w:p>
    <w:p w:rsidR="00D745FC" w:rsidRDefault="001F197F">
      <w:pPr>
        <w:pStyle w:val="2"/>
        <w:jc w:val="center"/>
        <w:rPr>
          <w:rFonts w:ascii="彩虹粗仿宋" w:eastAsia="彩虹粗仿宋"/>
          <w:sz w:val="30"/>
        </w:rPr>
      </w:pPr>
      <w:bookmarkStart w:id="97" w:name="_Toc26280986"/>
      <w:r>
        <w:rPr>
          <w:rFonts w:ascii="彩虹粗仿宋" w:eastAsia="彩虹粗仿宋" w:hint="eastAsia"/>
          <w:sz w:val="30"/>
        </w:rPr>
        <w:t>二十、其他事项</w:t>
      </w:r>
      <w:bookmarkEnd w:id="97"/>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D745FC" w:rsidRDefault="00D745FC">
      <w:pPr>
        <w:adjustRightInd w:val="0"/>
        <w:snapToGrid w:val="0"/>
        <w:rPr>
          <w:rFonts w:ascii="彩虹粗仿宋" w:eastAsia="彩虹粗仿宋"/>
          <w:b/>
          <w:bCs/>
        </w:rPr>
      </w:pPr>
    </w:p>
    <w:p w:rsidR="00D745FC" w:rsidRDefault="001F197F">
      <w:pPr>
        <w:pStyle w:val="2"/>
        <w:jc w:val="center"/>
        <w:rPr>
          <w:rFonts w:ascii="彩虹粗仿宋" w:eastAsia="彩虹粗仿宋"/>
          <w:sz w:val="30"/>
        </w:rPr>
      </w:pPr>
      <w:bookmarkStart w:id="98" w:name="_Toc26280987"/>
      <w:r>
        <w:rPr>
          <w:rFonts w:ascii="彩虹粗仿宋" w:eastAsia="彩虹粗仿宋" w:hint="eastAsia"/>
          <w:sz w:val="30"/>
        </w:rPr>
        <w:t>二十一、托管协议的签订</w:t>
      </w:r>
      <w:bookmarkEnd w:id="98"/>
    </w:p>
    <w:p w:rsidR="00D745FC" w:rsidRDefault="001F19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D745FC" w:rsidRDefault="00D745FC">
      <w:pPr>
        <w:adjustRightInd w:val="0"/>
        <w:snapToGrid w:val="0"/>
        <w:ind w:firstLineChars="200" w:firstLine="480"/>
        <w:rPr>
          <w:rFonts w:ascii="彩虹粗仿宋" w:eastAsia="彩虹粗仿宋" w:hAnsi="宋体" w:cs="Arial"/>
          <w:sz w:val="24"/>
        </w:rPr>
        <w:sectPr w:rsidR="00D745FC">
          <w:headerReference w:type="default" r:id="rId8"/>
          <w:pgSz w:w="11906" w:h="16838"/>
          <w:pgMar w:top="1418" w:right="1701" w:bottom="1418" w:left="1701" w:header="851" w:footer="992" w:gutter="0"/>
          <w:cols w:space="425"/>
          <w:docGrid w:type="lines" w:linePitch="312"/>
        </w:sectPr>
      </w:pPr>
    </w:p>
    <w:p w:rsidR="00D745FC" w:rsidRDefault="001F197F">
      <w:pPr>
        <w:spacing w:line="360" w:lineRule="auto"/>
        <w:ind w:right="26"/>
        <w:rPr>
          <w:rFonts w:ascii="彩虹粗仿宋" w:eastAsia="彩虹粗仿宋"/>
          <w:sz w:val="24"/>
        </w:rPr>
      </w:pPr>
      <w:r>
        <w:rPr>
          <w:rFonts w:ascii="彩虹粗仿宋" w:eastAsia="彩虹粗仿宋" w:hint="eastAsia"/>
          <w:sz w:val="24"/>
        </w:rPr>
        <w:lastRenderedPageBreak/>
        <w:t>本页无正文，为《格林泓裕一年定期开放债券型证券投资基金托管协议》的签字盖章页。</w:t>
      </w:r>
      <w:bookmarkStart w:id="99" w:name="_GoBack"/>
      <w:bookmarkEnd w:id="99"/>
    </w:p>
    <w:p w:rsidR="00D745FC" w:rsidRDefault="00D745FC">
      <w:pPr>
        <w:spacing w:line="360" w:lineRule="auto"/>
        <w:rPr>
          <w:rFonts w:ascii="彩虹粗仿宋" w:eastAsia="彩虹粗仿宋"/>
          <w:sz w:val="24"/>
        </w:rPr>
      </w:pPr>
    </w:p>
    <w:p w:rsidR="00D745FC" w:rsidRDefault="00D745FC">
      <w:pPr>
        <w:spacing w:line="360" w:lineRule="auto"/>
        <w:rPr>
          <w:rFonts w:ascii="彩虹粗仿宋" w:eastAsia="彩虹粗仿宋"/>
          <w:sz w:val="24"/>
        </w:rPr>
      </w:pPr>
    </w:p>
    <w:p w:rsidR="00D745FC" w:rsidRDefault="00D745FC">
      <w:pPr>
        <w:spacing w:line="360" w:lineRule="auto"/>
        <w:rPr>
          <w:rFonts w:ascii="彩虹粗仿宋" w:eastAsia="彩虹粗仿宋"/>
          <w:sz w:val="24"/>
        </w:rPr>
      </w:pPr>
    </w:p>
    <w:p w:rsidR="00D745FC" w:rsidRDefault="001F197F">
      <w:pPr>
        <w:spacing w:line="360" w:lineRule="auto"/>
        <w:ind w:right="26"/>
        <w:rPr>
          <w:rFonts w:ascii="彩虹粗仿宋" w:eastAsia="彩虹粗仿宋"/>
          <w:sz w:val="24"/>
        </w:rPr>
      </w:pPr>
      <w:r>
        <w:rPr>
          <w:rFonts w:ascii="彩虹粗仿宋" w:eastAsia="彩虹粗仿宋" w:hint="eastAsia"/>
          <w:sz w:val="24"/>
        </w:rPr>
        <w:t>基金管理人：格林基金管理有限公司（盖章）</w:t>
      </w:r>
    </w:p>
    <w:p w:rsidR="00D745FC" w:rsidRDefault="001F197F">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D745FC" w:rsidRDefault="00D745FC">
      <w:pPr>
        <w:spacing w:line="360" w:lineRule="auto"/>
        <w:ind w:right="26"/>
        <w:rPr>
          <w:rFonts w:ascii="彩虹粗仿宋" w:eastAsia="彩虹粗仿宋"/>
          <w:sz w:val="24"/>
        </w:rPr>
      </w:pPr>
    </w:p>
    <w:p w:rsidR="00D745FC" w:rsidRDefault="00D745FC">
      <w:pPr>
        <w:spacing w:line="360" w:lineRule="auto"/>
        <w:ind w:right="26"/>
        <w:rPr>
          <w:rFonts w:ascii="彩虹粗仿宋" w:eastAsia="彩虹粗仿宋"/>
          <w:sz w:val="24"/>
        </w:rPr>
      </w:pPr>
    </w:p>
    <w:p w:rsidR="00D745FC" w:rsidRDefault="00D745FC">
      <w:pPr>
        <w:spacing w:line="360" w:lineRule="auto"/>
        <w:ind w:right="26"/>
        <w:rPr>
          <w:rFonts w:ascii="彩虹粗仿宋" w:eastAsia="彩虹粗仿宋"/>
          <w:sz w:val="24"/>
        </w:rPr>
      </w:pPr>
    </w:p>
    <w:p w:rsidR="00D745FC" w:rsidRDefault="00D745FC">
      <w:pPr>
        <w:spacing w:line="360" w:lineRule="auto"/>
        <w:ind w:right="26"/>
        <w:rPr>
          <w:rFonts w:ascii="彩虹粗仿宋" w:eastAsia="彩虹粗仿宋"/>
          <w:sz w:val="24"/>
        </w:rPr>
      </w:pPr>
    </w:p>
    <w:p w:rsidR="00D745FC" w:rsidRDefault="00D745FC">
      <w:pPr>
        <w:spacing w:line="360" w:lineRule="auto"/>
        <w:ind w:right="26"/>
        <w:rPr>
          <w:rFonts w:ascii="彩虹粗仿宋" w:eastAsia="彩虹粗仿宋"/>
          <w:sz w:val="24"/>
        </w:rPr>
      </w:pPr>
    </w:p>
    <w:p w:rsidR="00D745FC" w:rsidRDefault="001F197F">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D745FC" w:rsidRDefault="001F197F">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D745FC" w:rsidRDefault="00D745FC">
      <w:pPr>
        <w:spacing w:line="360" w:lineRule="auto"/>
        <w:ind w:right="26"/>
        <w:rPr>
          <w:rFonts w:ascii="彩虹粗仿宋" w:eastAsia="彩虹粗仿宋"/>
          <w:b/>
          <w:sz w:val="24"/>
          <w:szCs w:val="28"/>
        </w:rPr>
      </w:pPr>
    </w:p>
    <w:p w:rsidR="00D745FC" w:rsidRDefault="00D745FC">
      <w:pPr>
        <w:spacing w:line="360" w:lineRule="auto"/>
        <w:ind w:right="26"/>
        <w:rPr>
          <w:rFonts w:ascii="彩虹粗仿宋" w:eastAsia="彩虹粗仿宋"/>
          <w:b/>
          <w:sz w:val="24"/>
          <w:szCs w:val="28"/>
        </w:rPr>
      </w:pPr>
    </w:p>
    <w:p w:rsidR="00D745FC" w:rsidRDefault="00D745FC">
      <w:pPr>
        <w:spacing w:line="360" w:lineRule="auto"/>
        <w:ind w:right="26"/>
        <w:rPr>
          <w:rFonts w:ascii="彩虹粗仿宋" w:eastAsia="彩虹粗仿宋"/>
          <w:b/>
          <w:sz w:val="24"/>
          <w:szCs w:val="28"/>
        </w:rPr>
      </w:pPr>
    </w:p>
    <w:p w:rsidR="00D745FC" w:rsidRDefault="00D745FC">
      <w:pPr>
        <w:spacing w:line="360" w:lineRule="auto"/>
        <w:ind w:right="26"/>
        <w:rPr>
          <w:rFonts w:ascii="彩虹粗仿宋" w:eastAsia="彩虹粗仿宋"/>
          <w:b/>
          <w:sz w:val="24"/>
          <w:szCs w:val="28"/>
        </w:rPr>
      </w:pPr>
    </w:p>
    <w:p w:rsidR="00D745FC" w:rsidRDefault="001F197F">
      <w:pPr>
        <w:spacing w:line="360" w:lineRule="auto"/>
        <w:ind w:right="26"/>
        <w:rPr>
          <w:rFonts w:ascii="彩虹粗仿宋" w:eastAsia="彩虹粗仿宋"/>
          <w:b/>
          <w:sz w:val="24"/>
          <w:szCs w:val="28"/>
        </w:rPr>
      </w:pPr>
      <w:r>
        <w:rPr>
          <w:rFonts w:ascii="彩虹粗仿宋" w:eastAsia="彩虹粗仿宋" w:hint="eastAsia"/>
          <w:b/>
          <w:sz w:val="24"/>
          <w:szCs w:val="28"/>
        </w:rPr>
        <w:t>签订地点：北京</w:t>
      </w:r>
    </w:p>
    <w:p w:rsidR="00D745FC" w:rsidRDefault="001F197F">
      <w:pPr>
        <w:spacing w:line="360" w:lineRule="auto"/>
        <w:ind w:right="26"/>
        <w:rPr>
          <w:rFonts w:ascii="彩虹粗仿宋" w:eastAsia="彩虹粗仿宋"/>
          <w:b/>
          <w:sz w:val="24"/>
          <w:szCs w:val="28"/>
        </w:rPr>
      </w:pPr>
      <w:r>
        <w:rPr>
          <w:rFonts w:ascii="彩虹粗仿宋" w:eastAsia="彩虹粗仿宋" w:hint="eastAsia"/>
          <w:b/>
          <w:sz w:val="24"/>
          <w:szCs w:val="28"/>
        </w:rPr>
        <w:t xml:space="preserve">签 订 日：二零 </w:t>
      </w:r>
      <w:r>
        <w:rPr>
          <w:rFonts w:ascii="宋体" w:hAnsi="宋体" w:cs="宋体" w:hint="eastAsia"/>
          <w:b/>
          <w:sz w:val="24"/>
          <w:szCs w:val="28"/>
        </w:rPr>
        <w:t xml:space="preserve"> </w:t>
      </w:r>
      <w:r>
        <w:rPr>
          <w:rFonts w:ascii="彩虹粗仿宋" w:eastAsia="彩虹粗仿宋" w:hint="eastAsia"/>
          <w:b/>
          <w:sz w:val="24"/>
          <w:szCs w:val="28"/>
        </w:rPr>
        <w:t>年</w:t>
      </w:r>
      <w:r>
        <w:rPr>
          <w:rFonts w:ascii="宋体" w:hAnsi="宋体" w:cs="宋体" w:hint="eastAsia"/>
          <w:b/>
          <w:sz w:val="24"/>
          <w:szCs w:val="28"/>
        </w:rPr>
        <w:t xml:space="preserve"> </w:t>
      </w:r>
      <w:r>
        <w:rPr>
          <w:rFonts w:ascii="彩虹粗仿宋" w:eastAsia="彩虹粗仿宋" w:hint="eastAsia"/>
          <w:b/>
          <w:sz w:val="24"/>
          <w:szCs w:val="28"/>
        </w:rPr>
        <w:t>月</w:t>
      </w:r>
      <w:r>
        <w:rPr>
          <w:rFonts w:ascii="宋体" w:hAnsi="宋体" w:cs="宋体" w:hint="eastAsia"/>
          <w:b/>
          <w:sz w:val="24"/>
          <w:szCs w:val="28"/>
        </w:rPr>
        <w:t xml:space="preserve"> </w:t>
      </w:r>
      <w:r>
        <w:rPr>
          <w:rFonts w:ascii="彩虹粗仿宋" w:eastAsia="彩虹粗仿宋" w:hint="eastAsia"/>
          <w:b/>
          <w:sz w:val="24"/>
          <w:szCs w:val="28"/>
        </w:rPr>
        <w:t>日</w:t>
      </w:r>
    </w:p>
    <w:p w:rsidR="00D745FC" w:rsidRDefault="00D745FC">
      <w:pPr>
        <w:adjustRightInd w:val="0"/>
        <w:snapToGrid w:val="0"/>
        <w:rPr>
          <w:rFonts w:ascii="彩虹粗仿宋" w:eastAsia="彩虹粗仿宋" w:hAnsi="宋体" w:cs="Arial"/>
          <w:sz w:val="24"/>
        </w:rPr>
      </w:pPr>
    </w:p>
    <w:p w:rsidR="00D745FC" w:rsidRDefault="00D745FC"/>
    <w:p w:rsidR="00D745FC" w:rsidRDefault="00D745FC"/>
    <w:p w:rsidR="00D745FC" w:rsidRDefault="00D745FC"/>
    <w:sectPr w:rsidR="00D745FC">
      <w:headerReference w:type="default" r:id="rId9"/>
      <w:footerReference w:type="default" r:id="rId10"/>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1D7" w:rsidRDefault="00D751D7">
      <w:r>
        <w:separator/>
      </w:r>
    </w:p>
  </w:endnote>
  <w:endnote w:type="continuationSeparator" w:id="0">
    <w:p w:rsidR="00D751D7" w:rsidRDefault="00D7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楷体_GB2312">
    <w:altName w:val="楷体"/>
    <w:charset w:val="86"/>
    <w:family w:val="modern"/>
    <w:pitch w:val="default"/>
    <w:sig w:usb0="00000000" w:usb1="00000000" w:usb2="00000010" w:usb3="00000000" w:csb0="00040000" w:csb1="00000000"/>
  </w:font>
  <w:font w:name="彩虹粗仿宋">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5FC" w:rsidRDefault="00D745F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1D7" w:rsidRDefault="00D751D7">
      <w:r>
        <w:separator/>
      </w:r>
    </w:p>
  </w:footnote>
  <w:footnote w:type="continuationSeparator" w:id="0">
    <w:p w:rsidR="00D751D7" w:rsidRDefault="00D75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5FC" w:rsidRDefault="001F197F">
    <w:pPr>
      <w:pStyle w:val="ae"/>
      <w:jc w:val="right"/>
    </w:pPr>
    <w:r>
      <w:rPr>
        <w:rFonts w:hint="eastAsia"/>
      </w:rPr>
      <w:t>格林泓裕一年定期开放债券型证券投资基金托管协议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5FC" w:rsidRDefault="001F197F">
    <w:pPr>
      <w:pStyle w:val="ae"/>
    </w:pPr>
    <w:r>
      <w:rPr>
        <w:rFonts w:hint="eastAsia"/>
      </w:rPr>
      <w:t xml:space="preserve"> </w:t>
    </w:r>
    <w:r>
      <w:t xml:space="preserve">                                     </w:t>
    </w:r>
    <w:r w:rsidR="00C87A30">
      <w:rPr>
        <w:rFonts w:hint="eastAsia"/>
      </w:rPr>
      <w:t xml:space="preserve">         </w:t>
    </w:r>
    <w:r>
      <w:t xml:space="preserve"> </w:t>
    </w:r>
    <w:r>
      <w:rPr>
        <w:rFonts w:hint="eastAsia"/>
      </w:rPr>
      <w:t>格林泓裕一年定期开放债券型证券投资基金托管协议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800"/>
    <w:rsid w:val="000249B8"/>
    <w:rsid w:val="00060EA1"/>
    <w:rsid w:val="00060F0D"/>
    <w:rsid w:val="00073A86"/>
    <w:rsid w:val="001E3F6C"/>
    <w:rsid w:val="001F197F"/>
    <w:rsid w:val="002012D5"/>
    <w:rsid w:val="00396AD9"/>
    <w:rsid w:val="00415C3F"/>
    <w:rsid w:val="00490227"/>
    <w:rsid w:val="00551F48"/>
    <w:rsid w:val="006636D9"/>
    <w:rsid w:val="00692FF3"/>
    <w:rsid w:val="006C3D78"/>
    <w:rsid w:val="007030F6"/>
    <w:rsid w:val="00790B24"/>
    <w:rsid w:val="007B1579"/>
    <w:rsid w:val="007C4800"/>
    <w:rsid w:val="007F34E3"/>
    <w:rsid w:val="0085591F"/>
    <w:rsid w:val="00893EDB"/>
    <w:rsid w:val="0089490B"/>
    <w:rsid w:val="008C3551"/>
    <w:rsid w:val="00914F3E"/>
    <w:rsid w:val="009C188C"/>
    <w:rsid w:val="00BC666D"/>
    <w:rsid w:val="00C642F9"/>
    <w:rsid w:val="00C87A30"/>
    <w:rsid w:val="00D745FC"/>
    <w:rsid w:val="00D751D7"/>
    <w:rsid w:val="00F36954"/>
    <w:rsid w:val="00F46623"/>
    <w:rsid w:val="00F47380"/>
    <w:rsid w:val="379C3DB3"/>
    <w:rsid w:val="4296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5A1"/>
  <w15:docId w15:val="{E2E5885D-CD59-4975-8202-031274A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uiPriority="39" w:qFormat="1"/>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semiHidden="1"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0"/>
    <w:link w:val="20"/>
    <w:qFormat/>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rFonts w:ascii="Times New Roman" w:eastAsia="宋体" w:hAnsi="Times New Roman" w:cs="Times New Roman"/>
      <w:szCs w:val="24"/>
    </w:rPr>
  </w:style>
  <w:style w:type="paragraph" w:styleId="TOC7">
    <w:name w:val="toc 7"/>
    <w:basedOn w:val="a"/>
    <w:next w:val="a"/>
    <w:semiHidden/>
    <w:pPr>
      <w:ind w:leftChars="1200" w:left="2520"/>
    </w:pPr>
    <w:rPr>
      <w:rFonts w:ascii="Times New Roman" w:eastAsia="宋体" w:hAnsi="Times New Roman" w:cs="Times New Roman"/>
      <w:szCs w:val="24"/>
    </w:rPr>
  </w:style>
  <w:style w:type="paragraph" w:styleId="a4">
    <w:name w:val="annotation text"/>
    <w:basedOn w:val="a"/>
    <w:link w:val="a5"/>
    <w:semiHidden/>
    <w:qFormat/>
    <w:pPr>
      <w:jc w:val="left"/>
    </w:pPr>
    <w:rPr>
      <w:rFonts w:ascii="Times New Roman" w:eastAsia="宋体" w:hAnsi="Times New Roman" w:cs="Times New Roman"/>
      <w:szCs w:val="24"/>
    </w:rPr>
  </w:style>
  <w:style w:type="paragraph" w:styleId="a6">
    <w:name w:val="Body Text"/>
    <w:basedOn w:val="a"/>
    <w:link w:val="a7"/>
    <w:pPr>
      <w:spacing w:line="360" w:lineRule="auto"/>
    </w:pPr>
    <w:rPr>
      <w:rFonts w:ascii="仿宋_GB2312" w:eastAsia="仿宋_GB2312" w:hAnsi="Times New Roman" w:cs="Times New Roman"/>
      <w:color w:val="000000"/>
      <w:kern w:val="0"/>
      <w:sz w:val="24"/>
      <w:szCs w:val="28"/>
    </w:rPr>
  </w:style>
  <w:style w:type="paragraph" w:styleId="a8">
    <w:name w:val="Body Text Indent"/>
    <w:basedOn w:val="a"/>
    <w:link w:val="a9"/>
    <w:pPr>
      <w:adjustRightInd w:val="0"/>
      <w:snapToGrid w:val="0"/>
      <w:spacing w:line="560" w:lineRule="exact"/>
      <w:ind w:firstLineChars="200" w:firstLine="480"/>
    </w:pPr>
    <w:rPr>
      <w:rFonts w:ascii="Times New Roman" w:eastAsia="方正仿宋简体" w:hAnsi="Times New Roman" w:cs="Times New Roman"/>
      <w:sz w:val="24"/>
      <w:szCs w:val="30"/>
    </w:rPr>
  </w:style>
  <w:style w:type="paragraph" w:styleId="TOC5">
    <w:name w:val="toc 5"/>
    <w:basedOn w:val="a"/>
    <w:next w:val="a"/>
    <w:semiHidden/>
    <w:pPr>
      <w:ind w:leftChars="800" w:left="1680"/>
    </w:pPr>
    <w:rPr>
      <w:rFonts w:ascii="Times New Roman" w:eastAsia="宋体" w:hAnsi="Times New Roman" w:cs="Times New Roman"/>
      <w:szCs w:val="24"/>
    </w:rPr>
  </w:style>
  <w:style w:type="paragraph" w:styleId="TOC3">
    <w:name w:val="toc 3"/>
    <w:basedOn w:val="a"/>
    <w:next w:val="a"/>
    <w:semiHidden/>
    <w:pPr>
      <w:ind w:leftChars="400" w:left="840"/>
    </w:pPr>
    <w:rPr>
      <w:rFonts w:ascii="Times New Roman" w:eastAsia="宋体" w:hAnsi="Times New Roman" w:cs="Times New Roman"/>
      <w:szCs w:val="24"/>
    </w:rPr>
  </w:style>
  <w:style w:type="paragraph" w:styleId="TOC8">
    <w:name w:val="toc 8"/>
    <w:basedOn w:val="a"/>
    <w:next w:val="a"/>
    <w:semiHidden/>
    <w:pPr>
      <w:ind w:leftChars="1400" w:left="2940"/>
    </w:pPr>
    <w:rPr>
      <w:rFonts w:ascii="Times New Roman" w:eastAsia="宋体" w:hAnsi="Times New Roman" w:cs="Times New Roman"/>
      <w:szCs w:val="24"/>
    </w:rPr>
  </w:style>
  <w:style w:type="paragraph" w:styleId="21">
    <w:name w:val="Body Text Indent 2"/>
    <w:basedOn w:val="a"/>
    <w:link w:val="22"/>
    <w:pPr>
      <w:spacing w:line="360" w:lineRule="auto"/>
      <w:ind w:firstLine="525"/>
    </w:pPr>
    <w:rPr>
      <w:rFonts w:ascii="宋体" w:eastAsia="宋体" w:hAnsi="宋体" w:cs="Times New Roman"/>
      <w:sz w:val="28"/>
      <w:szCs w:val="20"/>
    </w:rPr>
  </w:style>
  <w:style w:type="paragraph" w:styleId="aa">
    <w:name w:val="Balloon Text"/>
    <w:basedOn w:val="a"/>
    <w:link w:val="ab"/>
    <w:semiHidden/>
    <w:rPr>
      <w:rFonts w:ascii="Times New Roman" w:eastAsia="宋体" w:hAnsi="Times New Roman" w:cs="Times New Roman"/>
      <w:sz w:val="18"/>
      <w:szCs w:val="18"/>
    </w:rPr>
  </w:style>
  <w:style w:type="paragraph" w:styleId="ac">
    <w:name w:val="footer"/>
    <w:basedOn w:val="a"/>
    <w:link w:val="ad"/>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semiHidden/>
    <w:rPr>
      <w:rFonts w:ascii="Times New Roman" w:eastAsia="宋体" w:hAnsi="Times New Roman" w:cs="Times New Roman"/>
      <w:szCs w:val="24"/>
    </w:rPr>
  </w:style>
  <w:style w:type="paragraph" w:styleId="TOC4">
    <w:name w:val="toc 4"/>
    <w:basedOn w:val="a"/>
    <w:next w:val="a"/>
    <w:semiHidden/>
    <w:pPr>
      <w:ind w:leftChars="600" w:left="1260"/>
    </w:pPr>
    <w:rPr>
      <w:rFonts w:ascii="Times New Roman" w:eastAsia="宋体" w:hAnsi="Times New Roman" w:cs="Times New Roman"/>
      <w:szCs w:val="24"/>
    </w:rPr>
  </w:style>
  <w:style w:type="paragraph" w:styleId="TOC6">
    <w:name w:val="toc 6"/>
    <w:basedOn w:val="a"/>
    <w:next w:val="a"/>
    <w:semiHidden/>
    <w:pPr>
      <w:ind w:leftChars="1000" w:left="2100"/>
    </w:pPr>
    <w:rPr>
      <w:rFonts w:ascii="Times New Roman" w:eastAsia="宋体" w:hAnsi="Times New Roman" w:cs="Times New Roman"/>
      <w:szCs w:val="24"/>
    </w:rPr>
  </w:style>
  <w:style w:type="paragraph" w:styleId="3">
    <w:name w:val="Body Text Indent 3"/>
    <w:basedOn w:val="a"/>
    <w:link w:val="30"/>
    <w:pPr>
      <w:adjustRightInd w:val="0"/>
      <w:snapToGrid w:val="0"/>
      <w:ind w:firstLineChars="200" w:firstLine="480"/>
    </w:pPr>
    <w:rPr>
      <w:rFonts w:ascii="仿宋_GB2312" w:eastAsia="仿宋_GB2312" w:hAnsi="宋体" w:cs="Arial"/>
      <w:color w:val="000000"/>
      <w:sz w:val="24"/>
      <w:szCs w:val="24"/>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paragraph" w:styleId="TOC9">
    <w:name w:val="toc 9"/>
    <w:basedOn w:val="a"/>
    <w:next w:val="a"/>
    <w:semiHidden/>
    <w:pPr>
      <w:ind w:leftChars="1600" w:left="3360"/>
    </w:pPr>
    <w:rPr>
      <w:rFonts w:ascii="Times New Roman" w:eastAsia="宋体" w:hAnsi="Times New Roman" w:cs="Times New Roman"/>
      <w:szCs w:val="24"/>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1">
    <w:name w:val="annotation subject"/>
    <w:basedOn w:val="a4"/>
    <w:next w:val="a4"/>
    <w:link w:val="af2"/>
    <w:rPr>
      <w:b/>
      <w:bCs/>
    </w:rPr>
  </w:style>
  <w:style w:type="character" w:styleId="af3">
    <w:name w:val="Strong"/>
    <w:qFormat/>
    <w:rPr>
      <w:b/>
      <w:bCs/>
    </w:rPr>
  </w:style>
  <w:style w:type="character" w:styleId="af4">
    <w:name w:val="page number"/>
    <w:basedOn w:val="a1"/>
    <w:qFormat/>
  </w:style>
  <w:style w:type="character" w:styleId="af5">
    <w:name w:val="Hyperlink"/>
    <w:uiPriority w:val="99"/>
    <w:qFormat/>
    <w:rPr>
      <w:color w:val="0000FF"/>
      <w:u w:val="single"/>
    </w:rPr>
  </w:style>
  <w:style w:type="character" w:styleId="af6">
    <w:name w:val="annotation reference"/>
    <w:semiHidden/>
    <w:rPr>
      <w:sz w:val="21"/>
      <w:szCs w:val="21"/>
    </w:rPr>
  </w:style>
  <w:style w:type="character" w:customStyle="1" w:styleId="20">
    <w:name w:val="标题 2 字符"/>
    <w:basedOn w:val="a1"/>
    <w:link w:val="2"/>
    <w:qFormat/>
    <w:rPr>
      <w:rFonts w:ascii="Arial" w:eastAsia="黑体" w:hAnsi="Arial" w:cs="Times New Roman"/>
      <w:b/>
      <w:sz w:val="32"/>
      <w:szCs w:val="20"/>
    </w:rPr>
  </w:style>
  <w:style w:type="character" w:customStyle="1" w:styleId="af">
    <w:name w:val="页眉 字符"/>
    <w:basedOn w:val="a1"/>
    <w:link w:val="ae"/>
    <w:rPr>
      <w:rFonts w:ascii="Times New Roman" w:eastAsia="宋体" w:hAnsi="Times New Roman" w:cs="Times New Roman"/>
      <w:sz w:val="18"/>
      <w:szCs w:val="18"/>
    </w:rPr>
  </w:style>
  <w:style w:type="character" w:customStyle="1" w:styleId="ad">
    <w:name w:val="页脚 字符"/>
    <w:basedOn w:val="a1"/>
    <w:link w:val="ac"/>
    <w:qFormat/>
    <w:rPr>
      <w:rFonts w:ascii="Times New Roman" w:eastAsia="宋体" w:hAnsi="Times New Roman" w:cs="Times New Roman"/>
      <w:sz w:val="18"/>
      <w:szCs w:val="18"/>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character" w:customStyle="1" w:styleId="a7">
    <w:name w:val="正文文本 字符"/>
    <w:basedOn w:val="a1"/>
    <w:link w:val="a6"/>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9">
    <w:name w:val="正文文本缩进 字符"/>
    <w:basedOn w:val="a1"/>
    <w:link w:val="a8"/>
    <w:rPr>
      <w:rFonts w:ascii="Times New Roman" w:eastAsia="方正仿宋简体" w:hAnsi="Times New Roman" w:cs="Times New Roman"/>
      <w:sz w:val="24"/>
      <w:szCs w:val="30"/>
    </w:rPr>
  </w:style>
  <w:style w:type="character" w:customStyle="1" w:styleId="22">
    <w:name w:val="正文文本缩进 2 字符"/>
    <w:basedOn w:val="a1"/>
    <w:link w:val="21"/>
    <w:rPr>
      <w:rFonts w:ascii="宋体" w:eastAsia="宋体" w:hAnsi="宋体" w:cs="Times New Roman"/>
      <w:sz w:val="28"/>
      <w:szCs w:val="20"/>
    </w:rPr>
  </w:style>
  <w:style w:type="character" w:customStyle="1" w:styleId="30">
    <w:name w:val="正文文本缩进 3 字符"/>
    <w:basedOn w:val="a1"/>
    <w:link w:val="3"/>
    <w:rPr>
      <w:rFonts w:ascii="仿宋_GB2312" w:eastAsia="仿宋_GB2312" w:hAnsi="宋体" w:cs="Arial"/>
      <w:color w:val="000000"/>
      <w:sz w:val="24"/>
      <w:szCs w:val="24"/>
    </w:rPr>
  </w:style>
  <w:style w:type="character" w:customStyle="1" w:styleId="ab">
    <w:name w:val="批注框文本 字符"/>
    <w:basedOn w:val="a1"/>
    <w:link w:val="aa"/>
    <w:semiHidden/>
    <w:rPr>
      <w:rFonts w:ascii="Times New Roman" w:eastAsia="宋体" w:hAnsi="Times New Roman" w:cs="Times New Roman"/>
      <w:sz w:val="18"/>
      <w:szCs w:val="18"/>
    </w:rPr>
  </w:style>
  <w:style w:type="paragraph" w:customStyle="1" w:styleId="Char">
    <w:name w:val="Char"/>
    <w:basedOn w:val="a"/>
    <w:rPr>
      <w:rFonts w:ascii="Times New Roman" w:eastAsia="宋体" w:hAnsi="Times New Roman" w:cs="Times New Roman"/>
      <w:szCs w:val="24"/>
    </w:rPr>
  </w:style>
  <w:style w:type="paragraph" w:customStyle="1" w:styleId="Char1">
    <w:name w:val="Char1"/>
    <w:basedOn w:val="a"/>
    <w:pPr>
      <w:tabs>
        <w:tab w:val="left"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Pr>
      <w:rFonts w:ascii="Times New Roman" w:eastAsia="宋体" w:hAnsi="Times New Roman" w:cs="Times New Roman"/>
      <w:szCs w:val="24"/>
    </w:rPr>
  </w:style>
  <w:style w:type="character" w:customStyle="1" w:styleId="a5">
    <w:name w:val="批注文字 字符"/>
    <w:basedOn w:val="a1"/>
    <w:link w:val="a4"/>
    <w:semiHidden/>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Pr>
      <w:rFonts w:ascii="Times New Roman" w:eastAsia="宋体" w:hAnsi="Times New Roman" w:cs="Times New Roman"/>
      <w:szCs w:val="24"/>
    </w:rPr>
  </w:style>
  <w:style w:type="paragraph" w:customStyle="1" w:styleId="CharChar">
    <w:name w:val="Char Char"/>
    <w:basedOn w:val="a"/>
    <w:rPr>
      <w:rFonts w:ascii="Times New Roman" w:eastAsia="宋体" w:hAnsi="Times New Roman" w:cs="Times New Roman"/>
      <w:szCs w:val="20"/>
    </w:rPr>
  </w:style>
  <w:style w:type="character" w:customStyle="1" w:styleId="HTML0">
    <w:name w:val="HTML 预设格式 字符"/>
    <w:basedOn w:val="a1"/>
    <w:link w:val="HTML"/>
    <w:uiPriority w:val="99"/>
    <w:rPr>
      <w:rFonts w:ascii="宋体" w:eastAsia="宋体" w:hAnsi="宋体" w:cs="宋体"/>
      <w:kern w:val="0"/>
      <w:sz w:val="24"/>
      <w:szCs w:val="24"/>
    </w:rPr>
  </w:style>
  <w:style w:type="character" w:customStyle="1" w:styleId="af2">
    <w:name w:val="批注主题 字符"/>
    <w:basedOn w:val="a5"/>
    <w:link w:val="af1"/>
    <w:rPr>
      <w:rFonts w:ascii="Times New Roman" w:eastAsia="宋体" w:hAnsi="Times New Roman" w:cs="Times New Roman"/>
      <w:b/>
      <w:bCs/>
      <w:szCs w:val="24"/>
    </w:rPr>
  </w:style>
  <w:style w:type="character" w:customStyle="1" w:styleId="1">
    <w:name w:val="已访问的超链接1"/>
    <w:uiPriority w:val="99"/>
    <w:semiHidden/>
    <w:unhideWhenUsed/>
    <w:rPr>
      <w:color w:val="800080"/>
      <w:u w:val="single"/>
    </w:rPr>
  </w:style>
  <w:style w:type="paragraph" w:customStyle="1" w:styleId="10">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B4A14-51AB-4C62-B8D8-16BCB43B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4177</Words>
  <Characters>23809</Characters>
  <Application>Microsoft Office Word</Application>
  <DocSecurity>0</DocSecurity>
  <Lines>198</Lines>
  <Paragraphs>55</Paragraphs>
  <ScaleCrop>false</ScaleCrop>
  <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朱旭</dc:creator>
  <cp:lastModifiedBy>李娇</cp:lastModifiedBy>
  <cp:revision>21</cp:revision>
  <cp:lastPrinted>2019-12-05T02:24:00Z</cp:lastPrinted>
  <dcterms:created xsi:type="dcterms:W3CDTF">2019-07-10T08:27:00Z</dcterms:created>
  <dcterms:modified xsi:type="dcterms:W3CDTF">2019-12-05T02:24:00Z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