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90DE057" w14:textId="77777777" w:rsidR="003A5994" w:rsidRPr="00EA5F2B" w:rsidRDefault="003A5994" w:rsidP="00EA5F2B">
      <w:pPr>
        <w:adjustRightInd w:val="0"/>
        <w:snapToGrid w:val="0"/>
        <w:spacing w:line="360" w:lineRule="auto"/>
        <w:jc w:val="center"/>
        <w:rPr>
          <w:rFonts w:asciiTheme="majorEastAsia" w:eastAsiaTheme="majorEastAsia" w:hAnsiTheme="majorEastAsia"/>
          <w:sz w:val="24"/>
        </w:rPr>
      </w:pPr>
    </w:p>
    <w:p w14:paraId="74642CF7" w14:textId="77777777" w:rsidR="003A5994" w:rsidRPr="00EA5F2B" w:rsidRDefault="003A5994" w:rsidP="00EA5F2B">
      <w:pPr>
        <w:adjustRightInd w:val="0"/>
        <w:snapToGrid w:val="0"/>
        <w:spacing w:line="360" w:lineRule="auto"/>
        <w:jc w:val="center"/>
        <w:rPr>
          <w:rFonts w:asciiTheme="majorEastAsia" w:eastAsiaTheme="majorEastAsia" w:hAnsiTheme="majorEastAsia"/>
          <w:sz w:val="24"/>
        </w:rPr>
      </w:pPr>
    </w:p>
    <w:p w14:paraId="421DE4E2" w14:textId="77777777" w:rsidR="003A5994" w:rsidRPr="00EA5F2B" w:rsidRDefault="003A5994" w:rsidP="00EA5F2B">
      <w:pPr>
        <w:adjustRightInd w:val="0"/>
        <w:snapToGrid w:val="0"/>
        <w:spacing w:line="360" w:lineRule="auto"/>
        <w:jc w:val="center"/>
        <w:rPr>
          <w:rFonts w:asciiTheme="majorEastAsia" w:eastAsiaTheme="majorEastAsia" w:hAnsiTheme="majorEastAsia"/>
          <w:sz w:val="24"/>
        </w:rPr>
      </w:pPr>
    </w:p>
    <w:p w14:paraId="6FDD1CCE" w14:textId="77777777" w:rsidR="003A5994" w:rsidRPr="00EA5F2B" w:rsidRDefault="003A5994" w:rsidP="00EA5F2B">
      <w:pPr>
        <w:adjustRightInd w:val="0"/>
        <w:snapToGrid w:val="0"/>
        <w:spacing w:line="360" w:lineRule="auto"/>
        <w:jc w:val="center"/>
        <w:rPr>
          <w:rFonts w:asciiTheme="majorEastAsia" w:eastAsiaTheme="majorEastAsia" w:hAnsiTheme="majorEastAsia"/>
          <w:sz w:val="24"/>
        </w:rPr>
      </w:pPr>
    </w:p>
    <w:p w14:paraId="10A6FA68" w14:textId="77777777" w:rsidR="003A5994" w:rsidRPr="00EA5F2B" w:rsidRDefault="003A5994" w:rsidP="00EA5F2B">
      <w:pPr>
        <w:adjustRightInd w:val="0"/>
        <w:snapToGrid w:val="0"/>
        <w:spacing w:line="360" w:lineRule="auto"/>
        <w:jc w:val="center"/>
        <w:rPr>
          <w:rFonts w:asciiTheme="majorEastAsia" w:eastAsiaTheme="majorEastAsia" w:hAnsiTheme="majorEastAsia"/>
          <w:sz w:val="24"/>
        </w:rPr>
      </w:pPr>
    </w:p>
    <w:p w14:paraId="70E12D16" w14:textId="77777777" w:rsidR="003A5994" w:rsidRPr="00EA5F2B" w:rsidRDefault="003A5994" w:rsidP="00EA5F2B">
      <w:pPr>
        <w:adjustRightInd w:val="0"/>
        <w:snapToGrid w:val="0"/>
        <w:spacing w:line="360" w:lineRule="auto"/>
        <w:jc w:val="center"/>
        <w:rPr>
          <w:rFonts w:asciiTheme="majorEastAsia" w:eastAsiaTheme="majorEastAsia" w:hAnsiTheme="majorEastAsia"/>
          <w:sz w:val="24"/>
        </w:rPr>
      </w:pPr>
    </w:p>
    <w:p w14:paraId="098BA5DF" w14:textId="77777777" w:rsidR="0072718F" w:rsidRPr="00F56F71" w:rsidRDefault="0072718F" w:rsidP="00EA5F2B">
      <w:pPr>
        <w:adjustRightInd w:val="0"/>
        <w:snapToGrid w:val="0"/>
        <w:spacing w:line="360" w:lineRule="auto"/>
        <w:jc w:val="center"/>
        <w:rPr>
          <w:rFonts w:asciiTheme="majorEastAsia" w:eastAsiaTheme="majorEastAsia" w:hAnsiTheme="majorEastAsia" w:cs="Arial"/>
          <w:b/>
          <w:sz w:val="44"/>
        </w:rPr>
      </w:pPr>
      <w:r w:rsidRPr="00F56F71">
        <w:rPr>
          <w:rFonts w:asciiTheme="majorEastAsia" w:eastAsiaTheme="majorEastAsia" w:hAnsiTheme="majorEastAsia" w:cs="Arial" w:hint="eastAsia"/>
          <w:b/>
          <w:sz w:val="44"/>
        </w:rPr>
        <w:t>博时沪深300交易型开放式指数</w:t>
      </w:r>
    </w:p>
    <w:p w14:paraId="4D671FAC" w14:textId="77777777" w:rsidR="0072718F" w:rsidRPr="00F56F71" w:rsidRDefault="0072718F" w:rsidP="00EA5F2B">
      <w:pPr>
        <w:adjustRightInd w:val="0"/>
        <w:snapToGrid w:val="0"/>
        <w:spacing w:line="360" w:lineRule="auto"/>
        <w:jc w:val="center"/>
        <w:rPr>
          <w:rFonts w:asciiTheme="majorEastAsia" w:eastAsiaTheme="majorEastAsia" w:hAnsiTheme="majorEastAsia"/>
          <w:b/>
          <w:sz w:val="44"/>
        </w:rPr>
      </w:pPr>
      <w:r w:rsidRPr="00F56F71">
        <w:rPr>
          <w:rFonts w:asciiTheme="majorEastAsia" w:eastAsiaTheme="majorEastAsia" w:hAnsiTheme="majorEastAsia" w:hint="eastAsia"/>
          <w:b/>
          <w:sz w:val="44"/>
        </w:rPr>
        <w:t>证券投资基金</w:t>
      </w:r>
    </w:p>
    <w:p w14:paraId="0836E427" w14:textId="5A9A14A7" w:rsidR="003A5994" w:rsidRPr="00F56F71" w:rsidRDefault="003A5994" w:rsidP="00EA5F2B">
      <w:pPr>
        <w:adjustRightInd w:val="0"/>
        <w:snapToGrid w:val="0"/>
        <w:spacing w:line="360" w:lineRule="auto"/>
        <w:jc w:val="center"/>
        <w:rPr>
          <w:rFonts w:asciiTheme="majorEastAsia" w:eastAsiaTheme="majorEastAsia" w:hAnsiTheme="majorEastAsia"/>
          <w:b/>
          <w:sz w:val="44"/>
        </w:rPr>
      </w:pPr>
      <w:r w:rsidRPr="00F56F71">
        <w:rPr>
          <w:rFonts w:asciiTheme="majorEastAsia" w:eastAsiaTheme="majorEastAsia" w:hAnsiTheme="majorEastAsia" w:hint="eastAsia"/>
          <w:b/>
          <w:sz w:val="44"/>
        </w:rPr>
        <w:t>托管协议</w:t>
      </w:r>
    </w:p>
    <w:p w14:paraId="3CDB5767"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45B4DCD7"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4688F674"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0F638B86"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78EC3CD0"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19E5ED0D"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24C3DE5F"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0936A367"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10276570"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526B23F2"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734EE5D5"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34D4244D"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498164A1"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b/>
          <w:sz w:val="28"/>
        </w:rPr>
      </w:pPr>
      <w:r w:rsidRPr="00F56F71">
        <w:rPr>
          <w:rFonts w:asciiTheme="majorEastAsia" w:eastAsiaTheme="majorEastAsia" w:hAnsiTheme="majorEastAsia" w:hint="eastAsia"/>
          <w:b/>
          <w:sz w:val="28"/>
        </w:rPr>
        <w:t>基金管理人：</w:t>
      </w:r>
      <w:r w:rsidR="0072718F" w:rsidRPr="00F56F71">
        <w:rPr>
          <w:rFonts w:asciiTheme="majorEastAsia" w:eastAsiaTheme="majorEastAsia" w:hAnsiTheme="majorEastAsia" w:cs="Arial" w:hint="eastAsia"/>
          <w:b/>
          <w:bCs/>
          <w:sz w:val="28"/>
        </w:rPr>
        <w:t>博时</w:t>
      </w:r>
      <w:r w:rsidR="0072718F" w:rsidRPr="00F56F71">
        <w:rPr>
          <w:rFonts w:asciiTheme="majorEastAsia" w:eastAsiaTheme="majorEastAsia" w:hAnsiTheme="majorEastAsia" w:hint="eastAsia"/>
          <w:b/>
          <w:sz w:val="28"/>
        </w:rPr>
        <w:t>基金管理有限公司</w:t>
      </w:r>
    </w:p>
    <w:p w14:paraId="03FE5959" w14:textId="76D97F17" w:rsidR="003A5994" w:rsidRPr="00F56F71" w:rsidRDefault="003A5994" w:rsidP="00EA5F2B">
      <w:pPr>
        <w:adjustRightInd w:val="0"/>
        <w:snapToGrid w:val="0"/>
        <w:spacing w:line="360" w:lineRule="auto"/>
        <w:jc w:val="center"/>
        <w:outlineLvl w:val="0"/>
        <w:rPr>
          <w:rFonts w:asciiTheme="majorEastAsia" w:eastAsiaTheme="majorEastAsia" w:hAnsiTheme="majorEastAsia"/>
          <w:b/>
          <w:sz w:val="28"/>
        </w:rPr>
      </w:pPr>
      <w:r w:rsidRPr="00F56F71">
        <w:rPr>
          <w:rFonts w:asciiTheme="majorEastAsia" w:eastAsiaTheme="majorEastAsia" w:hAnsiTheme="majorEastAsia" w:hint="eastAsia"/>
          <w:b/>
          <w:sz w:val="28"/>
        </w:rPr>
        <w:t>基金托管人：中国建设银行股份有限公司</w:t>
      </w:r>
    </w:p>
    <w:p w14:paraId="5751B884"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7520942A" w14:textId="77777777" w:rsidR="003A5994" w:rsidRPr="00F56F71" w:rsidRDefault="003A5994" w:rsidP="00EA5F2B">
      <w:pPr>
        <w:adjustRightInd w:val="0"/>
        <w:snapToGrid w:val="0"/>
        <w:spacing w:line="360" w:lineRule="auto"/>
        <w:jc w:val="center"/>
        <w:outlineLvl w:val="0"/>
        <w:rPr>
          <w:rFonts w:asciiTheme="majorEastAsia" w:eastAsiaTheme="majorEastAsia" w:hAnsiTheme="majorEastAsia"/>
          <w:sz w:val="24"/>
        </w:rPr>
      </w:pPr>
    </w:p>
    <w:p w14:paraId="7DE104E4" w14:textId="7B70C021" w:rsidR="003A5994" w:rsidRPr="00F56F71" w:rsidRDefault="003A5994" w:rsidP="003C48D3">
      <w:pPr>
        <w:adjustRightInd w:val="0"/>
        <w:snapToGrid w:val="0"/>
        <w:spacing w:line="360" w:lineRule="auto"/>
        <w:jc w:val="center"/>
        <w:outlineLvl w:val="0"/>
        <w:rPr>
          <w:rFonts w:asciiTheme="majorEastAsia" w:eastAsiaTheme="majorEastAsia" w:hAnsiTheme="majorEastAsia"/>
          <w:sz w:val="24"/>
        </w:rPr>
      </w:pPr>
      <w:r w:rsidRPr="00F56F71">
        <w:rPr>
          <w:rFonts w:asciiTheme="majorEastAsia" w:eastAsiaTheme="majorEastAsia" w:hAnsiTheme="majorEastAsia" w:hint="eastAsia"/>
          <w:b/>
          <w:sz w:val="28"/>
        </w:rPr>
        <w:t>二零</w:t>
      </w:r>
      <w:r w:rsidR="00A00024" w:rsidRPr="00F56F71">
        <w:rPr>
          <w:rFonts w:asciiTheme="majorEastAsia" w:eastAsiaTheme="majorEastAsia" w:hAnsiTheme="majorEastAsia" w:hint="eastAsia"/>
          <w:b/>
          <w:sz w:val="28"/>
        </w:rPr>
        <w:t>二零</w:t>
      </w:r>
      <w:r w:rsidRPr="00F56F71">
        <w:rPr>
          <w:rFonts w:asciiTheme="majorEastAsia" w:eastAsiaTheme="majorEastAsia" w:hAnsiTheme="majorEastAsia" w:hint="eastAsia"/>
          <w:b/>
          <w:sz w:val="28"/>
        </w:rPr>
        <w:t>年</w:t>
      </w:r>
      <w:r w:rsidR="00A00024">
        <w:rPr>
          <w:rFonts w:asciiTheme="majorEastAsia" w:eastAsiaTheme="majorEastAsia" w:hAnsiTheme="majorEastAsia" w:hint="eastAsia"/>
          <w:b/>
          <w:sz w:val="28"/>
        </w:rPr>
        <w:t>二</w:t>
      </w:r>
      <w:r w:rsidRPr="00F56F71">
        <w:rPr>
          <w:rFonts w:asciiTheme="majorEastAsia" w:eastAsiaTheme="majorEastAsia" w:hAnsiTheme="majorEastAsia" w:hint="eastAsia"/>
          <w:b/>
          <w:sz w:val="28"/>
        </w:rPr>
        <w:t>月</w:t>
      </w:r>
    </w:p>
    <w:p w14:paraId="2536782A" w14:textId="77777777" w:rsidR="003A5994" w:rsidRPr="00F56F71" w:rsidRDefault="003A5994" w:rsidP="00EA5F2B">
      <w:pPr>
        <w:adjustRightInd w:val="0"/>
        <w:snapToGrid w:val="0"/>
        <w:spacing w:line="360" w:lineRule="auto"/>
        <w:jc w:val="center"/>
        <w:rPr>
          <w:rFonts w:asciiTheme="majorEastAsia" w:eastAsiaTheme="majorEastAsia" w:hAnsiTheme="majorEastAsia"/>
          <w:sz w:val="24"/>
        </w:rPr>
        <w:sectPr w:rsidR="003A5994" w:rsidRPr="00F56F71">
          <w:footerReference w:type="even" r:id="rId9"/>
          <w:footerReference w:type="default" r:id="rId10"/>
          <w:pgSz w:w="11906" w:h="16838" w:code="9"/>
          <w:pgMar w:top="1418" w:right="1701" w:bottom="1418" w:left="1701" w:header="851" w:footer="992" w:gutter="0"/>
          <w:cols w:space="425"/>
          <w:docGrid w:type="lines" w:linePitch="312"/>
        </w:sectPr>
      </w:pPr>
    </w:p>
    <w:p w14:paraId="3E104311" w14:textId="77777777" w:rsidR="003A5994" w:rsidRPr="00F56F71" w:rsidRDefault="003A5994" w:rsidP="00EA5F2B">
      <w:pPr>
        <w:spacing w:line="360" w:lineRule="auto"/>
        <w:jc w:val="center"/>
        <w:rPr>
          <w:rFonts w:asciiTheme="majorEastAsia" w:eastAsiaTheme="majorEastAsia" w:hAnsiTheme="majorEastAsia"/>
          <w:b/>
          <w:sz w:val="30"/>
        </w:rPr>
      </w:pPr>
      <w:r w:rsidRPr="00F56F71">
        <w:rPr>
          <w:rFonts w:asciiTheme="majorEastAsia" w:eastAsiaTheme="majorEastAsia" w:hAnsiTheme="majorEastAsia" w:hint="eastAsia"/>
          <w:b/>
          <w:sz w:val="30"/>
        </w:rPr>
        <w:lastRenderedPageBreak/>
        <w:t>目</w:t>
      </w:r>
      <w:r w:rsidRPr="00F56F71">
        <w:rPr>
          <w:rFonts w:asciiTheme="majorEastAsia" w:eastAsiaTheme="majorEastAsia" w:hAnsiTheme="majorEastAsia"/>
          <w:b/>
          <w:sz w:val="30"/>
        </w:rPr>
        <w:t xml:space="preserve">    </w:t>
      </w:r>
      <w:r w:rsidRPr="00F56F71">
        <w:rPr>
          <w:rFonts w:asciiTheme="majorEastAsia" w:eastAsiaTheme="majorEastAsia" w:hAnsiTheme="majorEastAsia" w:hint="eastAsia"/>
          <w:b/>
          <w:sz w:val="30"/>
        </w:rPr>
        <w:t>录</w:t>
      </w:r>
    </w:p>
    <w:p w14:paraId="10E9B261" w14:textId="1C68DB07" w:rsidR="003A5994" w:rsidRPr="00F56F71" w:rsidRDefault="003A5994" w:rsidP="00EA5F2B">
      <w:pPr>
        <w:pStyle w:val="21"/>
        <w:tabs>
          <w:tab w:val="right" w:leader="dot" w:pos="8494"/>
        </w:tabs>
        <w:spacing w:line="360" w:lineRule="auto"/>
        <w:rPr>
          <w:rFonts w:asciiTheme="majorEastAsia" w:eastAsiaTheme="majorEastAsia" w:hAnsiTheme="majorEastAsia"/>
          <w:noProof/>
          <w:sz w:val="28"/>
        </w:rPr>
      </w:pPr>
      <w:r w:rsidRPr="00F56F71">
        <w:rPr>
          <w:rFonts w:asciiTheme="majorEastAsia" w:eastAsiaTheme="majorEastAsia" w:hAnsiTheme="majorEastAsia" w:hint="eastAsia"/>
          <w:sz w:val="28"/>
        </w:rPr>
        <w:fldChar w:fldCharType="begin"/>
      </w:r>
      <w:r w:rsidRPr="00F56F71">
        <w:rPr>
          <w:rFonts w:asciiTheme="majorEastAsia" w:eastAsiaTheme="majorEastAsia" w:hAnsiTheme="majorEastAsia" w:hint="eastAsia"/>
          <w:sz w:val="28"/>
        </w:rPr>
        <w:instrText xml:space="preserve"> TOC \o "1-2" \h \z </w:instrText>
      </w:r>
      <w:r w:rsidRPr="00F56F71">
        <w:rPr>
          <w:rFonts w:asciiTheme="majorEastAsia" w:eastAsiaTheme="majorEastAsia" w:hAnsiTheme="majorEastAsia" w:hint="eastAsia"/>
          <w:sz w:val="28"/>
        </w:rPr>
        <w:fldChar w:fldCharType="separate"/>
      </w:r>
      <w:hyperlink w:anchor="_Toc124325885" w:history="1">
        <w:r w:rsidRPr="00F56F71">
          <w:rPr>
            <w:rStyle w:val="a9"/>
            <w:rFonts w:asciiTheme="majorEastAsia" w:eastAsiaTheme="majorEastAsia" w:hAnsiTheme="majorEastAsia" w:hint="eastAsia"/>
            <w:noProof/>
            <w:sz w:val="28"/>
            <w:szCs w:val="32"/>
          </w:rPr>
          <w:t>一、基金托管协议当事人</w:t>
        </w:r>
        <w:r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w:t>
        </w:r>
        <w:r w:rsidRPr="00F56F71">
          <w:rPr>
            <w:rFonts w:asciiTheme="majorEastAsia" w:eastAsiaTheme="majorEastAsia" w:hAnsiTheme="majorEastAsia" w:hint="eastAsia"/>
            <w:noProof/>
            <w:webHidden/>
            <w:sz w:val="28"/>
          </w:rPr>
          <w:fldChar w:fldCharType="begin"/>
        </w:r>
        <w:r w:rsidRPr="00F56F71">
          <w:rPr>
            <w:rFonts w:asciiTheme="majorEastAsia" w:eastAsiaTheme="majorEastAsia" w:hAnsiTheme="majorEastAsia" w:hint="eastAsia"/>
            <w:noProof/>
            <w:webHidden/>
            <w:sz w:val="28"/>
          </w:rPr>
          <w:instrText xml:space="preserve"> PAGEREF _Toc124325885 \h </w:instrText>
        </w:r>
        <w:r w:rsidRPr="00F56F71">
          <w:rPr>
            <w:rFonts w:asciiTheme="majorEastAsia" w:eastAsiaTheme="majorEastAsia" w:hAnsiTheme="majorEastAsia" w:hint="eastAsia"/>
            <w:noProof/>
            <w:webHidden/>
            <w:sz w:val="28"/>
          </w:rPr>
        </w:r>
        <w:r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Pr="00F56F71">
          <w:rPr>
            <w:rFonts w:asciiTheme="majorEastAsia" w:eastAsiaTheme="majorEastAsia" w:hAnsiTheme="majorEastAsia" w:hint="eastAsia"/>
            <w:noProof/>
            <w:webHidden/>
            <w:sz w:val="28"/>
          </w:rPr>
          <w:fldChar w:fldCharType="end"/>
        </w:r>
      </w:hyperlink>
    </w:p>
    <w:p w14:paraId="706CE67D" w14:textId="1AC813DD"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86" w:history="1">
        <w:r w:rsidR="003A5994" w:rsidRPr="00F56F71">
          <w:rPr>
            <w:rStyle w:val="a9"/>
            <w:rFonts w:asciiTheme="majorEastAsia" w:eastAsiaTheme="majorEastAsia" w:hAnsiTheme="majorEastAsia" w:hint="eastAsia"/>
            <w:noProof/>
            <w:sz w:val="28"/>
            <w:szCs w:val="32"/>
          </w:rPr>
          <w:t>二、基金托管协议的依据、目的和原则</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2-</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_Toc124325886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1CD32C8B" w14:textId="35683AAE"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87" w:history="1">
        <w:r w:rsidR="003A5994" w:rsidRPr="00F56F71">
          <w:rPr>
            <w:rStyle w:val="a9"/>
            <w:rFonts w:asciiTheme="majorEastAsia" w:eastAsiaTheme="majorEastAsia" w:hAnsiTheme="majorEastAsia" w:hint="eastAsia"/>
            <w:noProof/>
            <w:sz w:val="28"/>
            <w:szCs w:val="32"/>
          </w:rPr>
          <w:t>三、基金托管人对基金管理人的业务监督和核查</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3-</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_Toc124325887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6C608FF5" w14:textId="6678ADDC"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88" w:history="1">
        <w:r w:rsidR="003A5994" w:rsidRPr="00F56F71">
          <w:rPr>
            <w:rStyle w:val="a9"/>
            <w:rFonts w:asciiTheme="majorEastAsia" w:eastAsiaTheme="majorEastAsia" w:hAnsiTheme="majorEastAsia" w:hint="eastAsia"/>
            <w:noProof/>
            <w:sz w:val="28"/>
            <w:szCs w:val="32"/>
          </w:rPr>
          <w:t>四、基金管理人对基金托管人的业务核查</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4-</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_Toc124325888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4F7FA470" w14:textId="695EB4B7"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89" w:history="1">
        <w:r w:rsidR="003A5994" w:rsidRPr="00F56F71">
          <w:rPr>
            <w:rStyle w:val="a9"/>
            <w:rFonts w:asciiTheme="majorEastAsia" w:eastAsiaTheme="majorEastAsia" w:hAnsiTheme="majorEastAsia" w:hint="eastAsia"/>
            <w:noProof/>
            <w:sz w:val="28"/>
            <w:szCs w:val="32"/>
          </w:rPr>
          <w:t>五、基金财产的保管</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5-</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_Toc124325889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6ED42F08" w14:textId="66A58EB7"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0" w:history="1">
        <w:r w:rsidR="003A5994" w:rsidRPr="00F56F71">
          <w:rPr>
            <w:rStyle w:val="a9"/>
            <w:rFonts w:asciiTheme="majorEastAsia" w:eastAsiaTheme="majorEastAsia" w:hAnsiTheme="majorEastAsia" w:hint="eastAsia"/>
            <w:noProof/>
            <w:sz w:val="28"/>
            <w:szCs w:val="32"/>
          </w:rPr>
          <w:t>六、指令的发送、确认及执行</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6-</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_Toc124325890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5D1D37A5" w14:textId="3B355651"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1" w:history="1">
        <w:r w:rsidR="003A5994" w:rsidRPr="00F56F71">
          <w:rPr>
            <w:rStyle w:val="a9"/>
            <w:rFonts w:asciiTheme="majorEastAsia" w:eastAsiaTheme="majorEastAsia" w:hAnsiTheme="majorEastAsia" w:hint="eastAsia"/>
            <w:noProof/>
            <w:sz w:val="28"/>
            <w:szCs w:val="32"/>
          </w:rPr>
          <w:t>七、交易及清算交收安排</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7-</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_Toc124325891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44ECAAF4" w14:textId="311465FF"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2" w:history="1">
        <w:r w:rsidR="003A5994" w:rsidRPr="00F56F71">
          <w:rPr>
            <w:rStyle w:val="a9"/>
            <w:rFonts w:asciiTheme="majorEastAsia" w:eastAsiaTheme="majorEastAsia" w:hAnsiTheme="majorEastAsia" w:hint="eastAsia"/>
            <w:noProof/>
            <w:sz w:val="28"/>
            <w:szCs w:val="32"/>
          </w:rPr>
          <w:t>八、基金资产净值计算和会计核算</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8-</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_Toc124325892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46672FB4" w14:textId="00F415C7"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3" w:history="1">
        <w:r w:rsidR="003A5994" w:rsidRPr="00F56F71">
          <w:rPr>
            <w:rStyle w:val="a9"/>
            <w:rFonts w:asciiTheme="majorEastAsia" w:eastAsiaTheme="majorEastAsia" w:hAnsiTheme="majorEastAsia" w:hint="eastAsia"/>
            <w:noProof/>
            <w:sz w:val="28"/>
            <w:szCs w:val="32"/>
          </w:rPr>
          <w:t>九、基金收益分配</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9-</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_Toc124325893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7F9DD6CA" w14:textId="64F0C2B9"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4" w:history="1">
        <w:r w:rsidR="003A5994" w:rsidRPr="00F56F71">
          <w:rPr>
            <w:rStyle w:val="a9"/>
            <w:rFonts w:asciiTheme="majorEastAsia" w:eastAsiaTheme="majorEastAsia" w:hAnsiTheme="majorEastAsia" w:hint="eastAsia"/>
            <w:noProof/>
            <w:sz w:val="28"/>
            <w:szCs w:val="32"/>
          </w:rPr>
          <w:t>十、基金信息披露</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10-</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_Toc124325894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654611BF" w14:textId="415CB367"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5" w:history="1">
        <w:r w:rsidR="003A5994" w:rsidRPr="00F56F71">
          <w:rPr>
            <w:rStyle w:val="a9"/>
            <w:rFonts w:asciiTheme="majorEastAsia" w:eastAsiaTheme="majorEastAsia" w:hAnsiTheme="majorEastAsia" w:hint="eastAsia"/>
            <w:noProof/>
            <w:sz w:val="28"/>
            <w:szCs w:val="32"/>
          </w:rPr>
          <w:t>十一、基金费用</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11-</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_Toc124325895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4C23AAB9" w14:textId="77143AC8"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6" w:history="1">
        <w:r w:rsidR="003A5994" w:rsidRPr="00F56F71">
          <w:rPr>
            <w:rStyle w:val="a9"/>
            <w:rFonts w:asciiTheme="majorEastAsia" w:eastAsiaTheme="majorEastAsia" w:hAnsiTheme="majorEastAsia" w:hint="eastAsia"/>
            <w:noProof/>
            <w:sz w:val="28"/>
            <w:szCs w:val="32"/>
          </w:rPr>
          <w:t>十二、基金份额持有人名册的保管</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12-</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_Toc124325896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0F5948FC" w14:textId="0E19AE00"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7" w:history="1">
        <w:r w:rsidR="003A5994" w:rsidRPr="00F56F71">
          <w:rPr>
            <w:rStyle w:val="a9"/>
            <w:rFonts w:asciiTheme="majorEastAsia" w:eastAsiaTheme="majorEastAsia" w:hAnsiTheme="majorEastAsia" w:hint="eastAsia"/>
            <w:noProof/>
            <w:sz w:val="28"/>
            <w:szCs w:val="32"/>
          </w:rPr>
          <w:t>十三、基金有关文件档案的保存</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13-</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_Toc124325897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6F51B3DA" w14:textId="2B861824"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8" w:history="1">
        <w:r w:rsidR="003A5994" w:rsidRPr="00F56F71">
          <w:rPr>
            <w:rStyle w:val="a9"/>
            <w:rFonts w:asciiTheme="majorEastAsia" w:eastAsiaTheme="majorEastAsia" w:hAnsiTheme="majorEastAsia" w:hint="eastAsia"/>
            <w:noProof/>
            <w:sz w:val="28"/>
            <w:szCs w:val="32"/>
          </w:rPr>
          <w:t>十四、基金管理人和基金托管人的更换</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14-</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_Toc124325898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2C6D96E7" w14:textId="35F7B5BB"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899" w:history="1">
        <w:r w:rsidR="003A5994" w:rsidRPr="00F56F71">
          <w:rPr>
            <w:rStyle w:val="a9"/>
            <w:rFonts w:asciiTheme="majorEastAsia" w:eastAsiaTheme="majorEastAsia" w:hAnsiTheme="majorEastAsia" w:hint="eastAsia"/>
            <w:noProof/>
            <w:sz w:val="28"/>
            <w:szCs w:val="32"/>
          </w:rPr>
          <w:t>十五、禁止行为</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15-</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_Toc124325899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0342D431" w14:textId="53E58CFE"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900" w:history="1">
        <w:r w:rsidR="003A5994" w:rsidRPr="00F56F71">
          <w:rPr>
            <w:rStyle w:val="a9"/>
            <w:rFonts w:asciiTheme="majorEastAsia" w:eastAsiaTheme="majorEastAsia" w:hAnsiTheme="majorEastAsia" w:hint="eastAsia"/>
            <w:noProof/>
            <w:sz w:val="28"/>
            <w:szCs w:val="32"/>
          </w:rPr>
          <w:t>十六、托管协议的变更、终止与基金财产的清算</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16-</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_Toc124325900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35D31F16" w14:textId="5595A735"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901" w:history="1">
        <w:r w:rsidR="003A5994" w:rsidRPr="00F56F71">
          <w:rPr>
            <w:rStyle w:val="a9"/>
            <w:rFonts w:asciiTheme="majorEastAsia" w:eastAsiaTheme="majorEastAsia" w:hAnsiTheme="majorEastAsia" w:hint="eastAsia"/>
            <w:noProof/>
            <w:sz w:val="28"/>
            <w:szCs w:val="32"/>
          </w:rPr>
          <w:t>十七、违约责任</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17-</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_Toc124325901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7F5C6D2D" w14:textId="52206AA5"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902" w:history="1">
        <w:r w:rsidR="003A5994" w:rsidRPr="00F56F71">
          <w:rPr>
            <w:rStyle w:val="a9"/>
            <w:rFonts w:asciiTheme="majorEastAsia" w:eastAsiaTheme="majorEastAsia" w:hAnsiTheme="majorEastAsia" w:hint="eastAsia"/>
            <w:noProof/>
            <w:sz w:val="28"/>
            <w:szCs w:val="32"/>
          </w:rPr>
          <w:t>十八、争议解决方式</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18-</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_Toc124325902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17D5548E" w14:textId="0CF658B5"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903" w:history="1">
        <w:r w:rsidR="003A5994" w:rsidRPr="00F56F71">
          <w:rPr>
            <w:rStyle w:val="a9"/>
            <w:rFonts w:asciiTheme="majorEastAsia" w:eastAsiaTheme="majorEastAsia" w:hAnsiTheme="majorEastAsia" w:hint="eastAsia"/>
            <w:noProof/>
            <w:sz w:val="28"/>
            <w:szCs w:val="32"/>
          </w:rPr>
          <w:t>十九、托管协议的效力</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19-</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_Toc124325903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6E199324" w14:textId="193F05B5"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904" w:history="1">
        <w:r w:rsidR="003A5994" w:rsidRPr="00F56F71">
          <w:rPr>
            <w:rStyle w:val="a9"/>
            <w:rFonts w:asciiTheme="majorEastAsia" w:eastAsiaTheme="majorEastAsia" w:hAnsiTheme="majorEastAsia" w:hint="eastAsia"/>
            <w:noProof/>
            <w:sz w:val="28"/>
            <w:szCs w:val="32"/>
          </w:rPr>
          <w:t>二十、其他事项</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20-</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_Toc124325904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662EB7D3" w14:textId="68B4C7BF" w:rsidR="003A5994" w:rsidRPr="00F56F71" w:rsidRDefault="00284A00" w:rsidP="00EA5F2B">
      <w:pPr>
        <w:pStyle w:val="21"/>
        <w:tabs>
          <w:tab w:val="right" w:leader="dot" w:pos="8494"/>
        </w:tabs>
        <w:spacing w:line="360" w:lineRule="auto"/>
        <w:rPr>
          <w:rFonts w:asciiTheme="majorEastAsia" w:eastAsiaTheme="majorEastAsia" w:hAnsiTheme="majorEastAsia"/>
          <w:noProof/>
          <w:sz w:val="28"/>
        </w:rPr>
      </w:pPr>
      <w:hyperlink w:anchor="_Toc124325905" w:history="1">
        <w:r w:rsidR="003A5994" w:rsidRPr="00F56F71">
          <w:rPr>
            <w:rStyle w:val="a9"/>
            <w:rFonts w:asciiTheme="majorEastAsia" w:eastAsiaTheme="majorEastAsia" w:hAnsiTheme="majorEastAsia" w:hint="eastAsia"/>
            <w:noProof/>
            <w:sz w:val="28"/>
            <w:szCs w:val="32"/>
          </w:rPr>
          <w:t>二十一、托管协议的签订</w:t>
        </w:r>
        <w:r w:rsidR="003A5994" w:rsidRPr="00F56F71">
          <w:rPr>
            <w:rFonts w:asciiTheme="majorEastAsia" w:eastAsiaTheme="majorEastAsia" w:hAnsiTheme="majorEastAsia" w:hint="eastAsia"/>
            <w:noProof/>
            <w:webHidden/>
            <w:sz w:val="28"/>
          </w:rPr>
          <w:tab/>
        </w:r>
        <w:r w:rsidR="00016DF8" w:rsidRPr="00F56F71">
          <w:rPr>
            <w:rFonts w:asciiTheme="majorEastAsia" w:eastAsiaTheme="majorEastAsia" w:hAnsiTheme="majorEastAsia" w:hint="eastAsia"/>
            <w:noProof/>
            <w:webHidden/>
            <w:sz w:val="28"/>
          </w:rPr>
          <w:t>21-</w:t>
        </w:r>
        <w:r w:rsidR="003A5994" w:rsidRPr="00F56F71">
          <w:rPr>
            <w:rFonts w:asciiTheme="majorEastAsia" w:eastAsiaTheme="majorEastAsia" w:hAnsiTheme="majorEastAsia" w:hint="eastAsia"/>
            <w:noProof/>
            <w:webHidden/>
            <w:sz w:val="28"/>
          </w:rPr>
          <w:fldChar w:fldCharType="begin"/>
        </w:r>
        <w:r w:rsidR="003A5994" w:rsidRPr="00F56F71">
          <w:rPr>
            <w:rFonts w:asciiTheme="majorEastAsia" w:eastAsiaTheme="majorEastAsia" w:hAnsiTheme="majorEastAsia" w:hint="eastAsia"/>
            <w:noProof/>
            <w:webHidden/>
            <w:sz w:val="28"/>
          </w:rPr>
          <w:instrText xml:space="preserve"> PAGEREF _Toc124325905 \h </w:instrText>
        </w:r>
        <w:r w:rsidR="003A5994" w:rsidRPr="00F56F71">
          <w:rPr>
            <w:rFonts w:asciiTheme="majorEastAsia" w:eastAsiaTheme="majorEastAsia" w:hAnsiTheme="majorEastAsia" w:hint="eastAsia"/>
            <w:noProof/>
            <w:webHidden/>
            <w:sz w:val="28"/>
          </w:rPr>
        </w:r>
        <w:r w:rsidR="003A5994" w:rsidRPr="00F56F71">
          <w:rPr>
            <w:rFonts w:asciiTheme="majorEastAsia" w:eastAsiaTheme="majorEastAsia" w:hAnsiTheme="majorEastAsia" w:hint="eastAsia"/>
            <w:noProof/>
            <w:webHidden/>
            <w:sz w:val="28"/>
          </w:rPr>
          <w:fldChar w:fldCharType="separate"/>
        </w:r>
        <w:r w:rsidR="001F1CAC">
          <w:rPr>
            <w:rFonts w:asciiTheme="majorEastAsia" w:eastAsiaTheme="majorEastAsia" w:hAnsiTheme="majorEastAsia"/>
            <w:noProof/>
            <w:webHidden/>
            <w:sz w:val="28"/>
          </w:rPr>
          <w:t>1</w:t>
        </w:r>
        <w:r w:rsidR="003A5994" w:rsidRPr="00F56F71">
          <w:rPr>
            <w:rFonts w:asciiTheme="majorEastAsia" w:eastAsiaTheme="majorEastAsia" w:hAnsiTheme="majorEastAsia" w:hint="eastAsia"/>
            <w:noProof/>
            <w:webHidden/>
            <w:sz w:val="28"/>
          </w:rPr>
          <w:fldChar w:fldCharType="end"/>
        </w:r>
      </w:hyperlink>
    </w:p>
    <w:p w14:paraId="294EFB49" w14:textId="77777777" w:rsidR="003A5994" w:rsidRPr="00F56F71" w:rsidRDefault="003A5994" w:rsidP="00EA5F2B">
      <w:pPr>
        <w:spacing w:line="360" w:lineRule="auto"/>
        <w:rPr>
          <w:rFonts w:asciiTheme="majorEastAsia" w:eastAsiaTheme="majorEastAsia" w:hAnsiTheme="majorEastAsia"/>
          <w:sz w:val="24"/>
        </w:rPr>
      </w:pPr>
      <w:r w:rsidRPr="00F56F71">
        <w:rPr>
          <w:rFonts w:asciiTheme="majorEastAsia" w:eastAsiaTheme="majorEastAsia" w:hAnsiTheme="majorEastAsia" w:hint="eastAsia"/>
          <w:sz w:val="28"/>
        </w:rPr>
        <w:lastRenderedPageBreak/>
        <w:fldChar w:fldCharType="end"/>
      </w:r>
    </w:p>
    <w:p w14:paraId="560AECFF" w14:textId="77777777" w:rsidR="003A5994" w:rsidRPr="00F56F71" w:rsidRDefault="003A5994" w:rsidP="00EA5F2B">
      <w:pPr>
        <w:widowControl/>
        <w:adjustRightInd w:val="0"/>
        <w:snapToGrid w:val="0"/>
        <w:spacing w:line="360" w:lineRule="auto"/>
        <w:ind w:firstLineChars="200" w:firstLine="480"/>
        <w:rPr>
          <w:rFonts w:asciiTheme="majorEastAsia" w:eastAsiaTheme="majorEastAsia" w:hAnsiTheme="majorEastAsia"/>
          <w:kern w:val="0"/>
          <w:sz w:val="24"/>
        </w:rPr>
      </w:pPr>
      <w:r w:rsidRPr="00F56F71">
        <w:rPr>
          <w:rFonts w:asciiTheme="majorEastAsia" w:eastAsiaTheme="majorEastAsia" w:hAnsiTheme="majorEastAsia" w:hint="eastAsia"/>
          <w:kern w:val="0"/>
          <w:sz w:val="24"/>
        </w:rPr>
        <w:t>鉴于</w:t>
      </w:r>
      <w:r w:rsidR="0072718F" w:rsidRPr="00F56F71">
        <w:rPr>
          <w:rFonts w:asciiTheme="majorEastAsia" w:eastAsiaTheme="majorEastAsia" w:hAnsiTheme="majorEastAsia" w:cs="Arial" w:hint="eastAsia"/>
          <w:kern w:val="0"/>
          <w:sz w:val="24"/>
        </w:rPr>
        <w:t>博时</w:t>
      </w:r>
      <w:r w:rsidR="0072718F" w:rsidRPr="00F56F71">
        <w:rPr>
          <w:rFonts w:asciiTheme="majorEastAsia" w:eastAsiaTheme="majorEastAsia" w:hAnsiTheme="majorEastAsia" w:hint="eastAsia"/>
          <w:kern w:val="0"/>
          <w:sz w:val="24"/>
        </w:rPr>
        <w:t>基金管理有限公司</w:t>
      </w:r>
      <w:r w:rsidRPr="00F56F71">
        <w:rPr>
          <w:rFonts w:asciiTheme="majorEastAsia" w:eastAsiaTheme="majorEastAsia" w:hAnsiTheme="majorEastAsia" w:hint="eastAsia"/>
          <w:kern w:val="0"/>
          <w:sz w:val="24"/>
        </w:rPr>
        <w:t>系一家依照中国法律合法成立并有效存续的有限责任公司，按照相关法律法规的规定具备担任基金管理人的资格和能力，拟募集发行</w:t>
      </w:r>
      <w:r w:rsidR="00CD2487" w:rsidRPr="00F56F71">
        <w:rPr>
          <w:rFonts w:asciiTheme="majorEastAsia" w:eastAsiaTheme="majorEastAsia" w:hAnsiTheme="majorEastAsia" w:cs="Arial" w:hint="eastAsia"/>
          <w:kern w:val="0"/>
          <w:sz w:val="24"/>
        </w:rPr>
        <w:t>博时沪深300交易型开放式指数</w:t>
      </w:r>
      <w:r w:rsidRPr="00F56F71">
        <w:rPr>
          <w:rFonts w:asciiTheme="majorEastAsia" w:eastAsiaTheme="majorEastAsia" w:hAnsiTheme="majorEastAsia" w:hint="eastAsia"/>
          <w:kern w:val="0"/>
          <w:sz w:val="24"/>
        </w:rPr>
        <w:t>证券投资基金；</w:t>
      </w:r>
    </w:p>
    <w:p w14:paraId="7C32C56E" w14:textId="77777777" w:rsidR="003A5994" w:rsidRPr="00F56F71" w:rsidRDefault="003A5994" w:rsidP="00EA5F2B">
      <w:pPr>
        <w:widowControl/>
        <w:adjustRightInd w:val="0"/>
        <w:snapToGrid w:val="0"/>
        <w:spacing w:line="360" w:lineRule="auto"/>
        <w:ind w:firstLineChars="200" w:firstLine="480"/>
        <w:rPr>
          <w:rFonts w:asciiTheme="majorEastAsia" w:eastAsiaTheme="majorEastAsia" w:hAnsiTheme="majorEastAsia"/>
          <w:kern w:val="0"/>
          <w:sz w:val="24"/>
        </w:rPr>
      </w:pPr>
      <w:r w:rsidRPr="00F56F71">
        <w:rPr>
          <w:rFonts w:asciiTheme="majorEastAsia" w:eastAsiaTheme="majorEastAsia" w:hAnsiTheme="majorEastAsia" w:hint="eastAsia"/>
          <w:kern w:val="0"/>
          <w:sz w:val="24"/>
        </w:rPr>
        <w:t>鉴于中国建设银行股份有限公司系一家依照中国法律合法成立并有效存续的银行，按照相关法律法规的规定具备担任基金托管人的资格和能力；</w:t>
      </w:r>
    </w:p>
    <w:p w14:paraId="42CD0226" w14:textId="77777777" w:rsidR="003A5994" w:rsidRPr="00F56F71" w:rsidRDefault="003A5994" w:rsidP="00EA5F2B">
      <w:pPr>
        <w:widowControl/>
        <w:adjustRightInd w:val="0"/>
        <w:snapToGrid w:val="0"/>
        <w:spacing w:line="360" w:lineRule="auto"/>
        <w:ind w:firstLineChars="200" w:firstLine="480"/>
        <w:rPr>
          <w:rFonts w:asciiTheme="majorEastAsia" w:eastAsiaTheme="majorEastAsia" w:hAnsiTheme="majorEastAsia"/>
          <w:kern w:val="0"/>
          <w:sz w:val="24"/>
        </w:rPr>
      </w:pPr>
      <w:r w:rsidRPr="00F56F71">
        <w:rPr>
          <w:rFonts w:asciiTheme="majorEastAsia" w:eastAsiaTheme="majorEastAsia" w:hAnsiTheme="majorEastAsia" w:hint="eastAsia"/>
          <w:kern w:val="0"/>
          <w:sz w:val="24"/>
        </w:rPr>
        <w:t>鉴于</w:t>
      </w:r>
      <w:r w:rsidR="0072718F" w:rsidRPr="00F56F71">
        <w:rPr>
          <w:rFonts w:asciiTheme="majorEastAsia" w:eastAsiaTheme="majorEastAsia" w:hAnsiTheme="majorEastAsia" w:cs="Arial" w:hint="eastAsia"/>
          <w:kern w:val="0"/>
          <w:sz w:val="24"/>
        </w:rPr>
        <w:t>博时</w:t>
      </w:r>
      <w:r w:rsidR="0072718F" w:rsidRPr="00F56F71">
        <w:rPr>
          <w:rFonts w:asciiTheme="majorEastAsia" w:eastAsiaTheme="majorEastAsia" w:hAnsiTheme="majorEastAsia" w:hint="eastAsia"/>
          <w:kern w:val="0"/>
          <w:sz w:val="24"/>
        </w:rPr>
        <w:t>基金管理有限公司</w:t>
      </w:r>
      <w:r w:rsidRPr="00F56F71">
        <w:rPr>
          <w:rFonts w:asciiTheme="majorEastAsia" w:eastAsiaTheme="majorEastAsia" w:hAnsiTheme="majorEastAsia" w:hint="eastAsia"/>
          <w:kern w:val="0"/>
          <w:sz w:val="24"/>
        </w:rPr>
        <w:t>拟担任</w:t>
      </w:r>
      <w:r w:rsidR="008B1452" w:rsidRPr="00F56F71">
        <w:rPr>
          <w:rFonts w:asciiTheme="majorEastAsia" w:eastAsiaTheme="majorEastAsia" w:hAnsiTheme="majorEastAsia" w:cs="Arial" w:hint="eastAsia"/>
          <w:kern w:val="0"/>
          <w:sz w:val="24"/>
        </w:rPr>
        <w:t>博时沪深300交易型开放式指数</w:t>
      </w:r>
      <w:r w:rsidR="008B1452" w:rsidRPr="00F56F71">
        <w:rPr>
          <w:rFonts w:asciiTheme="majorEastAsia" w:eastAsiaTheme="majorEastAsia" w:hAnsiTheme="majorEastAsia" w:hint="eastAsia"/>
          <w:kern w:val="0"/>
          <w:sz w:val="24"/>
        </w:rPr>
        <w:t>证券投资基金</w:t>
      </w:r>
      <w:r w:rsidRPr="00F56F71">
        <w:rPr>
          <w:rFonts w:asciiTheme="majorEastAsia" w:eastAsiaTheme="majorEastAsia" w:hAnsiTheme="majorEastAsia" w:hint="eastAsia"/>
          <w:kern w:val="0"/>
          <w:sz w:val="24"/>
        </w:rPr>
        <w:t>的基金管理人，中国建设银行股份有限公司拟担任</w:t>
      </w:r>
      <w:r w:rsidR="008B1452" w:rsidRPr="00F56F71">
        <w:rPr>
          <w:rFonts w:asciiTheme="majorEastAsia" w:eastAsiaTheme="majorEastAsia" w:hAnsiTheme="majorEastAsia" w:cs="Arial" w:hint="eastAsia"/>
          <w:kern w:val="0"/>
          <w:sz w:val="24"/>
        </w:rPr>
        <w:t>博时沪深300交易型开放式指数</w:t>
      </w:r>
      <w:r w:rsidR="008B1452" w:rsidRPr="00F56F71">
        <w:rPr>
          <w:rFonts w:asciiTheme="majorEastAsia" w:eastAsiaTheme="majorEastAsia" w:hAnsiTheme="majorEastAsia" w:hint="eastAsia"/>
          <w:kern w:val="0"/>
          <w:sz w:val="24"/>
        </w:rPr>
        <w:t>证券投资基金</w:t>
      </w:r>
      <w:r w:rsidRPr="00F56F71">
        <w:rPr>
          <w:rFonts w:asciiTheme="majorEastAsia" w:eastAsiaTheme="majorEastAsia" w:hAnsiTheme="majorEastAsia" w:hint="eastAsia"/>
          <w:kern w:val="0"/>
          <w:sz w:val="24"/>
        </w:rPr>
        <w:t>的基金托管人；</w:t>
      </w:r>
    </w:p>
    <w:p w14:paraId="4DD848F1" w14:textId="77777777" w:rsidR="003A5994" w:rsidRPr="00F56F71" w:rsidRDefault="003A5994" w:rsidP="00EA5F2B">
      <w:pPr>
        <w:widowControl/>
        <w:adjustRightInd w:val="0"/>
        <w:snapToGrid w:val="0"/>
        <w:spacing w:line="360" w:lineRule="auto"/>
        <w:ind w:firstLineChars="200" w:firstLine="480"/>
        <w:rPr>
          <w:rFonts w:asciiTheme="majorEastAsia" w:eastAsiaTheme="majorEastAsia" w:hAnsiTheme="majorEastAsia"/>
          <w:kern w:val="0"/>
          <w:sz w:val="24"/>
        </w:rPr>
      </w:pPr>
      <w:r w:rsidRPr="00F56F71">
        <w:rPr>
          <w:rFonts w:asciiTheme="majorEastAsia" w:eastAsiaTheme="majorEastAsia" w:hAnsiTheme="majorEastAsia" w:hint="eastAsia"/>
          <w:kern w:val="0"/>
          <w:sz w:val="24"/>
        </w:rPr>
        <w:t>为明确</w:t>
      </w:r>
      <w:r w:rsidR="008B1452" w:rsidRPr="00F56F71">
        <w:rPr>
          <w:rFonts w:asciiTheme="majorEastAsia" w:eastAsiaTheme="majorEastAsia" w:hAnsiTheme="majorEastAsia" w:cs="Arial" w:hint="eastAsia"/>
          <w:kern w:val="0"/>
          <w:sz w:val="24"/>
        </w:rPr>
        <w:t>博时沪深300交易型开放式指数</w:t>
      </w:r>
      <w:r w:rsidR="008B1452" w:rsidRPr="00F56F71">
        <w:rPr>
          <w:rFonts w:asciiTheme="majorEastAsia" w:eastAsiaTheme="majorEastAsia" w:hAnsiTheme="majorEastAsia" w:hint="eastAsia"/>
          <w:kern w:val="0"/>
          <w:sz w:val="24"/>
        </w:rPr>
        <w:t>证券投资基金</w:t>
      </w:r>
      <w:r w:rsidRPr="00F56F71">
        <w:rPr>
          <w:rFonts w:asciiTheme="majorEastAsia" w:eastAsiaTheme="majorEastAsia" w:hAnsiTheme="majorEastAsia" w:hint="eastAsia"/>
          <w:kern w:val="0"/>
          <w:sz w:val="24"/>
        </w:rPr>
        <w:t>的基金管理人和基金托管人之间的权利义务关系，特制订本托管协议；</w:t>
      </w:r>
    </w:p>
    <w:p w14:paraId="7D7316EB" w14:textId="1C96DA4B" w:rsidR="003A5994" w:rsidRPr="00F56F71" w:rsidRDefault="003A5994" w:rsidP="00EA5F2B">
      <w:pPr>
        <w:widowControl/>
        <w:adjustRightInd w:val="0"/>
        <w:snapToGrid w:val="0"/>
        <w:spacing w:line="360" w:lineRule="auto"/>
        <w:ind w:firstLineChars="200" w:firstLine="480"/>
        <w:rPr>
          <w:rFonts w:asciiTheme="majorEastAsia" w:eastAsiaTheme="majorEastAsia" w:hAnsiTheme="majorEastAsia"/>
          <w:kern w:val="0"/>
          <w:sz w:val="24"/>
          <w:lang w:val="en-GB"/>
        </w:rPr>
      </w:pPr>
      <w:r w:rsidRPr="00F56F71">
        <w:rPr>
          <w:rFonts w:asciiTheme="majorEastAsia" w:eastAsiaTheme="majorEastAsia" w:hAnsiTheme="majorEastAsia" w:hint="eastAsia"/>
          <w:kern w:val="0"/>
          <w:sz w:val="24"/>
          <w:lang w:val="en-GB"/>
        </w:rPr>
        <w:t>除非另有约定，</w:t>
      </w:r>
      <w:r w:rsidRPr="00F56F71">
        <w:rPr>
          <w:rFonts w:asciiTheme="majorEastAsia" w:eastAsiaTheme="majorEastAsia" w:hAnsiTheme="majorEastAsia" w:cs="Arial" w:hint="eastAsia"/>
          <w:kern w:val="0"/>
          <w:sz w:val="24"/>
          <w:lang w:val="en-GB"/>
        </w:rPr>
        <w:t>《</w:t>
      </w:r>
      <w:r w:rsidR="0072718F" w:rsidRPr="00F56F71">
        <w:rPr>
          <w:rFonts w:asciiTheme="majorEastAsia" w:eastAsiaTheme="majorEastAsia" w:hAnsiTheme="majorEastAsia" w:cs="Arial" w:hint="eastAsia"/>
          <w:kern w:val="0"/>
          <w:sz w:val="24"/>
          <w:lang w:val="en-GB"/>
        </w:rPr>
        <w:t>博时沪深300交易型开放式指数证券投资基金基金合同</w:t>
      </w:r>
      <w:r w:rsidRPr="00F56F71">
        <w:rPr>
          <w:rFonts w:asciiTheme="majorEastAsia" w:eastAsiaTheme="majorEastAsia" w:hAnsiTheme="majorEastAsia" w:cs="Arial" w:hint="eastAsia"/>
          <w:kern w:val="0"/>
          <w:sz w:val="24"/>
          <w:lang w:val="en-GB"/>
        </w:rPr>
        <w:t>》</w:t>
      </w:r>
      <w:r w:rsidRPr="00F56F71">
        <w:rPr>
          <w:rFonts w:asciiTheme="majorEastAsia" w:eastAsiaTheme="majorEastAsia" w:hAnsiTheme="majorEastAsia"/>
          <w:kern w:val="0"/>
          <w:sz w:val="24"/>
          <w:lang w:val="en-GB"/>
        </w:rPr>
        <w:t>(以下简称“基金合同”)中定义的术语在用于本托管协议时应具有相同的含义；若有抵触应以《基金合同》为准，并依其</w:t>
      </w:r>
      <w:r w:rsidRPr="00F56F71">
        <w:rPr>
          <w:rFonts w:asciiTheme="majorEastAsia" w:eastAsiaTheme="majorEastAsia" w:hAnsiTheme="majorEastAsia" w:hint="eastAsia"/>
          <w:kern w:val="0"/>
          <w:sz w:val="24"/>
        </w:rPr>
        <w:t>条款</w:t>
      </w:r>
      <w:r w:rsidRPr="00F56F71">
        <w:rPr>
          <w:rFonts w:asciiTheme="majorEastAsia" w:eastAsiaTheme="majorEastAsia" w:hAnsiTheme="majorEastAsia" w:hint="eastAsia"/>
          <w:kern w:val="0"/>
          <w:sz w:val="24"/>
          <w:lang w:val="en-GB"/>
        </w:rPr>
        <w:t>解释。</w:t>
      </w:r>
    </w:p>
    <w:p w14:paraId="43433F9D" w14:textId="77777777" w:rsidR="003A5994" w:rsidRPr="00F56F71" w:rsidRDefault="003A5994" w:rsidP="00EA5F2B">
      <w:pPr>
        <w:spacing w:line="360" w:lineRule="auto"/>
        <w:rPr>
          <w:rFonts w:asciiTheme="majorEastAsia" w:eastAsiaTheme="majorEastAsia" w:hAnsiTheme="majorEastAsia"/>
          <w:sz w:val="24"/>
          <w:lang w:val="en-GB"/>
        </w:rPr>
      </w:pPr>
    </w:p>
    <w:p w14:paraId="40206FF1" w14:textId="77777777" w:rsidR="00E25922" w:rsidRPr="00F56F71" w:rsidRDefault="00E25922" w:rsidP="00EA5F2B">
      <w:pPr>
        <w:pStyle w:val="2"/>
        <w:spacing w:line="360" w:lineRule="auto"/>
        <w:jc w:val="center"/>
        <w:rPr>
          <w:rFonts w:asciiTheme="majorEastAsia" w:eastAsiaTheme="majorEastAsia" w:hAnsiTheme="majorEastAsia"/>
        </w:rPr>
        <w:sectPr w:rsidR="00E25922" w:rsidRPr="00F56F71">
          <w:headerReference w:type="default" r:id="rId11"/>
          <w:pgSz w:w="11906" w:h="16838" w:code="9"/>
          <w:pgMar w:top="1418" w:right="1701" w:bottom="1418" w:left="1701" w:header="851" w:footer="992" w:gutter="0"/>
          <w:cols w:space="425"/>
          <w:docGrid w:type="lines" w:linePitch="312"/>
        </w:sectPr>
      </w:pPr>
      <w:bookmarkStart w:id="0" w:name="_Toc124325885"/>
    </w:p>
    <w:p w14:paraId="05EC48D3" w14:textId="6A906285" w:rsidR="003A5994" w:rsidRPr="00F56F71" w:rsidRDefault="003A5994" w:rsidP="00EA5F2B">
      <w:pPr>
        <w:pStyle w:val="2"/>
        <w:spacing w:line="360" w:lineRule="auto"/>
        <w:jc w:val="center"/>
        <w:rPr>
          <w:rFonts w:asciiTheme="majorEastAsia" w:eastAsiaTheme="majorEastAsia" w:hAnsiTheme="majorEastAsia"/>
        </w:rPr>
      </w:pPr>
      <w:r w:rsidRPr="00F56F71">
        <w:rPr>
          <w:rFonts w:asciiTheme="majorEastAsia" w:eastAsiaTheme="majorEastAsia" w:hAnsiTheme="majorEastAsia" w:hint="eastAsia"/>
        </w:rPr>
        <w:lastRenderedPageBreak/>
        <w:t>一、基金托管协议当事人</w:t>
      </w:r>
      <w:bookmarkEnd w:id="0"/>
    </w:p>
    <w:p w14:paraId="54B27183"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（一）基金管理人</w:t>
      </w:r>
    </w:p>
    <w:p w14:paraId="5CB98488"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名称：</w:t>
      </w:r>
      <w:r w:rsidRPr="00F56F71">
        <w:rPr>
          <w:rFonts w:asciiTheme="majorEastAsia" w:eastAsiaTheme="majorEastAsia" w:hAnsiTheme="majorEastAsia" w:cs="Arial" w:hint="eastAsia"/>
          <w:sz w:val="24"/>
        </w:rPr>
        <w:t>博时</w:t>
      </w:r>
      <w:r w:rsidRPr="00F56F71">
        <w:rPr>
          <w:rFonts w:asciiTheme="majorEastAsia" w:eastAsiaTheme="majorEastAsia" w:hAnsiTheme="majorEastAsia" w:hint="eastAsia"/>
          <w:sz w:val="24"/>
        </w:rPr>
        <w:t>基金管理有限公司</w:t>
      </w:r>
    </w:p>
    <w:p w14:paraId="541E3C5B"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住所：深圳市福田区莲花街道福新社区益田路5999号基金大厦21层</w:t>
      </w:r>
    </w:p>
    <w:p w14:paraId="26FE5EEE"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办公地址：</w:t>
      </w:r>
      <w:r w:rsidRPr="00F56F71">
        <w:rPr>
          <w:rFonts w:asciiTheme="majorEastAsia" w:eastAsiaTheme="majorEastAsia" w:hAnsiTheme="majorEastAsia" w:cs="Arial" w:hint="eastAsia"/>
          <w:sz w:val="24"/>
        </w:rPr>
        <w:t>广东省深圳市福田区益田路5999号基金大厦21层</w:t>
      </w:r>
    </w:p>
    <w:p w14:paraId="078C8B35"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邮政编码：</w:t>
      </w:r>
      <w:r w:rsidRPr="00F56F71">
        <w:rPr>
          <w:rFonts w:asciiTheme="majorEastAsia" w:eastAsiaTheme="majorEastAsia" w:hAnsiTheme="majorEastAsia" w:cs="Arial" w:hint="eastAsia"/>
          <w:sz w:val="24"/>
        </w:rPr>
        <w:t>518040</w:t>
      </w:r>
    </w:p>
    <w:p w14:paraId="35C53351"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法定代表人：</w:t>
      </w:r>
      <w:r w:rsidRPr="00F56F71">
        <w:rPr>
          <w:rFonts w:asciiTheme="majorEastAsia" w:eastAsiaTheme="majorEastAsia" w:hAnsiTheme="majorEastAsia" w:cs="Arial" w:hint="eastAsia"/>
          <w:sz w:val="24"/>
        </w:rPr>
        <w:t>张光华</w:t>
      </w:r>
    </w:p>
    <w:p w14:paraId="694E73B4" w14:textId="5795D729"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成立</w:t>
      </w:r>
      <w:r w:rsidRPr="00F56F71">
        <w:rPr>
          <w:rFonts w:asciiTheme="majorEastAsia" w:eastAsiaTheme="majorEastAsia" w:hAnsiTheme="majorEastAsia" w:cs="Arial" w:hint="eastAsia"/>
          <w:sz w:val="24"/>
        </w:rPr>
        <w:t>时间： 1998年7月13日</w:t>
      </w:r>
    </w:p>
    <w:p w14:paraId="01B9B2F6" w14:textId="2A6C14F1" w:rsidR="0072718F" w:rsidRPr="00F56F71" w:rsidRDefault="0072718F"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hint="eastAsia"/>
          <w:sz w:val="24"/>
        </w:rPr>
        <w:t>批准设立机关</w:t>
      </w:r>
      <w:r w:rsidRPr="00F56F71">
        <w:rPr>
          <w:rFonts w:asciiTheme="majorEastAsia" w:eastAsiaTheme="majorEastAsia" w:hAnsiTheme="majorEastAsia" w:cs="Arial" w:hint="eastAsia"/>
          <w:sz w:val="24"/>
        </w:rPr>
        <w:t>：中国证券监督管理委员会</w:t>
      </w:r>
    </w:p>
    <w:p w14:paraId="4C13306D" w14:textId="0F6C1B40"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批准设立文号：中国证监会证监基字</w:t>
      </w:r>
      <w:r w:rsidRPr="00F56F71">
        <w:rPr>
          <w:rFonts w:asciiTheme="majorEastAsia" w:eastAsiaTheme="majorEastAsia" w:hAnsiTheme="majorEastAsia" w:cs="Arial" w:hint="eastAsia"/>
          <w:sz w:val="24"/>
        </w:rPr>
        <w:t>【1998】26</w:t>
      </w:r>
      <w:r w:rsidRPr="00F56F71">
        <w:rPr>
          <w:rFonts w:asciiTheme="majorEastAsia" w:eastAsiaTheme="majorEastAsia" w:hAnsiTheme="majorEastAsia" w:hint="eastAsia"/>
          <w:sz w:val="24"/>
        </w:rPr>
        <w:t>号</w:t>
      </w:r>
    </w:p>
    <w:p w14:paraId="1735B41F"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组织形式：</w:t>
      </w:r>
      <w:r w:rsidRPr="00F56F71">
        <w:rPr>
          <w:rFonts w:asciiTheme="majorEastAsia" w:eastAsiaTheme="majorEastAsia" w:hAnsiTheme="majorEastAsia" w:cs="Arial" w:hint="eastAsia"/>
          <w:sz w:val="24"/>
        </w:rPr>
        <w:t>有限责任公司</w:t>
      </w:r>
    </w:p>
    <w:p w14:paraId="024BD0AC"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注册资本：</w:t>
      </w:r>
      <w:r w:rsidRPr="00F56F71">
        <w:rPr>
          <w:rFonts w:asciiTheme="majorEastAsia" w:eastAsiaTheme="majorEastAsia" w:hAnsiTheme="majorEastAsia" w:cs="Arial" w:hint="eastAsia"/>
          <w:sz w:val="24"/>
        </w:rPr>
        <w:t>2.5</w:t>
      </w:r>
      <w:r w:rsidRPr="00F56F71">
        <w:rPr>
          <w:rFonts w:asciiTheme="majorEastAsia" w:eastAsiaTheme="majorEastAsia" w:hAnsiTheme="majorEastAsia" w:hint="eastAsia"/>
          <w:sz w:val="24"/>
        </w:rPr>
        <w:t>亿元</w:t>
      </w:r>
      <w:r w:rsidRPr="00F56F71">
        <w:rPr>
          <w:rFonts w:asciiTheme="majorEastAsia" w:eastAsiaTheme="majorEastAsia" w:hAnsiTheme="majorEastAsia" w:cs="Arial" w:hint="eastAsia"/>
          <w:sz w:val="24"/>
        </w:rPr>
        <w:t>人民币</w:t>
      </w:r>
    </w:p>
    <w:p w14:paraId="31910DEF"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存续期间：</w:t>
      </w:r>
      <w:r w:rsidRPr="00F56F71">
        <w:rPr>
          <w:rFonts w:asciiTheme="majorEastAsia" w:eastAsiaTheme="majorEastAsia" w:hAnsiTheme="majorEastAsia" w:cs="Arial" w:hint="eastAsia"/>
          <w:sz w:val="24"/>
        </w:rPr>
        <w:t>持续经营</w:t>
      </w:r>
    </w:p>
    <w:p w14:paraId="24D04D30" w14:textId="77777777" w:rsidR="003A5994"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经营范围：</w:t>
      </w:r>
      <w:r w:rsidRPr="00F56F71">
        <w:rPr>
          <w:rFonts w:asciiTheme="majorEastAsia" w:eastAsiaTheme="majorEastAsia" w:hAnsiTheme="majorEastAsia" w:cs="Arial" w:hint="eastAsia"/>
          <w:sz w:val="24"/>
        </w:rPr>
        <w:t>基金募集；基金销售；资产管理以及中国证监会许可的其它业务。</w:t>
      </w:r>
    </w:p>
    <w:p w14:paraId="662E003A"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（二）基金托管人</w:t>
      </w:r>
    </w:p>
    <w:p w14:paraId="0DCBB07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名称：中国建设银行股份有限公司</w:t>
      </w:r>
      <w:r w:rsidRPr="00F56F71">
        <w:rPr>
          <w:rFonts w:asciiTheme="majorEastAsia" w:eastAsiaTheme="majorEastAsia" w:hAnsiTheme="majorEastAsia"/>
          <w:sz w:val="24"/>
        </w:rPr>
        <w:t>(简称：中国建设银行)</w:t>
      </w:r>
    </w:p>
    <w:p w14:paraId="5A3CFD86"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住所：北京市西城区金融大街</w:t>
      </w:r>
      <w:r w:rsidRPr="00F56F71">
        <w:rPr>
          <w:rFonts w:asciiTheme="majorEastAsia" w:eastAsiaTheme="majorEastAsia" w:hAnsiTheme="majorEastAsia"/>
          <w:sz w:val="24"/>
        </w:rPr>
        <w:t>25号</w:t>
      </w:r>
    </w:p>
    <w:p w14:paraId="70D6DE0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办公地址：北京市西城区闹市口大街</w:t>
      </w:r>
      <w:r w:rsidRPr="00F56F71">
        <w:rPr>
          <w:rFonts w:asciiTheme="majorEastAsia" w:eastAsiaTheme="majorEastAsia" w:hAnsiTheme="majorEastAsia"/>
          <w:sz w:val="24"/>
        </w:rPr>
        <w:t>1号院1号楼</w:t>
      </w:r>
    </w:p>
    <w:p w14:paraId="7E10EFB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邮政编码：</w:t>
      </w:r>
      <w:r w:rsidRPr="00F56F71">
        <w:rPr>
          <w:rFonts w:asciiTheme="majorEastAsia" w:eastAsiaTheme="majorEastAsia" w:hAnsiTheme="majorEastAsia"/>
          <w:sz w:val="24"/>
        </w:rPr>
        <w:t>100033</w:t>
      </w:r>
    </w:p>
    <w:p w14:paraId="6AC9F1D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法定代表人：田国立</w:t>
      </w:r>
    </w:p>
    <w:p w14:paraId="60507AC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F56F71">
          <w:rPr>
            <w:rFonts w:asciiTheme="majorEastAsia" w:eastAsiaTheme="majorEastAsia" w:hAnsiTheme="majorEastAsia"/>
            <w:sz w:val="24"/>
          </w:rPr>
          <w:t>2004年09月17日</w:t>
        </w:r>
      </w:smartTag>
    </w:p>
    <w:p w14:paraId="0A83403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基金托管业务批准文号：中国证监会证监基字</w:t>
      </w:r>
      <w:r w:rsidRPr="00F56F71">
        <w:rPr>
          <w:rFonts w:asciiTheme="majorEastAsia" w:eastAsiaTheme="majorEastAsia" w:hAnsiTheme="majorEastAsia"/>
          <w:sz w:val="24"/>
        </w:rPr>
        <w:t>[1998</w:t>
      </w:r>
      <w:bookmarkStart w:id="1" w:name="OLE_LINK3"/>
      <w:r w:rsidRPr="00F56F71">
        <w:rPr>
          <w:rFonts w:asciiTheme="majorEastAsia" w:eastAsiaTheme="majorEastAsia" w:hAnsiTheme="majorEastAsia"/>
          <w:sz w:val="24"/>
        </w:rPr>
        <w:t>]</w:t>
      </w:r>
      <w:bookmarkEnd w:id="1"/>
      <w:r w:rsidRPr="00F56F71">
        <w:rPr>
          <w:rFonts w:asciiTheme="majorEastAsia" w:eastAsiaTheme="majorEastAsia" w:hAnsiTheme="majorEastAsia"/>
          <w:sz w:val="24"/>
        </w:rPr>
        <w:t>12号</w:t>
      </w:r>
    </w:p>
    <w:p w14:paraId="68437DF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组织形式：股份有限公司</w:t>
      </w:r>
    </w:p>
    <w:p w14:paraId="0044032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注册资本：贰仟伍佰亿壹仟零玖拾柒万柒仟肆佰捌拾陆元整</w:t>
      </w:r>
    </w:p>
    <w:p w14:paraId="4C39151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存续期间：持续经营</w:t>
      </w:r>
    </w:p>
    <w:p w14:paraId="44EB79E9" w14:textId="77777777" w:rsidR="003A5994" w:rsidRPr="00F56F71" w:rsidRDefault="003A5994" w:rsidP="00EA5F2B">
      <w:pPr>
        <w:tabs>
          <w:tab w:val="left" w:pos="540"/>
        </w:tabs>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F56F71">
        <w:rPr>
          <w:rFonts w:asciiTheme="majorEastAsia" w:eastAsiaTheme="majorEastAsia" w:hAnsiTheme="majorEastAsia" w:hint="eastAsia"/>
          <w:sz w:val="24"/>
        </w:rPr>
        <w:lastRenderedPageBreak/>
        <w:t>国银行业监督管理机构等监管部门批准的其他业务。</w:t>
      </w:r>
    </w:p>
    <w:p w14:paraId="18B0C45A" w14:textId="77777777" w:rsidR="003A5994" w:rsidRPr="00F56F71" w:rsidRDefault="003A5994" w:rsidP="00EA5F2B">
      <w:pPr>
        <w:spacing w:line="360" w:lineRule="auto"/>
        <w:rPr>
          <w:rFonts w:asciiTheme="majorEastAsia" w:eastAsiaTheme="majorEastAsia" w:hAnsiTheme="majorEastAsia"/>
          <w:sz w:val="24"/>
        </w:rPr>
      </w:pPr>
    </w:p>
    <w:p w14:paraId="5E2D4229"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12"/>
          <w:pgSz w:w="11906" w:h="16838" w:code="9"/>
          <w:pgMar w:top="1418" w:right="1701" w:bottom="1418" w:left="1701" w:header="851" w:footer="992" w:gutter="0"/>
          <w:pgNumType w:start="1"/>
          <w:cols w:space="425"/>
          <w:docGrid w:type="lines" w:linePitch="312"/>
        </w:sectPr>
      </w:pPr>
      <w:bookmarkStart w:id="2" w:name="_Toc124325886"/>
    </w:p>
    <w:p w14:paraId="506968F7" w14:textId="37735268"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二、基金托管协议的依据、目的和原则</w:t>
      </w:r>
      <w:bookmarkEnd w:id="2"/>
    </w:p>
    <w:p w14:paraId="76ECB56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（一）订立托管协议的依据</w:t>
      </w:r>
    </w:p>
    <w:p w14:paraId="71F7286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本协议依据《中华人民共和国证券投资基金法》</w:t>
      </w:r>
      <w:r w:rsidRPr="00F56F71">
        <w:rPr>
          <w:rFonts w:asciiTheme="majorEastAsia" w:eastAsiaTheme="majorEastAsia" w:hAnsiTheme="majorEastAsia"/>
          <w:sz w:val="24"/>
        </w:rPr>
        <w:t>(以下简称“《基金法》”)等有关法律法规、《基金合同》及其他有关规定制订。</w:t>
      </w:r>
    </w:p>
    <w:p w14:paraId="31D69D8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（二）订立托管协议的目的</w:t>
      </w:r>
    </w:p>
    <w:p w14:paraId="1165822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E40058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（三）订立托管协议的原则</w:t>
      </w:r>
    </w:p>
    <w:p w14:paraId="7920548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基金管理人和基金托管人本着平等自愿、诚实信用、充分保护基金份额持有人合法权益的原则，经协商一致，签订本协议。</w:t>
      </w:r>
    </w:p>
    <w:p w14:paraId="68575BBD" w14:textId="77777777" w:rsidR="003A5994" w:rsidRPr="00F56F71" w:rsidRDefault="003A5994" w:rsidP="00EA5F2B">
      <w:pPr>
        <w:spacing w:line="360" w:lineRule="auto"/>
        <w:rPr>
          <w:rFonts w:asciiTheme="majorEastAsia" w:eastAsiaTheme="majorEastAsia" w:hAnsiTheme="majorEastAsia"/>
          <w:sz w:val="24"/>
        </w:rPr>
      </w:pPr>
    </w:p>
    <w:p w14:paraId="5EDD553F" w14:textId="77777777" w:rsidR="00E25922" w:rsidRPr="009A0E78" w:rsidRDefault="00E25922" w:rsidP="00EA5F2B">
      <w:pPr>
        <w:pStyle w:val="2"/>
        <w:spacing w:line="360" w:lineRule="auto"/>
        <w:jc w:val="center"/>
        <w:rPr>
          <w:rFonts w:asciiTheme="majorEastAsia" w:eastAsiaTheme="majorEastAsia" w:hAnsiTheme="majorEastAsia"/>
          <w:sz w:val="30"/>
        </w:rPr>
        <w:sectPr w:rsidR="00E25922" w:rsidRPr="009A0E78" w:rsidSect="00E25922">
          <w:footerReference w:type="default" r:id="rId13"/>
          <w:pgSz w:w="11906" w:h="16838" w:code="9"/>
          <w:pgMar w:top="1418" w:right="1701" w:bottom="1418" w:left="1701" w:header="851" w:footer="992" w:gutter="0"/>
          <w:pgNumType w:start="1"/>
          <w:cols w:space="425"/>
          <w:docGrid w:type="lines" w:linePitch="312"/>
        </w:sectPr>
      </w:pPr>
      <w:bookmarkStart w:id="3" w:name="_Toc124325887"/>
    </w:p>
    <w:p w14:paraId="7A675160" w14:textId="09500BB2"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三、基金托管人对基金管理人的业务监督和核查</w:t>
      </w:r>
      <w:bookmarkEnd w:id="3"/>
    </w:p>
    <w:p w14:paraId="68A9C96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4A08C99" w14:textId="17C23D1A" w:rsidR="0072718F" w:rsidRPr="00F56F71" w:rsidRDefault="0072718F"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hint="eastAsia"/>
          <w:sz w:val="24"/>
        </w:rPr>
        <w:t>本基金</w:t>
      </w:r>
      <w:r w:rsidRPr="00F56F71">
        <w:rPr>
          <w:rFonts w:asciiTheme="majorEastAsia" w:eastAsiaTheme="majorEastAsia" w:hAnsiTheme="majorEastAsia" w:cs="Arial" w:hint="eastAsia"/>
          <w:sz w:val="24"/>
        </w:rPr>
        <w:t>主要</w:t>
      </w:r>
      <w:r w:rsidRPr="00F56F71">
        <w:rPr>
          <w:rFonts w:asciiTheme="majorEastAsia" w:eastAsiaTheme="majorEastAsia" w:hAnsiTheme="majorEastAsia" w:hint="eastAsia"/>
          <w:sz w:val="24"/>
        </w:rPr>
        <w:t>投资</w:t>
      </w:r>
      <w:r w:rsidRPr="00F56F71">
        <w:rPr>
          <w:rFonts w:asciiTheme="majorEastAsia" w:eastAsiaTheme="majorEastAsia" w:hAnsiTheme="majorEastAsia" w:cs="Arial" w:hint="eastAsia"/>
          <w:sz w:val="24"/>
        </w:rPr>
        <w:t>于标的指数成份股和备选成份股。</w:t>
      </w:r>
    </w:p>
    <w:p w14:paraId="2E3EA00D" w14:textId="118D199D" w:rsidR="0072718F" w:rsidRPr="00F56F71" w:rsidRDefault="0072718F" w:rsidP="000A02E9">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为更好地实现基金的</w:t>
      </w:r>
      <w:r w:rsidRPr="00F56F71">
        <w:rPr>
          <w:rFonts w:asciiTheme="majorEastAsia" w:eastAsiaTheme="majorEastAsia" w:hAnsiTheme="majorEastAsia" w:hint="eastAsia"/>
          <w:sz w:val="24"/>
        </w:rPr>
        <w:t>投资</w:t>
      </w:r>
      <w:r w:rsidRPr="00F56F71">
        <w:rPr>
          <w:rFonts w:asciiTheme="majorEastAsia" w:eastAsiaTheme="majorEastAsia" w:hAnsiTheme="majorEastAsia" w:cs="Arial" w:hint="eastAsia"/>
          <w:sz w:val="24"/>
        </w:rPr>
        <w:t>目标，本基金可能会少量投资于国内依法发行上市的非成份股（包括中小板、创业板及其他经中国证监会核准上市或同意注册的股票</w:t>
      </w:r>
      <w:r w:rsidR="001B41F1" w:rsidRPr="00F56F71">
        <w:rPr>
          <w:rFonts w:asciiTheme="majorEastAsia" w:eastAsiaTheme="majorEastAsia" w:hAnsiTheme="majorEastAsia" w:cs="Arial" w:hint="eastAsia"/>
          <w:sz w:val="24"/>
        </w:rPr>
        <w:t>、港股通标的股票</w:t>
      </w:r>
      <w:r w:rsidRPr="00F56F71">
        <w:rPr>
          <w:rFonts w:asciiTheme="majorEastAsia" w:eastAsiaTheme="majorEastAsia" w:hAnsiTheme="majorEastAsia" w:cs="Arial" w:hint="eastAsia"/>
          <w:sz w:val="24"/>
        </w:rPr>
        <w:t>）、股指期货、股票期权、债券（包括国债、金融债、</w:t>
      </w:r>
      <w:r w:rsidR="00B94FA0" w:rsidRPr="00F56F71">
        <w:rPr>
          <w:rFonts w:asciiTheme="majorEastAsia" w:eastAsiaTheme="majorEastAsia" w:hAnsiTheme="majorEastAsia" w:cs="Arial" w:hint="eastAsia"/>
          <w:sz w:val="24"/>
        </w:rPr>
        <w:t>地方政府债、</w:t>
      </w:r>
      <w:r w:rsidRPr="00F56F71">
        <w:rPr>
          <w:rFonts w:asciiTheme="majorEastAsia" w:eastAsiaTheme="majorEastAsia" w:hAnsiTheme="majorEastAsia" w:cs="Arial" w:hint="eastAsia"/>
          <w:sz w:val="24"/>
        </w:rPr>
        <w:t>企业债、公司债、可转换债券（含分离交易可转债的纯债部分）、</w:t>
      </w:r>
      <w:r w:rsidR="00A61866" w:rsidRPr="00F56F71">
        <w:rPr>
          <w:rFonts w:asciiTheme="majorEastAsia" w:eastAsiaTheme="majorEastAsia" w:hAnsiTheme="majorEastAsia" w:cs="Arial" w:hint="eastAsia"/>
          <w:sz w:val="24"/>
        </w:rPr>
        <w:t>可交换债券、</w:t>
      </w:r>
      <w:r w:rsidRPr="00F56F71">
        <w:rPr>
          <w:rFonts w:asciiTheme="majorEastAsia" w:eastAsiaTheme="majorEastAsia" w:hAnsiTheme="majorEastAsia" w:cs="Arial" w:hint="eastAsia"/>
          <w:sz w:val="24"/>
        </w:rPr>
        <w:t>央行票据、短期融资券、超短期融资券、中期票据</w:t>
      </w:r>
      <w:r w:rsidR="00216249" w:rsidRPr="00F56F71">
        <w:rPr>
          <w:rFonts w:asciiTheme="majorEastAsia" w:eastAsiaTheme="majorEastAsia" w:hAnsiTheme="majorEastAsia" w:cs="Arial" w:hint="eastAsia"/>
          <w:sz w:val="24"/>
        </w:rPr>
        <w:t>等</w:t>
      </w:r>
      <w:r w:rsidRPr="00F56F71">
        <w:rPr>
          <w:rFonts w:asciiTheme="majorEastAsia" w:eastAsiaTheme="majorEastAsia" w:hAnsiTheme="majorEastAsia" w:cs="Arial" w:hint="eastAsia"/>
          <w:sz w:val="24"/>
        </w:rPr>
        <w:t>）、货币市场工具（包括银行存款、同业存单等）、</w:t>
      </w:r>
      <w:r w:rsidR="00216249" w:rsidRPr="00F56F71">
        <w:rPr>
          <w:rFonts w:asciiTheme="majorEastAsia" w:eastAsiaTheme="majorEastAsia" w:hAnsiTheme="majorEastAsia" w:cs="Arial" w:hint="eastAsia"/>
          <w:sz w:val="24"/>
        </w:rPr>
        <w:t>债券回购、</w:t>
      </w:r>
      <w:r w:rsidRPr="00F56F71">
        <w:rPr>
          <w:rFonts w:asciiTheme="majorEastAsia" w:eastAsiaTheme="majorEastAsia" w:hAnsiTheme="majorEastAsia" w:cs="Arial" w:hint="eastAsia"/>
          <w:sz w:val="24"/>
        </w:rPr>
        <w:t>资产支持证券以及法律法规或中国证监会允许基金投资的其他金融工具（但须符合中国证监会的相关规定）。</w:t>
      </w:r>
    </w:p>
    <w:p w14:paraId="338EDDBA" w14:textId="77777777" w:rsidR="0072718F" w:rsidRPr="00F56F71" w:rsidRDefault="0072718F"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本基金将根据法律法规的规定参与融资、融券及转融通证券出借业务。本基金根据相关法律法规或中国证监会要求履行相关手续后，还可以投资于法律法规或中国证监会未来允许基金投资的其他金融工具。</w:t>
      </w:r>
    </w:p>
    <w:p w14:paraId="0ADCFB98" w14:textId="1BBD4353" w:rsidR="003A5994" w:rsidRPr="00F56F71" w:rsidRDefault="0072718F" w:rsidP="00EA5F2B">
      <w:pPr>
        <w:adjustRightInd w:val="0"/>
        <w:snapToGrid w:val="0"/>
        <w:spacing w:line="360" w:lineRule="auto"/>
        <w:ind w:firstLineChars="200" w:firstLine="480"/>
        <w:rPr>
          <w:rFonts w:asciiTheme="majorEastAsia" w:eastAsiaTheme="majorEastAsia" w:hAnsiTheme="majorEastAsia"/>
          <w:sz w:val="24"/>
          <w:szCs w:val="30"/>
        </w:rPr>
      </w:pPr>
      <w:r w:rsidRPr="00F56F71">
        <w:rPr>
          <w:rFonts w:asciiTheme="majorEastAsia" w:eastAsiaTheme="majorEastAsia" w:hAnsiTheme="majorEastAsia" w:cs="Arial" w:hint="eastAsia"/>
          <w:sz w:val="24"/>
        </w:rPr>
        <w:t>本基金投资于标的指数成份股和备选成份股的资产比例不低于基金资产净值的90%；</w:t>
      </w:r>
      <w:r w:rsidR="00216249" w:rsidRPr="00F56F71">
        <w:rPr>
          <w:rFonts w:asciiTheme="majorEastAsia" w:eastAsiaTheme="majorEastAsia" w:hAnsiTheme="majorEastAsia" w:cs="Arial" w:hint="eastAsia"/>
          <w:sz w:val="24"/>
        </w:rPr>
        <w:t>投资港股通标的股票的比例不超过本基金股票资产的</w:t>
      </w:r>
      <w:r w:rsidR="00EB3A4E" w:rsidRPr="00F56F71">
        <w:rPr>
          <w:rFonts w:asciiTheme="majorEastAsia" w:eastAsiaTheme="majorEastAsia" w:hAnsiTheme="majorEastAsia" w:cs="Arial" w:hint="eastAsia"/>
          <w:sz w:val="24"/>
        </w:rPr>
        <w:t>10</w:t>
      </w:r>
      <w:r w:rsidR="00216249" w:rsidRPr="00F56F71">
        <w:rPr>
          <w:rFonts w:asciiTheme="majorEastAsia" w:eastAsiaTheme="majorEastAsia" w:hAnsiTheme="majorEastAsia" w:cs="Arial" w:hint="eastAsia"/>
          <w:sz w:val="24"/>
        </w:rPr>
        <w:t>%；</w:t>
      </w:r>
      <w:r w:rsidR="000D39A4" w:rsidRPr="00F56F71">
        <w:rPr>
          <w:rFonts w:asciiTheme="majorEastAsia" w:eastAsiaTheme="majorEastAsia" w:hAnsiTheme="majorEastAsia" w:cs="Arial" w:hint="eastAsia"/>
          <w:sz w:val="24"/>
        </w:rPr>
        <w:t>本基金每个交易日日终在扣除股指期货和股票期权合约需缴纳的交易保证金后，应当保持不低于交易保证金一倍的现金，其中现金不包括结算备付金、存出保证金、应收申购款等；</w:t>
      </w:r>
      <w:r w:rsidRPr="00F56F71">
        <w:rPr>
          <w:rFonts w:asciiTheme="majorEastAsia" w:eastAsiaTheme="majorEastAsia" w:hAnsiTheme="majorEastAsia" w:cs="Arial" w:hint="eastAsia"/>
          <w:sz w:val="24"/>
        </w:rPr>
        <w:t>股指期货、股票期权及其他金融工具的投资比例依照法律法规或监管机构的规定执行。</w:t>
      </w:r>
    </w:p>
    <w:p w14:paraId="5AACB39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（二）基金托管人根据有关法律法规的规定及《基金合同》的约定，对基金投资、融资比例进行监督。基金托管人按下述比例和调整期限进行监督：</w:t>
      </w:r>
    </w:p>
    <w:p w14:paraId="2E725244" w14:textId="1FA870F1" w:rsidR="003A5994" w:rsidRPr="00F56F71" w:rsidRDefault="003A5994" w:rsidP="00EA5F2B">
      <w:pPr>
        <w:adjustRightInd w:val="0"/>
        <w:snapToGrid w:val="0"/>
        <w:spacing w:line="360" w:lineRule="auto"/>
        <w:ind w:firstLineChars="200" w:firstLine="480"/>
        <w:rPr>
          <w:rFonts w:asciiTheme="majorEastAsia" w:eastAsiaTheme="majorEastAsia" w:hAnsiTheme="majorEastAsia"/>
          <w:i/>
          <w:sz w:val="24"/>
        </w:rPr>
      </w:pPr>
      <w:r w:rsidRPr="00F56F71">
        <w:rPr>
          <w:rFonts w:asciiTheme="majorEastAsia" w:eastAsiaTheme="majorEastAsia" w:hAnsiTheme="majorEastAsia"/>
          <w:sz w:val="24"/>
        </w:rPr>
        <w:t>1.</w:t>
      </w:r>
      <w:r w:rsidR="0072718F" w:rsidRPr="00F56F71">
        <w:rPr>
          <w:rFonts w:asciiTheme="majorEastAsia" w:eastAsiaTheme="majorEastAsia" w:hAnsiTheme="majorEastAsia" w:hint="eastAsia"/>
          <w:sz w:val="24"/>
        </w:rPr>
        <w:t>本基金投资于标的指数成份股和备选成份股的资产比例不低于基金资产净值的90%；</w:t>
      </w:r>
      <w:r w:rsidR="009E1B69" w:rsidRPr="00F56F71">
        <w:rPr>
          <w:rFonts w:asciiTheme="majorEastAsia" w:eastAsiaTheme="majorEastAsia" w:hAnsiTheme="majorEastAsia" w:hint="eastAsia"/>
          <w:sz w:val="24"/>
        </w:rPr>
        <w:t>投资港股通标的股票的比例不超过本基金股票资产的</w:t>
      </w:r>
      <w:r w:rsidR="00EB3A4E" w:rsidRPr="00F56F71">
        <w:rPr>
          <w:rFonts w:asciiTheme="majorEastAsia" w:eastAsiaTheme="majorEastAsia" w:hAnsiTheme="majorEastAsia" w:hint="eastAsia"/>
          <w:sz w:val="24"/>
        </w:rPr>
        <w:t>10</w:t>
      </w:r>
      <w:r w:rsidR="009E1B69" w:rsidRPr="00F56F71">
        <w:rPr>
          <w:rFonts w:asciiTheme="majorEastAsia" w:eastAsiaTheme="majorEastAsia" w:hAnsiTheme="majorEastAsia" w:hint="eastAsia"/>
          <w:sz w:val="24"/>
        </w:rPr>
        <w:t>%；</w:t>
      </w:r>
    </w:p>
    <w:p w14:paraId="798A4671" w14:textId="63BA724E" w:rsidR="0072718F"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w:t>
      </w:r>
      <w:r w:rsidR="0072718F"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本基金参与股指期货交易依据下列标准建构组合：</w:t>
      </w:r>
    </w:p>
    <w:p w14:paraId="48BD4F04" w14:textId="0EC29284" w:rsidR="0072718F" w:rsidRPr="00F56F71" w:rsidRDefault="0072718F"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在任何交易日日终，持有的买入股指期货合约价值，不得超过基金资产净值</w:t>
      </w:r>
      <w:r w:rsidRPr="00F56F71">
        <w:rPr>
          <w:rFonts w:asciiTheme="majorEastAsia" w:eastAsiaTheme="majorEastAsia" w:hAnsiTheme="majorEastAsia" w:hint="eastAsia"/>
          <w:sz w:val="24"/>
        </w:rPr>
        <w:lastRenderedPageBreak/>
        <w:t>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每个交易日日终在扣除股指期货</w:t>
      </w:r>
      <w:r w:rsidR="00B239D3" w:rsidRPr="00712FFB">
        <w:rPr>
          <w:rFonts w:asciiTheme="majorEastAsia" w:eastAsiaTheme="majorEastAsia" w:hAnsiTheme="majorEastAsia" w:hint="eastAsia"/>
          <w:sz w:val="24"/>
        </w:rPr>
        <w:t>和股票期权</w:t>
      </w:r>
      <w:r w:rsidRPr="00F56F71">
        <w:rPr>
          <w:rFonts w:asciiTheme="majorEastAsia" w:eastAsiaTheme="majorEastAsia" w:hAnsiTheme="majorEastAsia" w:hint="eastAsia"/>
          <w:sz w:val="24"/>
        </w:rPr>
        <w:t>合约需缴纳的交易保证金后，应当保持不低于交易保证金一倍的现金；本基金所持有的股票市值和买入、卖出股指期货合约价值，合计（轧差计算）应当符合基金合同关于股票投资比例有关约定；</w:t>
      </w:r>
    </w:p>
    <w:p w14:paraId="1EC8A901" w14:textId="77777777" w:rsidR="00C94EC5" w:rsidRPr="00F56F71" w:rsidRDefault="00C94EC5" w:rsidP="00EA5F2B">
      <w:pPr>
        <w:adjustRightInd w:val="0"/>
        <w:snapToGrid w:val="0"/>
        <w:spacing w:line="360" w:lineRule="auto"/>
        <w:ind w:firstLineChars="200" w:firstLine="480"/>
        <w:rPr>
          <w:rFonts w:asciiTheme="majorEastAsia" w:eastAsiaTheme="majorEastAsia" w:hAnsiTheme="majorEastAsia"/>
          <w:i/>
          <w:sz w:val="24"/>
        </w:rPr>
      </w:pPr>
      <w:r w:rsidRPr="00F56F71">
        <w:rPr>
          <w:rFonts w:asciiTheme="majorEastAsia" w:eastAsiaTheme="majorEastAsia" w:hAnsiTheme="majorEastAsia" w:hint="eastAsia"/>
          <w:sz w:val="24"/>
        </w:rPr>
        <w:t>本基金在开始进行期货投资之前，应与基金托管人、期货公司三方一同就期货开户、清算、估值、交收等事宜另行签署《期货投资托管操作三方备忘录》</w:t>
      </w:r>
      <w:r w:rsidRPr="00F56F71">
        <w:rPr>
          <w:rFonts w:asciiTheme="majorEastAsia" w:eastAsiaTheme="majorEastAsia" w:hAnsiTheme="majorEastAsia" w:hint="eastAsia"/>
          <w:i/>
          <w:sz w:val="24"/>
        </w:rPr>
        <w:t>。</w:t>
      </w:r>
    </w:p>
    <w:p w14:paraId="218D30EF" w14:textId="57347207"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w:t>
      </w:r>
      <w:r w:rsidR="003A5994"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本基金持有的全部资产支持证券，其市值不得超过基金资产净值的20％</w:t>
      </w:r>
      <w:r w:rsidR="003A5994" w:rsidRPr="00F56F71">
        <w:rPr>
          <w:rFonts w:asciiTheme="majorEastAsia" w:eastAsiaTheme="majorEastAsia" w:hAnsiTheme="majorEastAsia" w:hint="eastAsia"/>
          <w:sz w:val="24"/>
        </w:rPr>
        <w:t>；</w:t>
      </w:r>
    </w:p>
    <w:p w14:paraId="409B0A8E" w14:textId="7E734E1A" w:rsidR="0072718F"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w:t>
      </w:r>
      <w:r w:rsidR="0072718F"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本基金投资于同一原始权益人的各类资产支持证券的比例，不得超过基金资产净值的10％；</w:t>
      </w:r>
    </w:p>
    <w:p w14:paraId="16F0B93D" w14:textId="2132488A"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5</w:t>
      </w:r>
      <w:r w:rsidR="003A5994"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本基金持有的同一(指同一信用级别)资产支持证券的比例，不得超过该资产支持证券规模的10％</w:t>
      </w:r>
      <w:r w:rsidR="003A5994" w:rsidRPr="00F56F71">
        <w:rPr>
          <w:rFonts w:asciiTheme="majorEastAsia" w:eastAsiaTheme="majorEastAsia" w:hAnsiTheme="majorEastAsia" w:hint="eastAsia"/>
          <w:sz w:val="24"/>
        </w:rPr>
        <w:t>；</w:t>
      </w:r>
    </w:p>
    <w:p w14:paraId="2BFF0FDC" w14:textId="55D38EBC" w:rsidR="0072718F" w:rsidRPr="00F56F71" w:rsidRDefault="009E1B69" w:rsidP="00EA5F2B">
      <w:pPr>
        <w:spacing w:line="360" w:lineRule="auto"/>
        <w:ind w:firstLine="420"/>
        <w:rPr>
          <w:rFonts w:asciiTheme="majorEastAsia" w:eastAsiaTheme="majorEastAsia" w:hAnsiTheme="majorEastAsia"/>
          <w:sz w:val="24"/>
        </w:rPr>
      </w:pPr>
      <w:r w:rsidRPr="00F56F71">
        <w:rPr>
          <w:rFonts w:asciiTheme="majorEastAsia" w:eastAsiaTheme="majorEastAsia" w:hAnsiTheme="majorEastAsia"/>
          <w:sz w:val="24"/>
        </w:rPr>
        <w:t>6</w:t>
      </w:r>
      <w:r w:rsidR="0072718F" w:rsidRPr="00F56F71">
        <w:rPr>
          <w:rFonts w:asciiTheme="majorEastAsia" w:eastAsiaTheme="majorEastAsia" w:hAnsiTheme="majorEastAsia" w:hint="eastAsia"/>
          <w:sz w:val="24"/>
        </w:rPr>
        <w:t>.本基金管理人管理的</w:t>
      </w:r>
      <w:r w:rsidR="00056780" w:rsidRPr="00F56F71">
        <w:rPr>
          <w:rFonts w:asciiTheme="majorEastAsia" w:eastAsiaTheme="majorEastAsia" w:hAnsiTheme="majorEastAsia" w:hint="eastAsia"/>
          <w:sz w:val="24"/>
        </w:rPr>
        <w:t>且在本基金托管人处托管的</w:t>
      </w:r>
      <w:r w:rsidR="0072718F" w:rsidRPr="00F56F71">
        <w:rPr>
          <w:rFonts w:asciiTheme="majorEastAsia" w:eastAsiaTheme="majorEastAsia" w:hAnsiTheme="majorEastAsia" w:hint="eastAsia"/>
          <w:sz w:val="24"/>
        </w:rPr>
        <w:t>全部基金投资于同一原始权益人的各类资产支持证券，不得超过其各类资产支持证券合计规模的10％；</w:t>
      </w:r>
    </w:p>
    <w:p w14:paraId="73103553" w14:textId="780F7CC6"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7</w:t>
      </w:r>
      <w:r w:rsidR="003A5994"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本基金应投资于信用级别评级为BBB以上(含BBB)的资产支持证券。基金持有资产支持证券期间，如果其信用等级下降、不再符合投资标准，应在评级报告发布之日起3个月内予以全部卖出</w:t>
      </w:r>
      <w:r w:rsidR="003A5994" w:rsidRPr="00F56F71">
        <w:rPr>
          <w:rFonts w:asciiTheme="majorEastAsia" w:eastAsiaTheme="majorEastAsia" w:hAnsiTheme="majorEastAsia" w:hint="eastAsia"/>
          <w:sz w:val="24"/>
        </w:rPr>
        <w:t>；</w:t>
      </w:r>
    </w:p>
    <w:p w14:paraId="4FDA9927" w14:textId="3017A607"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8</w:t>
      </w:r>
      <w:r w:rsidR="003A5994"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基金财产参与股票发行申购，本基金所申报的金额不超过本基金的总资产，本基金所申报的股票数量不超过拟发行股票公司本次发行股票的总量</w:t>
      </w:r>
      <w:r w:rsidR="003A5994" w:rsidRPr="00F56F71">
        <w:rPr>
          <w:rFonts w:asciiTheme="majorEastAsia" w:eastAsiaTheme="majorEastAsia" w:hAnsiTheme="majorEastAsia" w:hint="eastAsia"/>
          <w:sz w:val="24"/>
        </w:rPr>
        <w:t>；</w:t>
      </w:r>
    </w:p>
    <w:p w14:paraId="10324B82" w14:textId="2C3BE8FB"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9</w:t>
      </w:r>
      <w:r w:rsidR="003A5994"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本基金进入全国银行间同业市场进行债券回购的资金余额不得超过基金资产净值的40%；在全国银行间同业市场中的债券回购最长期限为1年，债券回购到期后不展期</w:t>
      </w:r>
      <w:r w:rsidR="003A5994" w:rsidRPr="00F56F71">
        <w:rPr>
          <w:rFonts w:asciiTheme="majorEastAsia" w:eastAsiaTheme="majorEastAsia" w:hAnsiTheme="majorEastAsia" w:hint="eastAsia"/>
          <w:sz w:val="24"/>
        </w:rPr>
        <w:t>；</w:t>
      </w:r>
    </w:p>
    <w:p w14:paraId="748761A3" w14:textId="1165B50F"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10</w:t>
      </w:r>
      <w:r w:rsidR="003A5994"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本基金资产总值不得超过基金资产净值的140%</w:t>
      </w:r>
      <w:r w:rsidR="003A5994" w:rsidRPr="00F56F71">
        <w:rPr>
          <w:rFonts w:asciiTheme="majorEastAsia" w:eastAsiaTheme="majorEastAsia" w:hAnsiTheme="majorEastAsia" w:hint="eastAsia"/>
          <w:sz w:val="24"/>
        </w:rPr>
        <w:t>；</w:t>
      </w:r>
    </w:p>
    <w:p w14:paraId="08B998E3" w14:textId="2DB2FBC0" w:rsidR="0072718F"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11</w:t>
      </w:r>
      <w:r w:rsidR="0072718F" w:rsidRPr="00F56F71">
        <w:rPr>
          <w:rFonts w:asciiTheme="majorEastAsia" w:eastAsiaTheme="majorEastAsia" w:hAnsiTheme="majorEastAsia" w:hint="eastAsia"/>
          <w:sz w:val="24"/>
        </w:rPr>
        <w:t>.本基金参与融资的，在任何交易日日终，本基金持有的融资买入股票与其他有价证券市值之和，不得超过基金资产净值的95%；</w:t>
      </w:r>
    </w:p>
    <w:p w14:paraId="3424947E" w14:textId="19340B3A" w:rsidR="00571F5E" w:rsidRPr="005128AA" w:rsidRDefault="009E1B69" w:rsidP="00571F5E">
      <w:pPr>
        <w:adjustRightInd w:val="0"/>
        <w:snapToGrid w:val="0"/>
        <w:spacing w:line="360" w:lineRule="auto"/>
        <w:ind w:firstLineChars="200" w:firstLine="480"/>
        <w:rPr>
          <w:rFonts w:asciiTheme="majorEastAsia" w:hAnsiTheme="majorEastAsia"/>
          <w:sz w:val="24"/>
        </w:rPr>
      </w:pPr>
      <w:r w:rsidRPr="00F56F71">
        <w:rPr>
          <w:rFonts w:asciiTheme="majorEastAsia" w:eastAsiaTheme="majorEastAsia" w:hAnsiTheme="majorEastAsia"/>
          <w:sz w:val="24"/>
        </w:rPr>
        <w:t>12</w:t>
      </w:r>
      <w:r w:rsidR="0072718F" w:rsidRPr="00F56F71">
        <w:rPr>
          <w:rFonts w:asciiTheme="majorEastAsia" w:eastAsiaTheme="majorEastAsia" w:hAnsiTheme="majorEastAsia" w:hint="eastAsia"/>
          <w:sz w:val="24"/>
        </w:rPr>
        <w:t>.</w:t>
      </w:r>
      <w:r w:rsidR="00571F5E" w:rsidRPr="005128AA">
        <w:rPr>
          <w:rFonts w:asciiTheme="majorEastAsia" w:hAnsiTheme="majorEastAsia"/>
          <w:sz w:val="24"/>
        </w:rPr>
        <w:t xml:space="preserve"> 本基金参与转融通证券出借交易</w:t>
      </w:r>
      <w:r w:rsidR="00571F5E" w:rsidRPr="005128AA">
        <w:rPr>
          <w:rFonts w:asciiTheme="majorEastAsia" w:hAnsiTheme="majorEastAsia" w:hint="eastAsia"/>
          <w:sz w:val="24"/>
        </w:rPr>
        <w:t>应当符合以下要求：</w:t>
      </w:r>
    </w:p>
    <w:p w14:paraId="7A6172A6" w14:textId="32236F41" w:rsidR="00571F5E" w:rsidRPr="005128AA" w:rsidRDefault="00571F5E" w:rsidP="005128AA">
      <w:pPr>
        <w:adjustRightInd w:val="0"/>
        <w:snapToGrid w:val="0"/>
        <w:spacing w:line="360" w:lineRule="auto"/>
        <w:ind w:firstLineChars="200" w:firstLine="480"/>
        <w:rPr>
          <w:rFonts w:asciiTheme="majorEastAsia" w:hAnsiTheme="majorEastAsia"/>
          <w:sz w:val="24"/>
        </w:rPr>
      </w:pPr>
      <w:r w:rsidRPr="005128AA">
        <w:rPr>
          <w:rFonts w:asciiTheme="majorEastAsia" w:hAnsiTheme="majorEastAsia"/>
          <w:sz w:val="24"/>
        </w:rPr>
        <w:lastRenderedPageBreak/>
        <w:t>1）</w:t>
      </w:r>
      <w:r w:rsidRPr="005128AA">
        <w:rPr>
          <w:rFonts w:asciiTheme="majorEastAsia" w:hAnsiTheme="majorEastAsia" w:hint="eastAsia"/>
          <w:sz w:val="24"/>
        </w:rPr>
        <w:t>出借证券资产不得超过基金资产净值的</w:t>
      </w:r>
      <w:r w:rsidRPr="005128AA">
        <w:rPr>
          <w:rFonts w:asciiTheme="majorEastAsia" w:hAnsiTheme="majorEastAsia"/>
          <w:sz w:val="24"/>
        </w:rPr>
        <w:t>30%，出借期限在10</w:t>
      </w:r>
      <w:r w:rsidRPr="005128AA">
        <w:rPr>
          <w:rFonts w:asciiTheme="majorEastAsia" w:hAnsiTheme="majorEastAsia" w:hint="eastAsia"/>
          <w:sz w:val="24"/>
        </w:rPr>
        <w:t>个交易日以上的出借证券应纳入《流动性风险管理规定》所述流动性受限证券的范围；</w:t>
      </w:r>
    </w:p>
    <w:p w14:paraId="07783216" w14:textId="77777777" w:rsidR="00571F5E" w:rsidRPr="005128AA" w:rsidRDefault="00571F5E" w:rsidP="005128AA">
      <w:pPr>
        <w:adjustRightInd w:val="0"/>
        <w:snapToGrid w:val="0"/>
        <w:spacing w:line="360" w:lineRule="auto"/>
        <w:ind w:firstLineChars="200" w:firstLine="480"/>
        <w:rPr>
          <w:rFonts w:asciiTheme="majorEastAsia" w:hAnsiTheme="majorEastAsia"/>
          <w:sz w:val="24"/>
        </w:rPr>
      </w:pPr>
      <w:r w:rsidRPr="005128AA">
        <w:rPr>
          <w:rFonts w:asciiTheme="majorEastAsia" w:hAnsiTheme="majorEastAsia"/>
          <w:sz w:val="24"/>
        </w:rPr>
        <w:t>2）</w:t>
      </w:r>
      <w:r w:rsidRPr="005128AA">
        <w:rPr>
          <w:rFonts w:asciiTheme="majorEastAsia" w:hAnsiTheme="majorEastAsia" w:hint="eastAsia"/>
          <w:sz w:val="24"/>
        </w:rPr>
        <w:t>参与出借业务的单只证券不得超过基金持有该证券总量的</w:t>
      </w:r>
      <w:r w:rsidRPr="005128AA">
        <w:rPr>
          <w:rFonts w:asciiTheme="majorEastAsia" w:hAnsiTheme="majorEastAsia"/>
          <w:sz w:val="24"/>
        </w:rPr>
        <w:t>30%；</w:t>
      </w:r>
    </w:p>
    <w:p w14:paraId="29261923" w14:textId="2403BB81" w:rsidR="00571F5E" w:rsidRPr="005128AA" w:rsidRDefault="00571F5E" w:rsidP="005128AA">
      <w:pPr>
        <w:adjustRightInd w:val="0"/>
        <w:snapToGrid w:val="0"/>
        <w:spacing w:line="360" w:lineRule="auto"/>
        <w:ind w:firstLineChars="200" w:firstLine="480"/>
        <w:rPr>
          <w:rFonts w:asciiTheme="majorEastAsia" w:hAnsiTheme="majorEastAsia"/>
          <w:sz w:val="24"/>
        </w:rPr>
      </w:pPr>
      <w:r w:rsidRPr="005128AA">
        <w:rPr>
          <w:rFonts w:asciiTheme="majorEastAsia" w:hAnsiTheme="majorEastAsia"/>
          <w:sz w:val="24"/>
        </w:rPr>
        <w:t>3）</w:t>
      </w:r>
      <w:r w:rsidRPr="005128AA">
        <w:rPr>
          <w:rFonts w:asciiTheme="majorEastAsia" w:hAnsiTheme="majorEastAsia" w:hint="eastAsia"/>
          <w:sz w:val="24"/>
        </w:rPr>
        <w:t>最近</w:t>
      </w:r>
      <w:r w:rsidRPr="005128AA">
        <w:rPr>
          <w:rFonts w:asciiTheme="majorEastAsia" w:hAnsiTheme="majorEastAsia"/>
          <w:sz w:val="24"/>
        </w:rPr>
        <w:t>6</w:t>
      </w:r>
      <w:r w:rsidRPr="005128AA">
        <w:rPr>
          <w:rFonts w:asciiTheme="majorEastAsia" w:hAnsiTheme="majorEastAsia" w:hint="eastAsia"/>
          <w:sz w:val="24"/>
        </w:rPr>
        <w:t>个月内日均基金资产净值不得低于</w:t>
      </w:r>
      <w:r w:rsidRPr="005128AA">
        <w:rPr>
          <w:rFonts w:asciiTheme="majorEastAsia" w:hAnsiTheme="majorEastAsia"/>
          <w:sz w:val="24"/>
        </w:rPr>
        <w:t>2</w:t>
      </w:r>
      <w:r w:rsidRPr="005128AA">
        <w:rPr>
          <w:rFonts w:asciiTheme="majorEastAsia" w:hAnsiTheme="majorEastAsia" w:hint="eastAsia"/>
          <w:sz w:val="24"/>
        </w:rPr>
        <w:t>亿元；</w:t>
      </w:r>
    </w:p>
    <w:p w14:paraId="359F0E76" w14:textId="3E3D12C3" w:rsidR="00571F5E" w:rsidRPr="005128AA" w:rsidRDefault="00571F5E" w:rsidP="005128AA">
      <w:pPr>
        <w:adjustRightInd w:val="0"/>
        <w:snapToGrid w:val="0"/>
        <w:spacing w:line="360" w:lineRule="auto"/>
        <w:ind w:firstLineChars="200" w:firstLine="480"/>
        <w:rPr>
          <w:rFonts w:asciiTheme="majorEastAsia" w:hAnsiTheme="majorEastAsia"/>
          <w:sz w:val="24"/>
        </w:rPr>
      </w:pPr>
      <w:r w:rsidRPr="005128AA">
        <w:rPr>
          <w:rFonts w:asciiTheme="majorEastAsia" w:hAnsiTheme="majorEastAsia"/>
          <w:sz w:val="24"/>
        </w:rPr>
        <w:t>4）</w:t>
      </w:r>
      <w:r w:rsidRPr="005128AA">
        <w:rPr>
          <w:rFonts w:asciiTheme="majorEastAsia" w:hAnsiTheme="majorEastAsia" w:hint="eastAsia"/>
          <w:sz w:val="24"/>
        </w:rPr>
        <w:t>证券出借的平均剩余期限不得超过</w:t>
      </w:r>
      <w:r w:rsidRPr="005128AA">
        <w:rPr>
          <w:rFonts w:asciiTheme="majorEastAsia" w:hAnsiTheme="majorEastAsia"/>
          <w:sz w:val="24"/>
        </w:rPr>
        <w:t>30</w:t>
      </w:r>
      <w:r w:rsidRPr="005128AA">
        <w:rPr>
          <w:rFonts w:asciiTheme="majorEastAsia" w:hAnsiTheme="majorEastAsia" w:hint="eastAsia"/>
          <w:sz w:val="24"/>
        </w:rPr>
        <w:t>天，平均剩余期限按照市值加权平均计算；</w:t>
      </w:r>
    </w:p>
    <w:p w14:paraId="532AFAE1" w14:textId="18B8100F" w:rsidR="0072718F" w:rsidRPr="00F56F71" w:rsidRDefault="00571F5E" w:rsidP="005128AA">
      <w:pPr>
        <w:adjustRightInd w:val="0"/>
        <w:snapToGrid w:val="0"/>
        <w:spacing w:line="360" w:lineRule="auto"/>
        <w:ind w:firstLineChars="200" w:firstLine="480"/>
        <w:rPr>
          <w:rFonts w:asciiTheme="majorEastAsia" w:eastAsiaTheme="majorEastAsia" w:hAnsiTheme="majorEastAsia"/>
          <w:sz w:val="24"/>
        </w:rPr>
      </w:pPr>
      <w:r w:rsidRPr="005128AA">
        <w:rPr>
          <w:rFonts w:asciiTheme="majorEastAsia" w:hAnsiTheme="majorEastAsia" w:hint="eastAsia"/>
          <w:sz w:val="24"/>
        </w:rPr>
        <w:t>因证券市场波动、上市公司合并、基金规模变动等基金管理人之外的因素致使基金投资不符合本条规定的，基金管理人不得新增出借业务</w:t>
      </w:r>
      <w:r w:rsidR="0072718F" w:rsidRPr="00F56F71">
        <w:rPr>
          <w:rFonts w:asciiTheme="majorEastAsia" w:eastAsiaTheme="majorEastAsia" w:hAnsiTheme="majorEastAsia" w:hint="eastAsia"/>
          <w:sz w:val="24"/>
        </w:rPr>
        <w:t>；</w:t>
      </w:r>
    </w:p>
    <w:p w14:paraId="32E76F58" w14:textId="0C94252F" w:rsidR="0072718F"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13</w:t>
      </w:r>
      <w:r w:rsidR="0072718F" w:rsidRPr="00F56F71">
        <w:rPr>
          <w:rFonts w:asciiTheme="majorEastAsia" w:eastAsiaTheme="majorEastAsia" w:hAnsiTheme="majorEastAsia" w:hint="eastAsia"/>
          <w:sz w:val="24"/>
        </w:rPr>
        <w:t>.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20%。其中，合约面值按照行权价乘以合约乘数计算；</w:t>
      </w:r>
    </w:p>
    <w:p w14:paraId="73A74221" w14:textId="12C5525E" w:rsidR="0072718F"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14</w:t>
      </w:r>
      <w:r w:rsidR="0072718F" w:rsidRPr="00F56F71">
        <w:rPr>
          <w:rFonts w:asciiTheme="majorEastAsia" w:eastAsiaTheme="majorEastAsia" w:hAnsiTheme="majorEastAsia"/>
          <w:sz w:val="24"/>
        </w:rPr>
        <w:t>.</w:t>
      </w:r>
      <w:r w:rsidR="0072718F" w:rsidRPr="00F56F71">
        <w:rPr>
          <w:rFonts w:asciiTheme="majorEastAsia" w:eastAsiaTheme="majorEastAsia" w:hAnsiTheme="majorEastAsia" w:hint="eastAsia"/>
          <w:sz w:val="24"/>
        </w:rPr>
        <w:t>本基金投资流通受限证券，基金管理人应制订严格的投资决策流程和风险控制制度，防范流动性风险、法律风险和操作风险等各种风险；</w:t>
      </w:r>
    </w:p>
    <w:p w14:paraId="72A0F0E9" w14:textId="7D2C8676" w:rsidR="0072718F"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15</w:t>
      </w:r>
      <w:r w:rsidR="0072718F" w:rsidRPr="00F56F71">
        <w:rPr>
          <w:rFonts w:asciiTheme="majorEastAsia" w:eastAsiaTheme="majorEastAsia" w:hAnsiTheme="majorEastAsia"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46FD7A" w14:textId="1BFA916E" w:rsidR="0072718F" w:rsidRPr="00F56F71" w:rsidRDefault="009E1B69" w:rsidP="000A02E9">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16</w:t>
      </w:r>
      <w:r w:rsidR="0072718F" w:rsidRPr="00F56F71">
        <w:rPr>
          <w:rFonts w:asciiTheme="majorEastAsia" w:eastAsiaTheme="majorEastAsia" w:hAnsiTheme="majorEastAsia" w:hint="eastAsia"/>
          <w:sz w:val="24"/>
        </w:rPr>
        <w:t>.本基金与私募类证券资管产品及中国证监会认定的其他主体为交易对手开展逆回购交易的，可接受质押品的资质要求应当与基金合同约定的投资范围保持一致；</w:t>
      </w:r>
    </w:p>
    <w:p w14:paraId="7576FB46" w14:textId="3C3DE1D1" w:rsidR="003A5994"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17</w:t>
      </w:r>
      <w:r w:rsidR="0072718F" w:rsidRPr="00F56F71">
        <w:rPr>
          <w:rFonts w:asciiTheme="majorEastAsia" w:eastAsiaTheme="majorEastAsia" w:hAnsiTheme="majorEastAsia" w:hint="eastAsia"/>
          <w:sz w:val="24"/>
        </w:rPr>
        <w:t>.法律法规及中国证监会规定的和《基金合同》约定的其他投资限制。</w:t>
      </w:r>
    </w:p>
    <w:p w14:paraId="41D0E465" w14:textId="2D911312"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除</w:t>
      </w:r>
      <w:r w:rsidR="009E1B69" w:rsidRPr="00F56F71">
        <w:rPr>
          <w:rFonts w:asciiTheme="majorEastAsia" w:eastAsiaTheme="majorEastAsia" w:hAnsiTheme="majorEastAsia" w:hint="eastAsia"/>
          <w:sz w:val="24"/>
        </w:rPr>
        <w:t>第</w:t>
      </w:r>
      <w:r w:rsidR="009E1B69" w:rsidRPr="00F56F71">
        <w:rPr>
          <w:rFonts w:asciiTheme="majorEastAsia" w:eastAsiaTheme="majorEastAsia" w:hAnsiTheme="majorEastAsia"/>
          <w:sz w:val="24"/>
        </w:rPr>
        <w:t>7</w:t>
      </w:r>
      <w:r w:rsidR="006806EA" w:rsidRPr="00F56F71">
        <w:rPr>
          <w:rFonts w:asciiTheme="majorEastAsia" w:eastAsiaTheme="majorEastAsia" w:hAnsiTheme="majorEastAsia" w:hint="eastAsia"/>
          <w:sz w:val="24"/>
        </w:rPr>
        <w:t>、</w:t>
      </w:r>
      <w:r w:rsidR="009224E0" w:rsidRPr="00F56F71">
        <w:rPr>
          <w:rFonts w:asciiTheme="majorEastAsia" w:eastAsiaTheme="majorEastAsia" w:hAnsiTheme="majorEastAsia" w:hint="eastAsia"/>
          <w:sz w:val="24"/>
        </w:rPr>
        <w:t>12</w:t>
      </w:r>
      <w:r w:rsidR="009224E0" w:rsidRPr="00F56F71">
        <w:rPr>
          <w:rFonts w:asciiTheme="majorEastAsia" w:hAnsiTheme="majorEastAsia" w:hint="eastAsia"/>
          <w:sz w:val="24"/>
        </w:rPr>
        <w:t>、</w:t>
      </w:r>
      <w:r w:rsidR="009E1B69" w:rsidRPr="00F56F71">
        <w:rPr>
          <w:rFonts w:asciiTheme="majorEastAsia" w:hAnsiTheme="majorEastAsia"/>
          <w:sz w:val="24"/>
        </w:rPr>
        <w:t>1</w:t>
      </w:r>
      <w:r w:rsidR="009E1B69" w:rsidRPr="00F56F71">
        <w:rPr>
          <w:rFonts w:asciiTheme="majorEastAsia" w:eastAsiaTheme="majorEastAsia" w:hAnsiTheme="majorEastAsia"/>
          <w:sz w:val="24"/>
        </w:rPr>
        <w:t>5</w:t>
      </w:r>
      <w:r w:rsidR="006806EA" w:rsidRPr="00F56F71">
        <w:rPr>
          <w:rFonts w:asciiTheme="majorEastAsia" w:eastAsiaTheme="majorEastAsia" w:hAnsiTheme="majorEastAsia" w:hint="eastAsia"/>
          <w:sz w:val="24"/>
        </w:rPr>
        <w:t>、</w:t>
      </w:r>
      <w:r w:rsidR="009E1B69" w:rsidRPr="00F56F71">
        <w:rPr>
          <w:rFonts w:asciiTheme="majorEastAsia" w:eastAsiaTheme="majorEastAsia" w:hAnsiTheme="majorEastAsia"/>
          <w:sz w:val="24"/>
        </w:rPr>
        <w:t>16</w:t>
      </w:r>
      <w:r w:rsidR="009E1B69" w:rsidRPr="00F56F71">
        <w:rPr>
          <w:rFonts w:asciiTheme="majorEastAsia" w:eastAsiaTheme="majorEastAsia" w:hAnsiTheme="majorEastAsia" w:hint="eastAsia"/>
          <w:sz w:val="24"/>
        </w:rPr>
        <w:t>条</w:t>
      </w:r>
      <w:r w:rsidRPr="00F56F71">
        <w:rPr>
          <w:rFonts w:asciiTheme="majorEastAsia" w:eastAsiaTheme="majorEastAsia" w:hAnsiTheme="majorEastAsia" w:hint="eastAsia"/>
          <w:sz w:val="24"/>
        </w:rPr>
        <w:t>外，因证券</w:t>
      </w:r>
      <w:r w:rsidR="009E1B69" w:rsidRPr="00F56F71">
        <w:rPr>
          <w:rFonts w:asciiTheme="majorEastAsia" w:eastAsiaTheme="majorEastAsia" w:hAnsiTheme="majorEastAsia" w:hint="eastAsia"/>
          <w:sz w:val="24"/>
        </w:rPr>
        <w:t>/期货</w:t>
      </w:r>
      <w:r w:rsidRPr="00F56F71">
        <w:rPr>
          <w:rFonts w:asciiTheme="majorEastAsia" w:eastAsiaTheme="majorEastAsia" w:hAnsiTheme="majorEastAsia" w:hint="eastAsia"/>
          <w:sz w:val="24"/>
        </w:rPr>
        <w:t>市场波动、</w:t>
      </w:r>
      <w:r w:rsidR="009E1B69" w:rsidRPr="00F56F71">
        <w:rPr>
          <w:rFonts w:asciiTheme="majorEastAsia" w:eastAsiaTheme="majorEastAsia" w:hAnsiTheme="majorEastAsia" w:hint="eastAsia"/>
          <w:sz w:val="24"/>
        </w:rPr>
        <w:t>证券发行人</w:t>
      </w:r>
      <w:r w:rsidRPr="00F56F71">
        <w:rPr>
          <w:rFonts w:asciiTheme="majorEastAsia" w:eastAsiaTheme="majorEastAsia" w:hAnsiTheme="majorEastAsia" w:hint="eastAsia"/>
          <w:sz w:val="24"/>
        </w:rPr>
        <w:t>合并、基金规模变动</w:t>
      </w:r>
      <w:r w:rsidR="009E1B69" w:rsidRPr="00F56F71">
        <w:rPr>
          <w:rFonts w:asciiTheme="majorEastAsia" w:eastAsiaTheme="majorEastAsia" w:hAnsiTheme="majorEastAsia" w:hint="eastAsia"/>
          <w:sz w:val="24"/>
        </w:rPr>
        <w:t>、标的指数成份股调整、标的指数成份股流动性限制</w:t>
      </w:r>
      <w:r w:rsidRPr="00F56F71">
        <w:rPr>
          <w:rFonts w:asciiTheme="majorEastAsia" w:eastAsiaTheme="majorEastAsia" w:hAnsiTheme="majorEastAsia" w:hint="eastAsia"/>
          <w:sz w:val="24"/>
        </w:rPr>
        <w:t>等基金管理人之外的因素致使基金投资比例不符合上述规定投资比例的，基金管理人应当在10个交易日内进行调整，但中国证监会规定的特殊情形除外。</w:t>
      </w:r>
    </w:p>
    <w:p w14:paraId="05D6D03C" w14:textId="2CAB3DAE"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基金管理人应当自基金合同生效之日起</w:t>
      </w:r>
      <w:r w:rsidR="006806EA" w:rsidRPr="00F56F71">
        <w:rPr>
          <w:rFonts w:asciiTheme="majorEastAsia" w:eastAsiaTheme="majorEastAsia" w:hAnsiTheme="majorEastAsia" w:hint="eastAsia"/>
          <w:sz w:val="24"/>
        </w:rPr>
        <w:t>6</w:t>
      </w:r>
      <w:r w:rsidRPr="00F56F71">
        <w:rPr>
          <w:rFonts w:asciiTheme="majorEastAsia" w:eastAsiaTheme="majorEastAsia" w:hAnsiTheme="maj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w:t>
      </w:r>
      <w:r w:rsidRPr="00F56F71">
        <w:rPr>
          <w:rFonts w:asciiTheme="majorEastAsia" w:eastAsiaTheme="majorEastAsia" w:hAnsiTheme="majorEastAsia" w:hint="eastAsia"/>
          <w:sz w:val="24"/>
        </w:rPr>
        <w:lastRenderedPageBreak/>
        <w:t>始。</w:t>
      </w:r>
    </w:p>
    <w:p w14:paraId="0A97EBC1" w14:textId="205EE65F" w:rsidR="009E1B69" w:rsidRPr="00F56F71" w:rsidRDefault="009E1B6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法律法规或监管部门取消或调整上述限制，如适用于本基金，基金管理人在履行适当程序后，则本基金投资不再受相关限制或按照调整后的规定执行。</w:t>
      </w:r>
    </w:p>
    <w:p w14:paraId="1CFF4399" w14:textId="4069F78E"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（三）基金托管人</w:t>
      </w:r>
      <w:bookmarkStart w:id="4" w:name="OLE_LINK1"/>
      <w:r w:rsidRPr="00F56F71">
        <w:rPr>
          <w:rFonts w:asciiTheme="majorEastAsia" w:eastAsiaTheme="majorEastAsia" w:hAnsiTheme="majorEastAsia" w:hint="eastAsia"/>
          <w:sz w:val="24"/>
        </w:rPr>
        <w:t>根据有关法律法规的规定及《基金合同》的约定，</w:t>
      </w:r>
      <w:bookmarkEnd w:id="4"/>
      <w:r w:rsidRPr="00F56F71">
        <w:rPr>
          <w:rFonts w:asciiTheme="majorEastAsia" w:eastAsiaTheme="majorEastAsia" w:hAnsiTheme="majorEastAsia" w:hint="eastAsia"/>
          <w:sz w:val="24"/>
        </w:rPr>
        <w:t>对本托管协议第十五条</w:t>
      </w:r>
      <w:r w:rsidRPr="00F56F71">
        <w:rPr>
          <w:rFonts w:asciiTheme="majorEastAsia" w:eastAsiaTheme="majorEastAsia" w:hAnsiTheme="majorEastAsia" w:cs="Arial" w:hint="eastAsia"/>
          <w:sz w:val="24"/>
        </w:rPr>
        <w:t>第</w:t>
      </w:r>
      <w:r w:rsidR="003E526B" w:rsidRPr="00F56F71">
        <w:rPr>
          <w:rFonts w:asciiTheme="majorEastAsia" w:eastAsiaTheme="majorEastAsia" w:hAnsiTheme="majorEastAsia" w:cs="Arial" w:hint="eastAsia"/>
          <w:sz w:val="24"/>
        </w:rPr>
        <w:t>（</w:t>
      </w:r>
      <w:r w:rsidRPr="00F56F71">
        <w:rPr>
          <w:rFonts w:asciiTheme="majorEastAsia" w:eastAsiaTheme="majorEastAsia" w:hAnsiTheme="majorEastAsia" w:cs="Arial" w:hint="eastAsia"/>
          <w:sz w:val="24"/>
        </w:rPr>
        <w:t>九</w:t>
      </w:r>
      <w:r w:rsidR="003E526B"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款基金投资禁止行为通过事后监督方式进行监督。</w:t>
      </w:r>
    </w:p>
    <w:p w14:paraId="07D10819" w14:textId="3C4AD708" w:rsidR="003A5994" w:rsidRPr="00F56F71" w:rsidRDefault="008E3C99"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F56F71">
        <w:rPr>
          <w:rFonts w:asciiTheme="majorEastAsia" w:eastAsiaTheme="majorEastAsia" w:hAnsiTheme="majorEastAsia" w:cs="Arial" w:hint="eastAsia"/>
          <w:sz w:val="24"/>
        </w:rPr>
        <w:t>建立健全内部审批机制和评估机制，按照市场公平合理价格执行。</w:t>
      </w:r>
      <w:r w:rsidRPr="00F56F71">
        <w:rPr>
          <w:rFonts w:asciiTheme="majorEastAsia" w:eastAsiaTheme="majorEastAsia" w:hAnsiTheme="majorEastAsia" w:hint="eastAsia"/>
          <w:sz w:val="24"/>
        </w:rPr>
        <w:t>相关交易必须事先得到基金托管人的同意，并</w:t>
      </w:r>
      <w:r w:rsidRPr="00F56F71">
        <w:rPr>
          <w:rFonts w:asciiTheme="majorEastAsia" w:eastAsiaTheme="majorEastAsia" w:hAnsiTheme="majorEastAsia" w:cs="Arial" w:hint="eastAsia"/>
          <w:sz w:val="24"/>
        </w:rPr>
        <w:t>按法律法规予以披露。重大关联交易应提交基金管理人董事会审议，并经过三分之二以上的独立董事通过。基金管理人董事会应至少每半年对关联交易事项进行审查</w:t>
      </w:r>
      <w:r w:rsidRPr="00F56F71">
        <w:rPr>
          <w:rFonts w:asciiTheme="majorEastAsia" w:eastAsiaTheme="majorEastAsia" w:hAnsiTheme="majorEastAsia" w:hint="eastAsia"/>
          <w:sz w:val="24"/>
        </w:rPr>
        <w:t>。</w:t>
      </w:r>
    </w:p>
    <w:p w14:paraId="79304D7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rPr>
      </w:pPr>
      <w:r w:rsidRPr="00F56F71">
        <w:rPr>
          <w:rFonts w:asciiTheme="majorEastAsia" w:eastAsiaTheme="majorEastAsia" w:hAnsiTheme="majorEastAsia"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56F71">
        <w:rPr>
          <w:rFonts w:asciiTheme="majorEastAsia" w:eastAsiaTheme="majorEastAsia" w:hAnsiTheme="majorEastAsia"/>
          <w:sz w:val="24"/>
        </w:rPr>
        <w:t>3个工作日内与基金托管人协商解决。</w:t>
      </w:r>
    </w:p>
    <w:p w14:paraId="4D17E84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rPr>
      </w:pPr>
      <w:r w:rsidRPr="00F56F71">
        <w:rPr>
          <w:rFonts w:asciiTheme="majorEastAsia" w:eastAsiaTheme="majorEastAsia" w:hAnsiTheme="majorEastAsia" w:hint="eastAsia"/>
          <w:color w:val="000000"/>
          <w:sz w:val="24"/>
        </w:rPr>
        <w:t>基金管理人负责对交易对手的资信控制，按银行间债券市场的交易规则进行交易，并</w:t>
      </w:r>
      <w:r w:rsidRPr="00F56F71">
        <w:rPr>
          <w:rFonts w:asciiTheme="majorEastAsia" w:eastAsiaTheme="majorEastAsia" w:hAnsiTheme="maj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56F71">
        <w:rPr>
          <w:rFonts w:asciiTheme="majorEastAsia" w:eastAsiaTheme="majorEastAsia" w:hAnsiTheme="majorEastAsia"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w:t>
      </w:r>
      <w:r w:rsidRPr="00F56F71">
        <w:rPr>
          <w:rFonts w:asciiTheme="majorEastAsia" w:eastAsiaTheme="majorEastAsia" w:hAnsiTheme="majorEastAsia" w:hint="eastAsia"/>
          <w:color w:val="000000"/>
          <w:sz w:val="24"/>
        </w:rPr>
        <w:lastRenderedPageBreak/>
        <w:t>管理人，基金托管人不承担由此造成的任何损失和责任。</w:t>
      </w:r>
    </w:p>
    <w:p w14:paraId="2935D75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（五）基金托管人根据有关法律法规的规定及《基金合同》的约定，对基金管理人投资流通受限证券进行监督。</w:t>
      </w:r>
    </w:p>
    <w:p w14:paraId="1193C4C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CF0F6C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33762F7"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EDC8C8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E08C99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本基金投资流通受限证券，不得预付任何形式的保证金。</w:t>
      </w:r>
    </w:p>
    <w:p w14:paraId="1229E9C4"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CF9C41D" w14:textId="4A1CC05A"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r w:rsidR="00242F44" w:rsidRPr="00F56F71">
        <w:rPr>
          <w:rFonts w:asciiTheme="majorEastAsia" w:eastAsiaTheme="majorEastAsia" w:hAnsiTheme="majorEastAsia" w:hint="eastAsia"/>
          <w:sz w:val="24"/>
        </w:rPr>
        <w:t>并承担所有损失。</w:t>
      </w:r>
      <w:r w:rsidRPr="00F56F71">
        <w:rPr>
          <w:rFonts w:asciiTheme="majorEastAsia" w:eastAsiaTheme="majorEastAsia" w:hAnsiTheme="majorEastAsia" w:hint="eastAsia"/>
          <w:sz w:val="24"/>
        </w:rPr>
        <w:t>对本基金因投资流通受限证券导致的流动性风险，基金托管人不承担任何责任。如因基金管理人原</w:t>
      </w:r>
      <w:r w:rsidRPr="00F56F71">
        <w:rPr>
          <w:rFonts w:asciiTheme="majorEastAsia" w:eastAsiaTheme="majorEastAsia" w:hAnsiTheme="majorEastAsia" w:hint="eastAsia"/>
          <w:sz w:val="24"/>
        </w:rPr>
        <w:lastRenderedPageBreak/>
        <w:t>因导致本基金出现损失致使基金托管人承担连带赔偿责任的，基金管理人应赔偿基金托管人由此遭受的损失。</w:t>
      </w:r>
    </w:p>
    <w:p w14:paraId="44E58A6A"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4FBE458"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（1）中国证监会批准发行非公开发行股票的批准文件。</w:t>
      </w:r>
    </w:p>
    <w:p w14:paraId="3E73C3A9"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（2）非公开发行股票有关发行数量、发行价格、锁定期等发行资料。</w:t>
      </w:r>
    </w:p>
    <w:p w14:paraId="7A25ED01"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（3）非公开发行股票发行人与中国证券登记结算有限责任公司或中央国债登记结算有限责任公司签订的证券登记及服务协议。</w:t>
      </w:r>
    </w:p>
    <w:p w14:paraId="1C022B9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（4）基金拟认购的数量、价格、总成本、账面价值。</w:t>
      </w:r>
    </w:p>
    <w:p w14:paraId="1A4DF1E1"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3B4511EA" w14:textId="54654CE3"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本基金有关投资流通受限证券比例如违反有关限制规定，在合理期限内未能进行及时调整，基金管理人应在</w:t>
      </w:r>
      <w:r w:rsidR="00AB4500">
        <w:rPr>
          <w:rFonts w:asciiTheme="majorEastAsia" w:eastAsiaTheme="majorEastAsia" w:hAnsiTheme="majorEastAsia" w:hint="eastAsia"/>
          <w:sz w:val="24"/>
        </w:rPr>
        <w:t>按规定</w:t>
      </w:r>
      <w:r w:rsidRPr="00F56F71">
        <w:rPr>
          <w:rFonts w:asciiTheme="majorEastAsia" w:eastAsiaTheme="majorEastAsia" w:hAnsiTheme="majorEastAsia" w:hint="eastAsia"/>
          <w:sz w:val="24"/>
        </w:rPr>
        <w:t>编制临时报告书，予以公告。</w:t>
      </w:r>
    </w:p>
    <w:p w14:paraId="75CFB70A" w14:textId="22DDA936" w:rsidR="00CA69F3" w:rsidRDefault="00CA69F3" w:rsidP="00EA5F2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5.本基金</w:t>
      </w:r>
      <w:r w:rsidRPr="00CA69F3">
        <w:rPr>
          <w:rFonts w:asciiTheme="majorEastAsia" w:eastAsiaTheme="majorEastAsia" w:hAnsiTheme="majorEastAsia" w:hint="eastAsia"/>
          <w:sz w:val="24"/>
        </w:rPr>
        <w:t>参与转融通出借业务，管理人应当遵循审慎经营原则，配备技术系统和专业人员，制定科学合理的投资策略和风险管理制度，完善业务流程，有效防范和控制风险。基金托管人将对基金参与出借业务进行监督和复核。</w:t>
      </w:r>
    </w:p>
    <w:p w14:paraId="63CD1B4B" w14:textId="1BE25F2B" w:rsidR="003A5994" w:rsidRPr="00F56F71" w:rsidRDefault="00CA69F3" w:rsidP="00EA5F2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003A5994" w:rsidRPr="00F56F71">
        <w:rPr>
          <w:rFonts w:asciiTheme="majorEastAsia" w:eastAsiaTheme="majorEastAsia" w:hAnsiTheme="majorEastAsia"/>
          <w:sz w:val="24"/>
        </w:rPr>
        <w:t>.基金托管人根据有关规定有权对基金管理人进行以下事项监督：</w:t>
      </w:r>
    </w:p>
    <w:p w14:paraId="4E9CEB8E"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（1）本基金投资流通受限证券时的法律法规遵守情况。</w:t>
      </w:r>
    </w:p>
    <w:p w14:paraId="75058238"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（2）在基金投资流通受限证券管理工作方面有关制度、流动性风险处置预案的建立与完善情况。</w:t>
      </w:r>
    </w:p>
    <w:p w14:paraId="6F61A42A"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（3）有关比例限制的执行情况。</w:t>
      </w:r>
    </w:p>
    <w:p w14:paraId="0FE3C8FC"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（4）信息披露情况。</w:t>
      </w:r>
    </w:p>
    <w:p w14:paraId="30A22A6A" w14:textId="5669B283" w:rsidR="003A5994" w:rsidRPr="00F56F71" w:rsidRDefault="00CA69F3" w:rsidP="00EA5F2B">
      <w:p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w:t>
      </w:r>
      <w:r w:rsidR="003A5994" w:rsidRPr="00F56F71">
        <w:rPr>
          <w:rFonts w:asciiTheme="majorEastAsia" w:eastAsiaTheme="majorEastAsia" w:hAnsiTheme="majorEastAsia"/>
          <w:sz w:val="24"/>
        </w:rPr>
        <w:t>.相关法律法规对基金投资流通受限证券有新规定的，从其规定。</w:t>
      </w:r>
    </w:p>
    <w:p w14:paraId="5841E731" w14:textId="41B4CA1C" w:rsidR="003A5994" w:rsidRPr="00F56F71" w:rsidRDefault="006806EA"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（六</w:t>
      </w:r>
      <w:r w:rsidR="003A5994" w:rsidRPr="00F56F71">
        <w:rPr>
          <w:rFonts w:asciiTheme="majorEastAsia" w:eastAsiaTheme="majorEastAsia" w:hAnsiTheme="majorEastAsia"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34F35F6" w14:textId="4FBA7D5F" w:rsidR="003A5994" w:rsidRPr="00F56F71" w:rsidRDefault="006806EA"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w:t>
      </w:r>
      <w:r w:rsidRPr="00F56F71">
        <w:rPr>
          <w:rFonts w:asciiTheme="majorEastAsia" w:eastAsiaTheme="majorEastAsia" w:hAnsiTheme="majorEastAsia" w:cs="Arial" w:hint="eastAsia"/>
          <w:sz w:val="24"/>
        </w:rPr>
        <w:t>七</w:t>
      </w:r>
      <w:r w:rsidR="003A5994" w:rsidRPr="00F56F71">
        <w:rPr>
          <w:rFonts w:asciiTheme="majorEastAsia" w:eastAsiaTheme="majorEastAsia" w:hAnsiTheme="majorEastAsia"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0D6258A" w14:textId="40688040" w:rsidR="003A5994" w:rsidRPr="00F56F71" w:rsidRDefault="006806EA"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cs="Arial" w:hint="eastAsia"/>
          <w:sz w:val="24"/>
        </w:rPr>
        <w:t>八</w:t>
      </w:r>
      <w:r w:rsidR="003A5994" w:rsidRPr="00F56F71">
        <w:rPr>
          <w:rFonts w:asciiTheme="majorEastAsia" w:eastAsiaTheme="majorEastAsia" w:hAnsiTheme="majorEastAsia"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26AECAE" w14:textId="040CEFD2" w:rsidR="003A5994" w:rsidRPr="00F56F71" w:rsidRDefault="006806EA"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cs="Arial" w:hint="eastAsia"/>
          <w:sz w:val="24"/>
        </w:rPr>
        <w:t>九</w:t>
      </w:r>
      <w:r w:rsidR="003A5994" w:rsidRPr="00F56F71">
        <w:rPr>
          <w:rFonts w:asciiTheme="majorEastAsia" w:eastAsiaTheme="majorEastAsia" w:hAnsiTheme="majorEastAsia"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B06CF58" w14:textId="7F58F339"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cs="Arial" w:hint="eastAsia"/>
          <w:sz w:val="24"/>
        </w:rPr>
        <w:t>十</w:t>
      </w:r>
      <w:r w:rsidRPr="00F56F71">
        <w:rPr>
          <w:rFonts w:asciiTheme="majorEastAsia" w:eastAsiaTheme="majorEastAsia" w:hAnsiTheme="maj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F4D0776" w14:textId="77777777" w:rsidR="003A5994" w:rsidRPr="00F56F71" w:rsidRDefault="003A5994" w:rsidP="00EA5F2B">
      <w:pPr>
        <w:spacing w:line="360" w:lineRule="auto"/>
        <w:rPr>
          <w:rFonts w:asciiTheme="majorEastAsia" w:eastAsiaTheme="majorEastAsia" w:hAnsiTheme="majorEastAsia"/>
          <w:sz w:val="24"/>
        </w:rPr>
      </w:pPr>
    </w:p>
    <w:p w14:paraId="146F3A93"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14"/>
          <w:pgSz w:w="11906" w:h="16838" w:code="9"/>
          <w:pgMar w:top="1418" w:right="1701" w:bottom="1418" w:left="1701" w:header="851" w:footer="992" w:gutter="0"/>
          <w:pgNumType w:start="1"/>
          <w:cols w:space="425"/>
          <w:docGrid w:type="lines" w:linePitch="312"/>
        </w:sect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p>
    <w:p w14:paraId="6923FEF3" w14:textId="6C1C4AD2"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4F89C40" w14:textId="39EE81F6"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（一）基金管理人对基金托管人履行托管职责情况进行核查，核查事项包括基金托管人安全保管基金财产、开设基金财产的资金账户和证券账户</w:t>
      </w:r>
      <w:r w:rsidR="00284321" w:rsidRPr="00F56F71">
        <w:rPr>
          <w:rFonts w:asciiTheme="majorEastAsia" w:eastAsiaTheme="majorEastAsia" w:hAnsiTheme="majorEastAsia" w:cs="Arial" w:hint="eastAsia"/>
          <w:sz w:val="24"/>
        </w:rPr>
        <w:t>等投资</w:t>
      </w:r>
      <w:r w:rsidR="00284321" w:rsidRPr="00F56F71">
        <w:rPr>
          <w:rFonts w:asciiTheme="majorEastAsia" w:eastAsiaTheme="majorEastAsia" w:hAnsiTheme="majorEastAsia" w:cs="Arial"/>
          <w:sz w:val="24"/>
        </w:rPr>
        <w:t>所需账户</w:t>
      </w:r>
      <w:r w:rsidRPr="00F56F71">
        <w:rPr>
          <w:rFonts w:asciiTheme="majorEastAsia" w:eastAsiaTheme="majorEastAsia" w:hAnsiTheme="majorEastAsia" w:hint="eastAsia"/>
          <w:sz w:val="24"/>
        </w:rPr>
        <w:t>、复核基金管理人计算的基金资产净值和基金份额净值、根据基金管理人指令办理清算交收、相关信息披露和监督基金投资运作等行为。</w:t>
      </w:r>
    </w:p>
    <w:p w14:paraId="708F1345"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33DF8"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7CD2F55" w14:textId="77777777" w:rsidR="003A5994" w:rsidRPr="00F56F71" w:rsidRDefault="003A5994" w:rsidP="00EA5F2B">
      <w:pPr>
        <w:spacing w:line="360" w:lineRule="auto"/>
        <w:rPr>
          <w:rFonts w:asciiTheme="majorEastAsia" w:eastAsiaTheme="majorEastAsia" w:hAnsiTheme="majorEastAsia"/>
          <w:sz w:val="24"/>
        </w:rPr>
      </w:pPr>
    </w:p>
    <w:p w14:paraId="0FEA4A41"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15"/>
          <w:pgSz w:w="11906" w:h="16838" w:code="9"/>
          <w:pgMar w:top="1418" w:right="1701" w:bottom="1418" w:left="1701" w:header="851" w:footer="992" w:gutter="0"/>
          <w:pgNumType w:start="1"/>
          <w:cols w:space="425"/>
          <w:docGrid w:type="lines" w:linePitch="312"/>
        </w:sect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p>
    <w:p w14:paraId="359D9A5C" w14:textId="0A26DC9E"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A378406"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（一）基金财产保管的原则</w:t>
      </w:r>
    </w:p>
    <w:p w14:paraId="3ED0DAC2"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1.基金财产应独立于基金管理人、基金托管人的固有财产。</w:t>
      </w:r>
    </w:p>
    <w:p w14:paraId="6D6512A0"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2.基金托管人应安全保管基金财产。</w:t>
      </w:r>
    </w:p>
    <w:p w14:paraId="59886F45" w14:textId="43D34A25"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3.基金托管人按照规定开设基金财产的资金账户和证券账户</w:t>
      </w:r>
      <w:r w:rsidR="00284321" w:rsidRPr="00F56F71">
        <w:rPr>
          <w:rFonts w:asciiTheme="majorEastAsia" w:eastAsiaTheme="majorEastAsia" w:hAnsiTheme="majorEastAsia" w:cs="Arial" w:hint="eastAsia"/>
          <w:sz w:val="24"/>
        </w:rPr>
        <w:t>等</w:t>
      </w:r>
      <w:r w:rsidR="00284321" w:rsidRPr="00F56F71">
        <w:rPr>
          <w:rFonts w:asciiTheme="majorEastAsia" w:eastAsiaTheme="majorEastAsia" w:hAnsiTheme="majorEastAsia" w:cs="Arial"/>
          <w:sz w:val="24"/>
        </w:rPr>
        <w:t>投资所需账户</w:t>
      </w:r>
      <w:r w:rsidRPr="00F56F71">
        <w:rPr>
          <w:rFonts w:asciiTheme="majorEastAsia" w:eastAsiaTheme="majorEastAsia" w:hAnsiTheme="majorEastAsia" w:hint="eastAsia"/>
          <w:sz w:val="24"/>
        </w:rPr>
        <w:t>。</w:t>
      </w:r>
    </w:p>
    <w:p w14:paraId="6221A0AD"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4.基金托管人对所托管的不同基金财产分别设置账户，确保基金财产的完整与独立。</w:t>
      </w:r>
    </w:p>
    <w:p w14:paraId="3F1DFB4B"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C3E3C0B"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A925CFE"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7.除依据法律法规和《基金合同》的规定外，基金托管人不得委托第三人托管基金财产。</w:t>
      </w:r>
    </w:p>
    <w:p w14:paraId="5C0664CC"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（二）基金募集期间及募集资金的验资</w:t>
      </w:r>
    </w:p>
    <w:p w14:paraId="7C55CEEE" w14:textId="4F116A5A"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1.基金募集期间募集的资金应存于基金管理人在</w:t>
      </w:r>
      <w:r w:rsidR="0060753A" w:rsidRPr="00F56F71">
        <w:rPr>
          <w:rFonts w:asciiTheme="majorEastAsia" w:eastAsiaTheme="majorEastAsia" w:hAnsiTheme="majorEastAsia" w:cs="Arial"/>
          <w:sz w:val="24"/>
        </w:rPr>
        <w:t>具有</w:t>
      </w:r>
      <w:r w:rsidR="0060753A" w:rsidRPr="00F56F71">
        <w:rPr>
          <w:rFonts w:asciiTheme="majorEastAsia" w:eastAsiaTheme="majorEastAsia" w:hAnsiTheme="majorEastAsia"/>
          <w:sz w:val="24"/>
        </w:rPr>
        <w:t>托管</w:t>
      </w:r>
      <w:r w:rsidR="0060753A" w:rsidRPr="00F56F71">
        <w:rPr>
          <w:rFonts w:asciiTheme="majorEastAsia" w:eastAsiaTheme="majorEastAsia" w:hAnsiTheme="majorEastAsia" w:cs="Arial"/>
          <w:sz w:val="24"/>
        </w:rPr>
        <w:t>资格</w:t>
      </w:r>
      <w:r w:rsidR="0060753A" w:rsidRPr="00F56F71">
        <w:rPr>
          <w:rFonts w:asciiTheme="majorEastAsia" w:eastAsiaTheme="majorEastAsia" w:hAnsiTheme="majorEastAsia"/>
          <w:sz w:val="24"/>
        </w:rPr>
        <w:t>的</w:t>
      </w:r>
      <w:r w:rsidR="0060753A" w:rsidRPr="00F56F71">
        <w:rPr>
          <w:rFonts w:asciiTheme="majorEastAsia" w:eastAsiaTheme="majorEastAsia" w:hAnsiTheme="majorEastAsia" w:cs="Arial"/>
          <w:sz w:val="24"/>
        </w:rPr>
        <w:t>商业银行</w:t>
      </w:r>
      <w:r w:rsidRPr="00F56F71">
        <w:rPr>
          <w:rFonts w:asciiTheme="majorEastAsia" w:eastAsiaTheme="majorEastAsia" w:hAnsiTheme="majorEastAsia" w:hint="eastAsia"/>
          <w:sz w:val="24"/>
        </w:rPr>
        <w:t>开立的“基金募集专户”。该账户由基金管理人开立并管理。</w:t>
      </w:r>
    </w:p>
    <w:p w14:paraId="02F08517" w14:textId="76EA97AF"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2.基金募集期满或基金停止募集时，募集的基金份额总额、基金募集金额</w:t>
      </w:r>
      <w:r w:rsidR="00284321" w:rsidRPr="00F56F71">
        <w:rPr>
          <w:rFonts w:asciiTheme="majorEastAsia" w:eastAsiaTheme="majorEastAsia" w:hAnsiTheme="majorEastAsia" w:cs="Arial" w:hint="eastAsia"/>
          <w:sz w:val="24"/>
        </w:rPr>
        <w:t>（含网下股票认购所募集的股票按基金合同约定的估值方法计算的价值）</w:t>
      </w:r>
      <w:r w:rsidRPr="00F56F71">
        <w:rPr>
          <w:rFonts w:asciiTheme="majorEastAsia" w:eastAsiaTheme="majorEastAsia" w:hAnsiTheme="majorEastAsia" w:hint="eastAsia"/>
          <w:sz w:val="24"/>
        </w:rPr>
        <w:t>、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56F71">
        <w:rPr>
          <w:rFonts w:asciiTheme="majorEastAsia" w:eastAsiaTheme="majorEastAsia" w:hAnsiTheme="majorEastAsia"/>
          <w:sz w:val="24"/>
        </w:rPr>
        <w:t>2名或2名以上中国注册会计师签字方为有效。</w:t>
      </w:r>
    </w:p>
    <w:p w14:paraId="602E63F3" w14:textId="19DD3C6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3.若基金募集期限届满，未能达到《基金合同》生效的条件，由基金管理人</w:t>
      </w:r>
      <w:r w:rsidR="001B41F1" w:rsidRPr="00F56F71">
        <w:rPr>
          <w:rFonts w:asciiTheme="majorEastAsia" w:eastAsiaTheme="majorEastAsia" w:hAnsiTheme="majorEastAsia" w:cs="Arial" w:hint="eastAsia"/>
          <w:sz w:val="24"/>
        </w:rPr>
        <w:lastRenderedPageBreak/>
        <w:t>或相关机构</w:t>
      </w:r>
      <w:r w:rsidRPr="00F56F71">
        <w:rPr>
          <w:rFonts w:asciiTheme="majorEastAsia" w:eastAsiaTheme="majorEastAsia" w:hAnsiTheme="majorEastAsia" w:hint="eastAsia"/>
          <w:sz w:val="24"/>
        </w:rPr>
        <w:t>按规定办理退款</w:t>
      </w:r>
      <w:r w:rsidR="001B41F1" w:rsidRPr="00F56F71">
        <w:rPr>
          <w:rFonts w:asciiTheme="majorEastAsia" w:eastAsiaTheme="majorEastAsia" w:hAnsiTheme="majorEastAsia" w:cs="Arial" w:hint="eastAsia"/>
          <w:sz w:val="24"/>
        </w:rPr>
        <w:t>、股票解冻及返还</w:t>
      </w:r>
      <w:r w:rsidRPr="00F56F71">
        <w:rPr>
          <w:rFonts w:asciiTheme="majorEastAsia" w:eastAsiaTheme="majorEastAsia" w:hAnsiTheme="majorEastAsia" w:hint="eastAsia"/>
          <w:sz w:val="24"/>
        </w:rPr>
        <w:t>等事宜。</w:t>
      </w:r>
    </w:p>
    <w:p w14:paraId="6EBD3BA4"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（三）基金银行账户的开立和管理</w:t>
      </w:r>
    </w:p>
    <w:p w14:paraId="6CA5F5AA" w14:textId="12548C0D"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1.基金托管人</w:t>
      </w:r>
      <w:r w:rsidR="00A166AC" w:rsidRPr="00F56F71">
        <w:rPr>
          <w:rFonts w:asciiTheme="majorEastAsia" w:eastAsiaTheme="majorEastAsia" w:hAnsiTheme="majorEastAsia" w:cs="Arial" w:hint="eastAsia"/>
          <w:sz w:val="24"/>
        </w:rPr>
        <w:t>应以本</w:t>
      </w:r>
      <w:r w:rsidRPr="00F56F71">
        <w:rPr>
          <w:rFonts w:asciiTheme="majorEastAsia" w:eastAsiaTheme="majorEastAsia" w:hAnsiTheme="majorEastAsia" w:hint="eastAsia"/>
          <w:sz w:val="24"/>
        </w:rPr>
        <w:t>基金的名义在其营业机构开立基金的银行账户，并根据基金管理人合法合规的指令办理资金收付。本基金的银行预留印鉴由基金托管人保管和使用。</w:t>
      </w:r>
    </w:p>
    <w:p w14:paraId="35CE7AF6"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D50011D"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3.基金银行账户的开立和管理应符合银行业监督管理机构的有关规定。</w:t>
      </w:r>
    </w:p>
    <w:p w14:paraId="114795E5"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4.在符合法律法规规定的条件下，基金托管人可以通过基金托管人专用账户办理基金资产的支付。</w:t>
      </w:r>
    </w:p>
    <w:p w14:paraId="024E3C4D"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（四）基金证券账户和结算备付金账户的开立和管理</w:t>
      </w:r>
    </w:p>
    <w:p w14:paraId="0E6BFBBD" w14:textId="6A29DAEE"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1.基金托管人在中国证券登记结算有限责任公司</w:t>
      </w:r>
      <w:r w:rsidRPr="00F56F71">
        <w:rPr>
          <w:rFonts w:asciiTheme="majorEastAsia" w:eastAsiaTheme="majorEastAsia" w:hAnsiTheme="majorEastAsia" w:hint="eastAsia"/>
          <w:sz w:val="24"/>
        </w:rPr>
        <w:t>为基金开立基金托管人与基金联名的证券账户。</w:t>
      </w:r>
    </w:p>
    <w:p w14:paraId="5FA54A1E"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319442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3.基金证券账户的开立和证券账户卡的保管由基金托管人负责，账户资产的管理和运用由基金管理人负责。</w:t>
      </w:r>
    </w:p>
    <w:p w14:paraId="5B596609" w14:textId="1191A4BA"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证券账户</w:t>
      </w:r>
      <w:r w:rsidRPr="00F56F71">
        <w:rPr>
          <w:rFonts w:asciiTheme="majorEastAsia" w:eastAsiaTheme="majorEastAsia" w:hAnsiTheme="majorEastAsia" w:cs="Arial" w:hint="eastAsia"/>
          <w:sz w:val="24"/>
        </w:rPr>
        <w:t>开户费</w:t>
      </w:r>
      <w:r w:rsidR="00432E91" w:rsidRPr="00F56F71">
        <w:rPr>
          <w:rFonts w:asciiTheme="majorEastAsia" w:eastAsiaTheme="majorEastAsia" w:hAnsiTheme="majorEastAsia" w:cs="Arial" w:hint="eastAsia"/>
          <w:sz w:val="24"/>
        </w:rPr>
        <w:t>由</w:t>
      </w:r>
      <w:r w:rsidR="00A166AC" w:rsidRPr="00F56F71">
        <w:rPr>
          <w:rFonts w:asciiTheme="majorEastAsia" w:eastAsiaTheme="majorEastAsia" w:hAnsiTheme="majorEastAsia" w:cs="Arial" w:hint="eastAsia"/>
          <w:sz w:val="24"/>
        </w:rPr>
        <w:t>本基金财产承担。此项</w:t>
      </w:r>
      <w:r w:rsidR="00A166AC" w:rsidRPr="00F56F71">
        <w:rPr>
          <w:rFonts w:asciiTheme="majorEastAsia" w:eastAsiaTheme="majorEastAsia" w:hAnsiTheme="majorEastAsia" w:hint="eastAsia"/>
          <w:sz w:val="24"/>
        </w:rPr>
        <w:t>开户费</w:t>
      </w:r>
      <w:r w:rsidRPr="00F56F71">
        <w:rPr>
          <w:rFonts w:asciiTheme="majorEastAsia" w:eastAsiaTheme="majorEastAsia" w:hAnsiTheme="majorEastAsia" w:hint="eastAsia"/>
          <w:sz w:val="24"/>
        </w:rPr>
        <w:t>由基金管理人先行垫付</w:t>
      </w:r>
      <w:r w:rsidRPr="00F56F71">
        <w:rPr>
          <w:rFonts w:asciiTheme="majorEastAsia" w:eastAsiaTheme="majorEastAsia" w:hAnsiTheme="majorEastAsia"/>
          <w:sz w:val="24"/>
        </w:rPr>
        <w:t>,待托管产品启始运营后,基金管理人可向基金托管人发送划款指令,将代垫开户费从本基金托管资金账户中扣还基金管理人。</w:t>
      </w:r>
    </w:p>
    <w:p w14:paraId="0FAC527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0E582D7" w14:textId="3D0EA721"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5.</w:t>
      </w:r>
      <w:r w:rsidR="00E13E7E" w:rsidRPr="00F56F71">
        <w:rPr>
          <w:rFonts w:asciiTheme="majorEastAsia" w:eastAsiaTheme="majorEastAsia" w:hAnsiTheme="majorEastAsia" w:hint="eastAsia"/>
          <w:sz w:val="24"/>
        </w:rPr>
        <w:t xml:space="preserve"> 账户注销时，在遵守中国证券登记结算公司的相关规定下，由管理人和托管人协商确认主要办理人。账户注销期间，主要办理人如需另一方提供配合的，另一方应予以配合。销户完成后，主要办理人及时将相关证明提供至另一方</w:t>
      </w:r>
      <w:r w:rsidR="00A166AC" w:rsidRPr="00F56F71">
        <w:rPr>
          <w:rFonts w:asciiTheme="majorEastAsia" w:eastAsiaTheme="majorEastAsia" w:hAnsiTheme="majorEastAsia" w:hint="eastAsia"/>
          <w:sz w:val="24"/>
        </w:rPr>
        <w:t>。</w:t>
      </w:r>
    </w:p>
    <w:p w14:paraId="5FD94E7E" w14:textId="118A748C"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lastRenderedPageBreak/>
        <w:t>6.若中国证监会或其他监管机构在本托管协议订立日之后允许基金从事其他投资品种的投资业务，涉及相关账户的开立、使用的，若无相关规定，则基金托管人比照上述关于账户开立、使用的规定执行。</w:t>
      </w:r>
    </w:p>
    <w:p w14:paraId="2EA5103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（五）债券托管专户的开设和管理</w:t>
      </w:r>
    </w:p>
    <w:p w14:paraId="0D6AE82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9596E3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（六）其他账户的开立和管理</w:t>
      </w:r>
    </w:p>
    <w:p w14:paraId="56E647D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B5DDEDD"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2.法律法规等有关规定对相关账户的开立和管理另有规定的，从其规定办理。</w:t>
      </w:r>
    </w:p>
    <w:p w14:paraId="3B3B9821"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（七）基金财产投资的有关有价凭证等的保管</w:t>
      </w:r>
    </w:p>
    <w:p w14:paraId="78480DA4" w14:textId="71DDB09D" w:rsidR="003A5994" w:rsidRPr="00F56F71" w:rsidRDefault="003A5994" w:rsidP="00EA5F2B">
      <w:pPr>
        <w:adjustRightInd w:val="0"/>
        <w:snapToGrid w:val="0"/>
        <w:spacing w:line="360" w:lineRule="auto"/>
        <w:ind w:firstLineChars="200" w:firstLine="480"/>
        <w:rPr>
          <w:rFonts w:asciiTheme="majorEastAsia" w:eastAsiaTheme="majorEastAsia" w:hAnsiTheme="majorEastAsia"/>
        </w:rPr>
      </w:pPr>
      <w:r w:rsidRPr="00F56F71">
        <w:rPr>
          <w:rFonts w:asciiTheme="majorEastAsia" w:eastAsiaTheme="majorEastAsia" w:hAnsiTheme="maj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F56F71">
        <w:rPr>
          <w:rFonts w:asciiTheme="majorEastAsia" w:eastAsiaTheme="majorEastAsia" w:hAnsiTheme="majorEastAsia"/>
          <w:sz w:val="24"/>
        </w:rPr>
        <w:t>/深圳分公司/北京分公司</w:t>
      </w:r>
      <w:r w:rsidR="002D703A" w:rsidRPr="00F56F71">
        <w:rPr>
          <w:rFonts w:asciiTheme="majorEastAsia" w:eastAsiaTheme="majorEastAsia" w:hAnsiTheme="majorEastAsia" w:cs="Arial" w:hint="eastAsia"/>
          <w:sz w:val="24"/>
        </w:rPr>
        <w:t>、银行间市场清算所股份有限公司</w:t>
      </w:r>
      <w:r w:rsidRPr="00F56F71">
        <w:rPr>
          <w:rFonts w:asciiTheme="majorEastAsia" w:eastAsiaTheme="majorEastAsia" w:hAnsiTheme="majorEastAsia"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F403CBE"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（八）与基金财产有关的重大合同的保管</w:t>
      </w:r>
    </w:p>
    <w:p w14:paraId="5219B9F4" w14:textId="77777777" w:rsidR="002D703A"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F56F71">
        <w:rPr>
          <w:rFonts w:asciiTheme="majorEastAsia" w:eastAsiaTheme="majorEastAsia" w:hAnsiTheme="majorEastAsia" w:hint="eastAsia"/>
          <w:sz w:val="24"/>
        </w:rPr>
        <w:lastRenderedPageBreak/>
        <w:t>原件。基金管理人应在重大合同签署后及时以加密方式将重大合同传真给基金托管人，并在三十个工作日内将正本送达基金托管人处。重大合同的保管期限为《基金合同》终止后</w:t>
      </w:r>
      <w:r w:rsidRPr="00F56F71">
        <w:rPr>
          <w:rFonts w:asciiTheme="majorEastAsia" w:eastAsiaTheme="majorEastAsia" w:hAnsiTheme="majorEastAsia"/>
          <w:sz w:val="24"/>
        </w:rPr>
        <w:t>15年。</w:t>
      </w:r>
      <w:r w:rsidR="002D703A" w:rsidRPr="00F56F71">
        <w:rPr>
          <w:rFonts w:asciiTheme="majorEastAsia" w:eastAsiaTheme="majorEastAsia" w:hAnsiTheme="majorEastAsia" w:cs="Arial" w:hint="eastAsia"/>
          <w:sz w:val="24"/>
        </w:rPr>
        <w:t>法律法规或监管规则另有规定的从其规定。</w:t>
      </w:r>
    </w:p>
    <w:p w14:paraId="3A5ED940" w14:textId="77777777" w:rsidR="003A5994" w:rsidRPr="00F56F71" w:rsidRDefault="003A5994" w:rsidP="000A02E9">
      <w:pPr>
        <w:spacing w:line="360" w:lineRule="auto"/>
        <w:rPr>
          <w:rFonts w:asciiTheme="majorEastAsia" w:eastAsiaTheme="majorEastAsia" w:hAnsiTheme="majorEastAsia"/>
          <w:sz w:val="24"/>
        </w:rPr>
      </w:pPr>
    </w:p>
    <w:p w14:paraId="770BCE93" w14:textId="77777777" w:rsidR="00E25922" w:rsidRPr="00F56F71" w:rsidRDefault="00E25922" w:rsidP="000A02E9">
      <w:pPr>
        <w:pStyle w:val="2"/>
        <w:spacing w:line="360" w:lineRule="auto"/>
        <w:jc w:val="center"/>
        <w:rPr>
          <w:rFonts w:asciiTheme="majorEastAsia" w:eastAsiaTheme="majorEastAsia" w:hAnsiTheme="majorEastAsia"/>
          <w:sz w:val="30"/>
        </w:rPr>
        <w:sectPr w:rsidR="00E25922" w:rsidRPr="00F56F71" w:rsidSect="00E25922">
          <w:footerReference w:type="default" r:id="rId16"/>
          <w:pgSz w:w="11906" w:h="16838" w:code="9"/>
          <w:pgMar w:top="1418" w:right="1701" w:bottom="1418" w:left="1701" w:header="851" w:footer="992" w:gutter="0"/>
          <w:pgNumType w:start="1"/>
          <w:cols w:space="425"/>
          <w:docGrid w:type="lines" w:linePitch="312"/>
        </w:sect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p>
    <w:p w14:paraId="63C139E0" w14:textId="2A2F6393" w:rsidR="003A5994" w:rsidRPr="00F56F71" w:rsidRDefault="003A5994" w:rsidP="000A02E9">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6D6271C"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基金管理人在运用基金财产时向基金托管人发送资金划拨及其他款项付款指令，基金托管人执行基金管理人的指令、办理基金名下的资金往来等有关事项。</w:t>
      </w:r>
    </w:p>
    <w:p w14:paraId="60A723C1"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（一）基金管理人对发送指令人员的书面授权</w:t>
      </w:r>
    </w:p>
    <w:p w14:paraId="07138101"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1.基金管理人应指定专人向基金托管人发送指令。</w:t>
      </w:r>
    </w:p>
    <w:p w14:paraId="1248A755"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2.基金管理人应向基金托管人提供书面授权文件，内容包括被授权人名单、预留印鉴及被授权人签字样本，授权文件应注明被授权人相应的权限。</w:t>
      </w:r>
    </w:p>
    <w:p w14:paraId="0848228D"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2623750" w14:textId="2DFA4785"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4.基金管理人和基金托管人对授权文件负有保密义务，其内容不得向被授权人及相关操作人员以外的任何人泄露。但法律法规</w:t>
      </w:r>
      <w:r w:rsidR="001F1226" w:rsidRPr="00F56F71">
        <w:rPr>
          <w:rFonts w:asciiTheme="majorEastAsia" w:eastAsiaTheme="majorEastAsia" w:hAnsiTheme="majorEastAsia" w:cs="Arial" w:hint="eastAsia"/>
          <w:sz w:val="24"/>
        </w:rPr>
        <w:t>另有</w:t>
      </w:r>
      <w:r w:rsidRPr="00F56F71">
        <w:rPr>
          <w:rFonts w:asciiTheme="majorEastAsia" w:eastAsiaTheme="majorEastAsia" w:hAnsiTheme="majorEastAsia" w:hint="eastAsia"/>
          <w:sz w:val="24"/>
        </w:rPr>
        <w:t>规定或有权机关要求的除外。</w:t>
      </w:r>
    </w:p>
    <w:p w14:paraId="1CF0EBD4"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（二）指令的内容</w:t>
      </w:r>
    </w:p>
    <w:p w14:paraId="6193EFD7" w14:textId="0D84BAE8"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1.指令包括</w:t>
      </w:r>
      <w:r w:rsidR="00242F44" w:rsidRPr="00F56F71">
        <w:rPr>
          <w:rFonts w:asciiTheme="majorEastAsia" w:eastAsiaTheme="majorEastAsia" w:hAnsiTheme="majorEastAsia" w:cs="Arial" w:hint="eastAsia"/>
          <w:sz w:val="24"/>
        </w:rPr>
        <w:t>付款</w:t>
      </w:r>
      <w:r w:rsidRPr="00F56F71">
        <w:rPr>
          <w:rFonts w:asciiTheme="majorEastAsia" w:eastAsiaTheme="majorEastAsia" w:hAnsiTheme="majorEastAsia" w:hint="eastAsia"/>
          <w:sz w:val="24"/>
        </w:rPr>
        <w:t>指令以及其他资金划拨指令等。</w:t>
      </w:r>
    </w:p>
    <w:p w14:paraId="0365046B"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2.基金管理人发给基金托管人的指令应写明款项事由、支付时间、到账时间、金额、账户等，加盖预留印鉴并由被授权人签字。</w:t>
      </w:r>
    </w:p>
    <w:p w14:paraId="55673345"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（三）指令的发送、确认及执行的时间和程序</w:t>
      </w:r>
    </w:p>
    <w:p w14:paraId="7326B2F5"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1.指令的发送</w:t>
      </w:r>
    </w:p>
    <w:p w14:paraId="2EAC597D"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基金管理人发送指令应采用加密传真方式或双方协商一致的其他方式。</w:t>
      </w:r>
    </w:p>
    <w:p w14:paraId="24F1ED40"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02765BF"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指令发出后，基金管理人应及时以电话方式向基金托管人确认。</w:t>
      </w:r>
    </w:p>
    <w:p w14:paraId="327744C0"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基金管理人应在银行间交易成交后，及时将通知单、相关文件及划款指令加</w:t>
      </w:r>
      <w:r w:rsidRPr="00F56F71">
        <w:rPr>
          <w:rFonts w:asciiTheme="majorEastAsia" w:eastAsiaTheme="majorEastAsia" w:hAnsiTheme="majorEastAsia"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2495570A"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2.指令的确认</w:t>
      </w:r>
    </w:p>
    <w:p w14:paraId="1038D395"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F19B066" w14:textId="77777777"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3.指令的时间和执行</w:t>
      </w:r>
    </w:p>
    <w:p w14:paraId="47913EE0" w14:textId="4366EF45" w:rsidR="003A5994" w:rsidRPr="00F56F71" w:rsidRDefault="003A5994" w:rsidP="00EA5F2B">
      <w:pPr>
        <w:pStyle w:val="ab"/>
        <w:spacing w:line="360" w:lineRule="auto"/>
        <w:ind w:firstLineChars="0"/>
        <w:rPr>
          <w:rFonts w:asciiTheme="majorEastAsia" w:eastAsiaTheme="majorEastAsia" w:hAnsiTheme="majorEastAsia"/>
          <w:shd w:val="pct15" w:color="auto" w:fill="FFFFFF"/>
        </w:rPr>
      </w:pPr>
      <w:r w:rsidRPr="00F56F71">
        <w:rPr>
          <w:rFonts w:asciiTheme="majorEastAsia" w:eastAsiaTheme="majorEastAsia" w:hAnsiTheme="majorEastAsia" w:hint="eastAsia"/>
          <w:szCs w:val="24"/>
        </w:rPr>
        <w:t>基金管理人尽量于划款前</w:t>
      </w:r>
      <w:r w:rsidRPr="00F56F71">
        <w:rPr>
          <w:rFonts w:asciiTheme="majorEastAsia" w:eastAsiaTheme="majorEastAsia" w:hAnsiTheme="majorEastAsia"/>
          <w:szCs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A26011A" w14:textId="77777777" w:rsidR="003A5994" w:rsidRPr="00F56F71" w:rsidRDefault="003A5994" w:rsidP="00EA5F2B">
      <w:pPr>
        <w:pStyle w:val="ab"/>
        <w:spacing w:line="360" w:lineRule="auto"/>
        <w:ind w:firstLineChars="0"/>
        <w:rPr>
          <w:rFonts w:asciiTheme="majorEastAsia" w:eastAsiaTheme="majorEastAsia" w:hAnsiTheme="majorEastAsia"/>
        </w:rPr>
      </w:pPr>
      <w:r w:rsidRPr="00F56F71">
        <w:rPr>
          <w:rFonts w:asciiTheme="majorEastAsia" w:eastAsiaTheme="majorEastAsia" w:hAnsiTheme="majorEastAsia" w:hint="eastAsia"/>
        </w:rPr>
        <w:t>（四）基金管理人发送错误指令的情形和处理程序</w:t>
      </w:r>
    </w:p>
    <w:p w14:paraId="0F05013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基金管理人发送错误指令的情形包括指令违反法律法规和《基金合同》，指令发送人员无权或超越权限发送指令。</w:t>
      </w:r>
    </w:p>
    <w:p w14:paraId="4E0D3CE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基金托管人在履行监督职能时，发现基金管理人的指令错误时，有权拒绝执行，并及时通知基金管理人改正。如需撤销指令，基金管理人应出具书面说明，并加盖业务用章。</w:t>
      </w:r>
    </w:p>
    <w:p w14:paraId="6CE554A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（五）基金托管人依照法律法规暂缓、拒绝执行指令的情形和处理程序</w:t>
      </w:r>
    </w:p>
    <w:p w14:paraId="34EDB7D4"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若基金托管人发现基金管理人的指令违反法律法规，或者违反《基金合同》约定的，应当拒绝执行，立即通知基金管理人。</w:t>
      </w:r>
    </w:p>
    <w:p w14:paraId="1EB2112A"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（六）基金托管人未按照基金管理人指令执行的处理方法</w:t>
      </w:r>
    </w:p>
    <w:p w14:paraId="3049473C"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基金托管人由于过错，未按照基金管理人发送的指令执行并对基金财产或投资人造成的直接损失，由基金托管人赔偿由此造成的直接损失。</w:t>
      </w:r>
    </w:p>
    <w:p w14:paraId="063E8D83"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（七）更换被授权人员的程序</w:t>
      </w:r>
    </w:p>
    <w:p w14:paraId="28C77D5C"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0820F0B1"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（八）其他事项</w:t>
      </w:r>
    </w:p>
    <w:p w14:paraId="72BE679A"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D996CB8"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51EC865D"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078DBFBD"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17"/>
          <w:pgSz w:w="11906" w:h="16838" w:code="9"/>
          <w:pgMar w:top="1418" w:right="1701" w:bottom="1418" w:left="1701" w:header="851" w:footer="992" w:gutter="0"/>
          <w:pgNumType w:start="1"/>
          <w:cols w:space="425"/>
          <w:docGrid w:type="lines" w:linePitch="312"/>
        </w:sect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p>
    <w:p w14:paraId="79EB8E79" w14:textId="1B00C4E2"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CC5BF5A"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（一）选择证券</w:t>
      </w:r>
      <w:r w:rsidR="004506F7" w:rsidRPr="00F56F71">
        <w:rPr>
          <w:rFonts w:asciiTheme="majorEastAsia" w:eastAsiaTheme="majorEastAsia" w:hAnsiTheme="majorEastAsia" w:cs="Arial" w:hint="eastAsia"/>
          <w:sz w:val="24"/>
        </w:rPr>
        <w:t>、期货</w:t>
      </w:r>
      <w:r w:rsidRPr="00F56F71">
        <w:rPr>
          <w:rFonts w:asciiTheme="majorEastAsia" w:eastAsiaTheme="majorEastAsia" w:hAnsiTheme="majorEastAsia" w:hint="eastAsia"/>
          <w:sz w:val="24"/>
        </w:rPr>
        <w:t>买卖的证券</w:t>
      </w:r>
      <w:r w:rsidR="004506F7" w:rsidRPr="00F56F71">
        <w:rPr>
          <w:rFonts w:asciiTheme="majorEastAsia" w:eastAsiaTheme="majorEastAsia" w:hAnsiTheme="majorEastAsia" w:cs="Arial" w:hint="eastAsia"/>
          <w:sz w:val="24"/>
        </w:rPr>
        <w:t>、期货</w:t>
      </w:r>
      <w:r w:rsidRPr="00F56F71">
        <w:rPr>
          <w:rFonts w:asciiTheme="majorEastAsia" w:eastAsiaTheme="majorEastAsia" w:hAnsiTheme="majorEastAsia" w:hint="eastAsia"/>
          <w:sz w:val="24"/>
        </w:rPr>
        <w:t>经营机构</w:t>
      </w:r>
    </w:p>
    <w:p w14:paraId="294AC23A" w14:textId="37A4AF05"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B50002">
        <w:rPr>
          <w:rFonts w:asciiTheme="majorEastAsia" w:eastAsiaTheme="majorEastAsia" w:hAnsiTheme="majorEastAsia" w:hint="eastAsia"/>
          <w:sz w:val="24"/>
        </w:rPr>
        <w:t>中期</w:t>
      </w:r>
      <w:r w:rsidRPr="00F56F71">
        <w:rPr>
          <w:rFonts w:asciiTheme="majorEastAsia" w:eastAsiaTheme="majorEastAsia" w:hAnsiTheme="majorEastAsia" w:hint="eastAsia"/>
          <w:sz w:val="24"/>
        </w:rPr>
        <w:t>报告和年度报告中将所选证券经营机构的有关情况及交易信息予以披露，并将该等情况及基金交易单元号、佣金费率等基本信息以及变更情况及时以书面形式通知基金托管人。</w:t>
      </w:r>
    </w:p>
    <w:p w14:paraId="3409FF71" w14:textId="57716DC0"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E9959C1" w14:textId="77777777" w:rsidR="004506F7" w:rsidRPr="00F56F71" w:rsidRDefault="004506F7"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5C153ACC"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（二）基金投资证券后的清算交收安排</w:t>
      </w:r>
    </w:p>
    <w:p w14:paraId="357D7D5A"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1.清算与交割</w:t>
      </w:r>
    </w:p>
    <w:p w14:paraId="2A3EA5FC"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基金管理人与基金托管人应根据有关法律法规及相关业务规则，签订《托管</w:t>
      </w:r>
    </w:p>
    <w:p w14:paraId="4072888B" w14:textId="77777777" w:rsidR="003A5994" w:rsidRPr="00F56F71" w:rsidRDefault="003A5994" w:rsidP="00EA5F2B">
      <w:pPr>
        <w:adjustRightInd w:val="0"/>
        <w:snapToGrid w:val="0"/>
        <w:spacing w:line="360" w:lineRule="auto"/>
        <w:rPr>
          <w:rFonts w:asciiTheme="majorEastAsia" w:eastAsiaTheme="majorEastAsia" w:hAnsiTheme="majorEastAsia"/>
          <w:sz w:val="24"/>
        </w:rPr>
      </w:pPr>
      <w:r w:rsidRPr="00F56F71">
        <w:rPr>
          <w:rFonts w:asciiTheme="majorEastAsia" w:eastAsiaTheme="majorEastAsia" w:hAnsiTheme="majorEastAsia" w:hint="eastAsia"/>
          <w:sz w:val="24"/>
        </w:rPr>
        <w:t>银行证券资金结算协议》，如投资港股通，还需签订《证券投资基金港股通结算补充协议》，用以具体明确基金管理人与基金托管人在证券交易资金结算业务中的责任。</w:t>
      </w:r>
    </w:p>
    <w:p w14:paraId="04ED07BA"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4E2C23"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15FFEBB9" w14:textId="19B020E4"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AE5DE6" w:rsidRPr="00F56F71">
        <w:rPr>
          <w:rFonts w:asciiTheme="majorEastAsia" w:eastAsiaTheme="majorEastAsia" w:hAnsiTheme="majorEastAsia" w:hint="eastAsia"/>
          <w:sz w:val="24"/>
        </w:rPr>
        <w:t>资产托管人在预清算结束后应通知基金管理人预透支和预欠库事项，基金管理人应保持联系方式畅通，后续补缴等事宜</w:t>
      </w:r>
      <w:r w:rsidRPr="00F56F71">
        <w:rPr>
          <w:rFonts w:asciiTheme="majorEastAsia" w:eastAsiaTheme="majorEastAsia" w:hAnsiTheme="majorEastAsia" w:hint="eastAsia"/>
          <w:sz w:val="24"/>
        </w:rPr>
        <w:t>由基金管理人负责解决，由此给基金托管人、本基金和基金托管人托管的其他资产造成的直接损失由基金管理人承担。</w:t>
      </w:r>
    </w:p>
    <w:p w14:paraId="1602C3BE" w14:textId="77777777" w:rsidR="003A5994" w:rsidRPr="00F56F71" w:rsidRDefault="003A5994" w:rsidP="00EA5F2B">
      <w:pPr>
        <w:adjustRightInd w:val="0"/>
        <w:snapToGrid w:val="0"/>
        <w:spacing w:line="360" w:lineRule="auto"/>
        <w:ind w:firstLine="480"/>
        <w:rPr>
          <w:rFonts w:asciiTheme="majorEastAsia" w:eastAsiaTheme="majorEastAsia" w:hAnsiTheme="majorEastAsia"/>
          <w:color w:val="000000"/>
          <w:kern w:val="0"/>
          <w:sz w:val="24"/>
        </w:rPr>
      </w:pPr>
      <w:r w:rsidRPr="00F56F71">
        <w:rPr>
          <w:rFonts w:asciiTheme="majorEastAsia" w:eastAsiaTheme="majorEastAsia" w:hAnsiTheme="majorEastAsia" w:hint="eastAsia"/>
          <w:color w:val="000000"/>
          <w:kern w:val="0"/>
          <w:sz w:val="24"/>
        </w:rPr>
        <w:t>基金管理人应采取合理、必要措施，确保</w:t>
      </w:r>
      <w:r w:rsidRPr="00F56F71">
        <w:rPr>
          <w:rFonts w:asciiTheme="majorEastAsia" w:eastAsiaTheme="majorEastAsia" w:hAnsiTheme="majorEastAsia"/>
          <w:color w:val="000000"/>
          <w:kern w:val="0"/>
          <w:sz w:val="24"/>
        </w:rPr>
        <w:t>T日日终有足够的资金头寸完成 T+1日</w:t>
      </w:r>
      <w:r w:rsidRPr="00F56F71">
        <w:rPr>
          <w:rFonts w:asciiTheme="majorEastAsia" w:eastAsiaTheme="majorEastAsia" w:hAnsiTheme="majorEastAsia" w:hint="eastAsia"/>
          <w:sz w:val="24"/>
        </w:rPr>
        <w:t>中国证券登记结算有限责任公司的资金</w:t>
      </w:r>
      <w:r w:rsidRPr="00F56F71">
        <w:rPr>
          <w:rFonts w:asciiTheme="majorEastAsia" w:eastAsiaTheme="majorEastAsia" w:hAnsiTheme="majorEastAsia" w:hint="eastAsia"/>
          <w:color w:val="000000"/>
          <w:kern w:val="0"/>
          <w:sz w:val="24"/>
        </w:rPr>
        <w:t>交收；如因基金管理人原因导致资金头寸不足，基金管理人应在</w:t>
      </w:r>
      <w:r w:rsidRPr="00F56F71">
        <w:rPr>
          <w:rFonts w:asciiTheme="majorEastAsia" w:eastAsiaTheme="majorEastAsia" w:hAnsiTheme="maj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31C17F5"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7CFD3DD"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实行场内</w:t>
      </w:r>
      <w:r w:rsidRPr="00F56F71">
        <w:rPr>
          <w:rFonts w:asciiTheme="majorEastAsia" w:eastAsiaTheme="majorEastAsia" w:hAnsiTheme="majorEastAsia"/>
          <w:sz w:val="24"/>
        </w:rPr>
        <w:t>T+0交收的资金清算按照基金托管人的相关规定流程执行。</w:t>
      </w:r>
    </w:p>
    <w:p w14:paraId="2AFFB887"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2.交易记录、资金和证券账目核对的时间和方式</w:t>
      </w:r>
    </w:p>
    <w:p w14:paraId="2F56EB76"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1）交易记录的核对</w:t>
      </w:r>
    </w:p>
    <w:p w14:paraId="3493CE3B" w14:textId="358C3525"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5B8866"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w:t>
      </w:r>
      <w:r w:rsidRPr="00F56F71">
        <w:rPr>
          <w:rFonts w:asciiTheme="majorEastAsia" w:eastAsiaTheme="majorEastAsia" w:hAnsiTheme="majorEastAsia"/>
          <w:sz w:val="24"/>
        </w:rPr>
        <w:t>2）资金账目的核对</w:t>
      </w:r>
    </w:p>
    <w:p w14:paraId="438C7829"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资金账目按日核实。</w:t>
      </w:r>
    </w:p>
    <w:p w14:paraId="7EEAA531"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3）证券账目的核对</w:t>
      </w:r>
    </w:p>
    <w:p w14:paraId="0AD04303" w14:textId="14EA959C"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基金管理人和基金托管人每交易日结束后核对基金证券账目，确保双方账目相符。基金管理人和基金托管人每月月末核对</w:t>
      </w:r>
      <w:r w:rsidR="00A166AC" w:rsidRPr="00F56F71">
        <w:rPr>
          <w:rFonts w:asciiTheme="majorEastAsia" w:eastAsiaTheme="majorEastAsia" w:hAnsiTheme="majorEastAsia" w:cs="Arial" w:hint="eastAsia"/>
          <w:sz w:val="24"/>
        </w:rPr>
        <w:t>实物</w:t>
      </w:r>
      <w:r w:rsidRPr="00F56F71">
        <w:rPr>
          <w:rFonts w:asciiTheme="majorEastAsia" w:eastAsiaTheme="majorEastAsia" w:hAnsiTheme="majorEastAsia" w:hint="eastAsia"/>
          <w:sz w:val="24"/>
        </w:rPr>
        <w:t>证券账目。</w:t>
      </w:r>
    </w:p>
    <w:p w14:paraId="72A78774" w14:textId="77777777" w:rsidR="003A5994" w:rsidRPr="00F56F71" w:rsidRDefault="003A5994" w:rsidP="00EA5F2B">
      <w:pPr>
        <w:adjustRightInd w:val="0"/>
        <w:snapToGrid w:val="0"/>
        <w:spacing w:line="360" w:lineRule="auto"/>
        <w:ind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（三）基金申购和赎回业务处理的基本规定</w:t>
      </w:r>
    </w:p>
    <w:p w14:paraId="6386A6C3" w14:textId="77777777" w:rsidR="00C45F8A" w:rsidRPr="00F56F71" w:rsidRDefault="00C45F8A" w:rsidP="00EA5F2B">
      <w:pPr>
        <w:adjustRightInd w:val="0"/>
        <w:snapToGrid w:val="0"/>
        <w:spacing w:line="360" w:lineRule="auto"/>
        <w:ind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1、基金管理人和基金托管人应当按照《基金合同》、《招募说明书》的约定，在基金申购、赎回的时间、场所、方式、程序、价格、费用、收款或付款等各方面相互配合，积极履行各自的义务，保证基金的申购、赎回工作能够顺利进行。</w:t>
      </w:r>
    </w:p>
    <w:p w14:paraId="24D6C608" w14:textId="5AF26CC4" w:rsidR="00C45F8A" w:rsidRPr="00F56F71" w:rsidRDefault="00C45F8A"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申购赎回</w:t>
      </w:r>
      <w:r w:rsidRPr="00F56F71">
        <w:rPr>
          <w:rFonts w:asciiTheme="majorEastAsia" w:eastAsiaTheme="majorEastAsia" w:hAnsiTheme="majorEastAsia" w:cs="Arial" w:hint="eastAsia"/>
          <w:sz w:val="24"/>
        </w:rPr>
        <w:t>发生的现金替代款、现金差额、现金替代</w:t>
      </w:r>
      <w:r w:rsidRPr="00F56F71">
        <w:rPr>
          <w:rFonts w:asciiTheme="majorEastAsia" w:eastAsiaTheme="majorEastAsia" w:hAnsiTheme="majorEastAsia" w:hint="eastAsia"/>
          <w:sz w:val="24"/>
        </w:rPr>
        <w:t>的</w:t>
      </w:r>
      <w:r w:rsidRPr="00F56F71">
        <w:rPr>
          <w:rFonts w:asciiTheme="majorEastAsia" w:eastAsiaTheme="majorEastAsia" w:hAnsiTheme="majorEastAsia" w:cs="Arial" w:hint="eastAsia"/>
          <w:sz w:val="24"/>
        </w:rPr>
        <w:t>退款</w:t>
      </w:r>
      <w:r w:rsidRPr="00F56F71">
        <w:rPr>
          <w:rFonts w:asciiTheme="majorEastAsia" w:eastAsiaTheme="majorEastAsia" w:hAnsiTheme="majorEastAsia" w:hint="eastAsia"/>
          <w:sz w:val="24"/>
        </w:rPr>
        <w:t>和</w:t>
      </w:r>
      <w:r w:rsidRPr="00F56F71">
        <w:rPr>
          <w:rFonts w:asciiTheme="majorEastAsia" w:eastAsiaTheme="majorEastAsia" w:hAnsiTheme="majorEastAsia" w:cs="Arial" w:hint="eastAsia"/>
          <w:sz w:val="24"/>
        </w:rPr>
        <w:t>补款</w:t>
      </w:r>
      <w:r w:rsidRPr="00F56F71">
        <w:rPr>
          <w:rFonts w:asciiTheme="majorEastAsia" w:eastAsiaTheme="majorEastAsia" w:hAnsiTheme="majorEastAsia" w:hint="eastAsia"/>
          <w:sz w:val="24"/>
        </w:rPr>
        <w:t>由基金管理人</w:t>
      </w:r>
      <w:r w:rsidRPr="00F56F71">
        <w:rPr>
          <w:rFonts w:asciiTheme="majorEastAsia" w:eastAsiaTheme="majorEastAsia" w:hAnsiTheme="majorEastAsia" w:cs="Arial" w:hint="eastAsia"/>
          <w:sz w:val="24"/>
        </w:rPr>
        <w:t>按相关业务规则及合同办理。</w:t>
      </w:r>
      <w:r w:rsidRPr="00F56F71">
        <w:rPr>
          <w:rFonts w:asciiTheme="majorEastAsia" w:eastAsiaTheme="majorEastAsia" w:hAnsiTheme="majorEastAsia" w:hint="eastAsia"/>
          <w:sz w:val="24"/>
        </w:rPr>
        <w:t>对于基金申购</w:t>
      </w:r>
      <w:r w:rsidRPr="00F56F71">
        <w:rPr>
          <w:rFonts w:asciiTheme="majorEastAsia" w:eastAsiaTheme="majorEastAsia" w:hAnsiTheme="majorEastAsia" w:cs="Arial" w:hint="eastAsia"/>
          <w:sz w:val="24"/>
        </w:rPr>
        <w:t>、赎回</w:t>
      </w:r>
      <w:r w:rsidRPr="00F56F71">
        <w:rPr>
          <w:rFonts w:asciiTheme="majorEastAsia" w:eastAsiaTheme="majorEastAsia" w:hAnsiTheme="majorEastAsia" w:hint="eastAsia"/>
          <w:sz w:val="24"/>
        </w:rPr>
        <w:t>过程中产生的应收款，应由基金管理人负责与有关当事人确定到账日期并通知基金托管人，到账日应收款没有到达</w:t>
      </w:r>
      <w:r w:rsidRPr="00F56F71">
        <w:rPr>
          <w:rFonts w:asciiTheme="majorEastAsia" w:eastAsiaTheme="majorEastAsia" w:hAnsiTheme="majorEastAsia" w:cs="Arial" w:hint="eastAsia"/>
          <w:sz w:val="24"/>
        </w:rPr>
        <w:t>托管</w:t>
      </w:r>
      <w:r w:rsidRPr="00F56F71">
        <w:rPr>
          <w:rFonts w:asciiTheme="majorEastAsia" w:eastAsiaTheme="majorEastAsia" w:hAnsiTheme="majorEastAsia" w:hint="eastAsia"/>
          <w:sz w:val="24"/>
        </w:rPr>
        <w:t>账户的，基金托管人应及时通知基金管理人采取措施进行催收，由此</w:t>
      </w:r>
      <w:r w:rsidRPr="00F56F71">
        <w:rPr>
          <w:rFonts w:asciiTheme="majorEastAsia" w:eastAsiaTheme="majorEastAsia" w:hAnsiTheme="majorEastAsia" w:cs="Arial" w:hint="eastAsia"/>
          <w:sz w:val="24"/>
        </w:rPr>
        <w:t>给基金</w:t>
      </w:r>
      <w:r w:rsidRPr="00F56F71">
        <w:rPr>
          <w:rFonts w:asciiTheme="majorEastAsia" w:eastAsiaTheme="majorEastAsia" w:hAnsiTheme="majorEastAsia" w:hint="eastAsia"/>
          <w:sz w:val="24"/>
        </w:rPr>
        <w:t>造成损失的，基金管理人负责向</w:t>
      </w:r>
      <w:r w:rsidRPr="00F56F71">
        <w:rPr>
          <w:rFonts w:asciiTheme="majorEastAsia" w:eastAsiaTheme="majorEastAsia" w:hAnsiTheme="majorEastAsia" w:cs="Arial" w:hint="eastAsia"/>
          <w:sz w:val="24"/>
        </w:rPr>
        <w:t>责任方</w:t>
      </w:r>
      <w:r w:rsidRPr="00F56F71">
        <w:rPr>
          <w:rFonts w:asciiTheme="majorEastAsia" w:eastAsiaTheme="majorEastAsia" w:hAnsiTheme="majorEastAsia" w:hint="eastAsia"/>
          <w:sz w:val="24"/>
        </w:rPr>
        <w:t>追偿基金的损失。拨付</w:t>
      </w:r>
      <w:r w:rsidRPr="00F56F71">
        <w:rPr>
          <w:rFonts w:asciiTheme="majorEastAsia" w:eastAsiaTheme="majorEastAsia" w:hAnsiTheme="majorEastAsia" w:cs="Arial" w:hint="eastAsia"/>
          <w:sz w:val="24"/>
        </w:rPr>
        <w:t>净应付</w:t>
      </w:r>
      <w:r w:rsidRPr="00F56F71">
        <w:rPr>
          <w:rFonts w:asciiTheme="majorEastAsia" w:eastAsiaTheme="majorEastAsia" w:hAnsiTheme="majorEastAsia" w:hint="eastAsia"/>
          <w:sz w:val="24"/>
        </w:rPr>
        <w:t>款时，如</w:t>
      </w:r>
      <w:r w:rsidRPr="00F56F71">
        <w:rPr>
          <w:rFonts w:asciiTheme="majorEastAsia" w:eastAsiaTheme="majorEastAsia" w:hAnsiTheme="majorEastAsia" w:cs="Arial" w:hint="eastAsia"/>
          <w:sz w:val="24"/>
        </w:rPr>
        <w:t>托管</w:t>
      </w:r>
      <w:r w:rsidRPr="00F56F71">
        <w:rPr>
          <w:rFonts w:asciiTheme="majorEastAsia" w:eastAsiaTheme="majorEastAsia" w:hAnsiTheme="majorEastAsia" w:hint="eastAsia"/>
          <w:sz w:val="24"/>
        </w:rPr>
        <w:t>账户有足够的资金，基金托管人应按时拨付；因</w:t>
      </w:r>
      <w:r w:rsidRPr="00F56F71">
        <w:rPr>
          <w:rFonts w:asciiTheme="majorEastAsia" w:eastAsiaTheme="majorEastAsia" w:hAnsiTheme="majorEastAsia" w:cs="Arial" w:hint="eastAsia"/>
          <w:sz w:val="24"/>
        </w:rPr>
        <w:t>托管</w:t>
      </w:r>
      <w:r w:rsidRPr="00F56F71">
        <w:rPr>
          <w:rFonts w:asciiTheme="majorEastAsia" w:eastAsiaTheme="majorEastAsia" w:hAnsiTheme="majorEastAsia" w:hint="eastAsia"/>
          <w:sz w:val="24"/>
        </w:rPr>
        <w:t>账户没有足够的资金，导致基金托管人不能按时拨付，</w:t>
      </w:r>
      <w:r w:rsidRPr="00F56F71">
        <w:rPr>
          <w:rFonts w:asciiTheme="majorEastAsia" w:eastAsiaTheme="majorEastAsia" w:hAnsiTheme="majorEastAsia" w:cs="Arial" w:hint="eastAsia"/>
          <w:sz w:val="24"/>
        </w:rPr>
        <w:t>托管人不承担责任；</w:t>
      </w:r>
      <w:r w:rsidRPr="00F56F71">
        <w:rPr>
          <w:rFonts w:asciiTheme="majorEastAsia" w:eastAsiaTheme="majorEastAsia" w:hAnsiTheme="majorEastAsia" w:hint="eastAsia"/>
          <w:sz w:val="24"/>
        </w:rPr>
        <w:t>如系基金管理人的原因造成，责任由基金管理人承担，基金托管人不承担垫款义务。</w:t>
      </w:r>
    </w:p>
    <w:p w14:paraId="2B9ADBCF" w14:textId="655ECCDB" w:rsidR="00E13E7E"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（四</w:t>
      </w:r>
      <w:r w:rsidR="00C563FB" w:rsidRPr="00F56F71">
        <w:rPr>
          <w:rFonts w:asciiTheme="majorEastAsia" w:eastAsiaTheme="majorEastAsia" w:hAnsiTheme="majorEastAsia" w:hint="eastAsia"/>
          <w:sz w:val="24"/>
        </w:rPr>
        <w:t>）</w:t>
      </w:r>
      <w:r w:rsidR="00E13E7E" w:rsidRPr="00F56F71">
        <w:rPr>
          <w:rFonts w:asciiTheme="majorEastAsia" w:eastAsiaTheme="majorEastAsia" w:hAnsiTheme="majorEastAsia" w:hint="eastAsia"/>
          <w:sz w:val="24"/>
        </w:rPr>
        <w:t>申赎结算</w:t>
      </w:r>
    </w:p>
    <w:p w14:paraId="3E5B2723" w14:textId="1D447134" w:rsidR="00AD61F7" w:rsidRPr="00F56F71" w:rsidRDefault="00E13E7E" w:rsidP="00EA5F2B">
      <w:pPr>
        <w:adjustRightInd w:val="0"/>
        <w:snapToGrid w:val="0"/>
        <w:spacing w:line="360" w:lineRule="auto"/>
        <w:ind w:firstLine="480"/>
        <w:rPr>
          <w:rFonts w:asciiTheme="majorEastAsia" w:eastAsiaTheme="majorEastAsia" w:hAnsiTheme="majorEastAsia" w:cs="Arial"/>
          <w:sz w:val="24"/>
        </w:rPr>
      </w:pPr>
      <w:r w:rsidRPr="00F56F71">
        <w:rPr>
          <w:rFonts w:asciiTheme="majorEastAsia" w:eastAsiaTheme="majorEastAsia" w:hAnsiTheme="majorEastAsia" w:hint="eastAsia"/>
          <w:sz w:val="24"/>
        </w:rPr>
        <w:t>对于申赎业务产生的托管账户与基金管理人基金清算账户间的资金交收，例如现金差额、赎回的深市成分股对应现金替代款、现金替代款的退补款等，当存在托管账户净应收额时，基金管理人应在</w:t>
      </w:r>
      <w:r w:rsidRPr="00F56F71">
        <w:rPr>
          <w:rFonts w:asciiTheme="majorEastAsia" w:eastAsiaTheme="majorEastAsia" w:hAnsiTheme="majorEastAsia"/>
          <w:sz w:val="24"/>
        </w:rPr>
        <w:t>T日15:00之前从基金清算账户划到基</w:t>
      </w:r>
      <w:r w:rsidRPr="00F56F71">
        <w:rPr>
          <w:rFonts w:asciiTheme="majorEastAsia" w:eastAsiaTheme="majorEastAsia" w:hAnsiTheme="majorEastAsia" w:cs="Arial" w:hint="eastAsia"/>
          <w:sz w:val="24"/>
        </w:rPr>
        <w:t>金托管账户；当存在托管账户净应付额时，基金管理人应在T日1</w:t>
      </w:r>
      <w:r w:rsidRPr="00F56F71">
        <w:rPr>
          <w:rFonts w:asciiTheme="majorEastAsia" w:eastAsiaTheme="majorEastAsia" w:hAnsiTheme="majorEastAsia" w:cs="Arial"/>
          <w:sz w:val="24"/>
        </w:rPr>
        <w:t>0</w:t>
      </w:r>
      <w:r w:rsidRPr="00F56F71">
        <w:rPr>
          <w:rFonts w:asciiTheme="majorEastAsia" w:eastAsiaTheme="majorEastAsia" w:hAnsiTheme="majorEastAsia" w:cs="Arial" w:hint="eastAsia"/>
          <w:sz w:val="24"/>
        </w:rPr>
        <w:t>:</w:t>
      </w:r>
      <w:r w:rsidRPr="00F56F71">
        <w:rPr>
          <w:rFonts w:asciiTheme="majorEastAsia" w:eastAsiaTheme="majorEastAsia" w:hAnsiTheme="majorEastAsia" w:cs="Arial"/>
          <w:sz w:val="24"/>
        </w:rPr>
        <w:t>00</w:t>
      </w:r>
      <w:r w:rsidRPr="00F56F71">
        <w:rPr>
          <w:rFonts w:asciiTheme="majorEastAsia" w:eastAsiaTheme="majorEastAsia" w:hAnsiTheme="majorEastAsia" w:cs="Arial" w:hint="eastAsia"/>
          <w:sz w:val="24"/>
        </w:rPr>
        <w:t>前将划款指令发送给基金托管人，基金托管人按基金管理人的划款指令将托管账户净应付额在T日1</w:t>
      </w:r>
      <w:r w:rsidRPr="00F56F71">
        <w:rPr>
          <w:rFonts w:asciiTheme="majorEastAsia" w:eastAsiaTheme="majorEastAsia" w:hAnsiTheme="majorEastAsia" w:cs="Arial"/>
          <w:sz w:val="24"/>
        </w:rPr>
        <w:t>5</w:t>
      </w:r>
      <w:r w:rsidRPr="00F56F71">
        <w:rPr>
          <w:rFonts w:asciiTheme="majorEastAsia" w:eastAsiaTheme="majorEastAsia" w:hAnsiTheme="majorEastAsia" w:cs="Arial" w:hint="eastAsia"/>
          <w:sz w:val="24"/>
        </w:rPr>
        <w:t>:00之前划往基金清算账户。</w:t>
      </w:r>
    </w:p>
    <w:p w14:paraId="796AB5D3" w14:textId="43233F69" w:rsidR="003A5994" w:rsidRPr="00F56F71" w:rsidRDefault="00C563FB"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cs="Arial" w:hint="eastAsia"/>
          <w:sz w:val="24"/>
        </w:rPr>
        <w:t>（五）</w:t>
      </w:r>
      <w:r w:rsidR="003A5994" w:rsidRPr="00F56F71">
        <w:rPr>
          <w:rFonts w:asciiTheme="majorEastAsia" w:eastAsiaTheme="majorEastAsia" w:hAnsiTheme="majorEastAsia" w:hint="eastAsia"/>
          <w:sz w:val="24"/>
        </w:rPr>
        <w:t>基金现金分红</w:t>
      </w:r>
    </w:p>
    <w:p w14:paraId="0DCE46FB" w14:textId="43DB313A"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1.基金管理人确定分红方案通知基金托管人，双方核定后依照《信息披露办法》的有关规定在中国证监会指定媒体上公告。</w:t>
      </w:r>
    </w:p>
    <w:p w14:paraId="3D85D13E"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2.基金托管人和基金管理人对基金分红进行账务处理并核对后，基金管理人向基金托管人发送现金红利的划款指令，基金托管人应及时将资金划入专用账户。</w:t>
      </w:r>
    </w:p>
    <w:p w14:paraId="51B90AFE" w14:textId="77777777"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3.基金管理人在下达指令时，应给基金托管人留出必需的划款时间。</w:t>
      </w:r>
    </w:p>
    <w:p w14:paraId="42E79973" w14:textId="745922B4"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w:t>
      </w:r>
      <w:r w:rsidR="008B483D" w:rsidRPr="00F56F71">
        <w:rPr>
          <w:rFonts w:asciiTheme="majorEastAsia" w:eastAsiaTheme="majorEastAsia" w:hAnsiTheme="majorEastAsia" w:cs="Arial" w:hint="eastAsia"/>
          <w:sz w:val="24"/>
        </w:rPr>
        <w:t>六</w:t>
      </w:r>
      <w:r w:rsidRPr="00F56F71">
        <w:rPr>
          <w:rFonts w:asciiTheme="majorEastAsia" w:eastAsiaTheme="majorEastAsia" w:hAnsiTheme="majorEastAsia" w:hint="eastAsia"/>
          <w:sz w:val="24"/>
        </w:rPr>
        <w:t>）投资银行存款的特别约定</w:t>
      </w:r>
    </w:p>
    <w:p w14:paraId="49F6AF30" w14:textId="1A9556D1"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1.本基金投资银行存款前，基金管理人应与存款银行签订具体存款协议，包括但不限于以下内容：</w:t>
      </w:r>
    </w:p>
    <w:p w14:paraId="17AB992F" w14:textId="77777777"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1）存款账户必须以本基金名义开立,并将基金托管人为本基金开立的基金银行账户指定为唯一回款账户，任何情况下，存款银行都不得将存款投资本息划往任何其他账户。</w:t>
      </w:r>
    </w:p>
    <w:p w14:paraId="2D206443" w14:textId="77777777"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2）存款银行不得接受基金管理人或基金托管人任何一方单方面提出的对存款进行更名、转让、挂失、质押、担保、撤销、变更印鉴及回款账户信息等可能导致财产转移的操作申请。</w:t>
      </w:r>
    </w:p>
    <w:p w14:paraId="4EB31D0E" w14:textId="77777777"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3）约定存款证实书的具体传递交接方式及交接期限。</w:t>
      </w:r>
    </w:p>
    <w:p w14:paraId="486E7D33" w14:textId="77777777" w:rsidR="003A5994" w:rsidRPr="00F56F71" w:rsidRDefault="003A5994" w:rsidP="00EA5F2B">
      <w:pPr>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4）资金划转过程中需要使用存款银行过渡账户的，存款银行须保证资金在过渡账户中不出现滞留，不被挪用。</w:t>
      </w:r>
    </w:p>
    <w:p w14:paraId="51C5E29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F91DB1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 xml:space="preserve">3. </w:t>
      </w:r>
      <w:r w:rsidRPr="00F56F71">
        <w:rPr>
          <w:rFonts w:asciiTheme="majorEastAsia" w:eastAsiaTheme="majorEastAsia" w:hAnsiTheme="majorEastAsia"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2B12CFC" w14:textId="77777777" w:rsidR="006C11BB" w:rsidRPr="00F56F71" w:rsidRDefault="006C11BB" w:rsidP="00EA5F2B">
      <w:pPr>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w:t>
      </w:r>
      <w:r w:rsidRPr="00F56F71">
        <w:rPr>
          <w:rFonts w:asciiTheme="majorEastAsia" w:eastAsiaTheme="majorEastAsia" w:hAnsiTheme="majorEastAsia" w:cs="Arial" w:hint="eastAsia"/>
          <w:sz w:val="24"/>
        </w:rPr>
        <w:lastRenderedPageBreak/>
        <w:t>明并重新承诺送单截止时间的，可剔除不计。</w:t>
      </w:r>
    </w:p>
    <w:p w14:paraId="0F491B83" w14:textId="77777777" w:rsidR="006C11BB" w:rsidRPr="00F56F71" w:rsidRDefault="006C11BB" w:rsidP="00EA5F2B">
      <w:pPr>
        <w:adjustRightInd w:val="0"/>
        <w:snapToGrid w:val="0"/>
        <w:spacing w:line="360" w:lineRule="auto"/>
        <w:ind w:firstLineChars="200" w:firstLine="480"/>
        <w:rPr>
          <w:rFonts w:asciiTheme="majorEastAsia" w:eastAsiaTheme="majorEastAsia" w:hAnsiTheme="majorEastAsia"/>
          <w:sz w:val="24"/>
        </w:rPr>
      </w:pPr>
    </w:p>
    <w:p w14:paraId="22FAAE9B"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18"/>
          <w:pgSz w:w="11906" w:h="16838" w:code="9"/>
          <w:pgMar w:top="1418" w:right="1701" w:bottom="1418" w:left="1701" w:header="851" w:footer="992" w:gutter="0"/>
          <w:pgNumType w:start="1"/>
          <w:cols w:space="425"/>
          <w:docGrid w:type="lines" w:linePitch="312"/>
        </w:sectPr>
      </w:pPr>
      <w:bookmarkStart w:id="85" w:name="_Toc124325892"/>
    </w:p>
    <w:p w14:paraId="098F22AE" w14:textId="64015A86"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sz w:val="30"/>
        </w:rPr>
        <w:lastRenderedPageBreak/>
        <w:t xml:space="preserve"> </w:t>
      </w:r>
      <w:r w:rsidRPr="00F56F71">
        <w:rPr>
          <w:rFonts w:asciiTheme="majorEastAsia" w:eastAsiaTheme="majorEastAsia" w:hAnsiTheme="majorEastAsia" w:hint="eastAsia"/>
          <w:sz w:val="30"/>
        </w:rPr>
        <w:t>八、基金资产净值计算和会计核算</w:t>
      </w:r>
      <w:bookmarkEnd w:id="85"/>
    </w:p>
    <w:p w14:paraId="53322375"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（一）基金资产净值的计算、复核与完成的时间及程序</w:t>
      </w:r>
    </w:p>
    <w:p w14:paraId="45872CD3" w14:textId="21D5B8E6"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1.基金资产净值是指基金资产总值减去负债后的金额。基金份额净值是按照每个</w:t>
      </w:r>
      <w:r w:rsidR="00445D50" w:rsidRPr="00F56F71">
        <w:rPr>
          <w:rFonts w:asciiTheme="majorEastAsia" w:eastAsiaTheme="majorEastAsia" w:hAnsiTheme="majorEastAsia" w:cs="Arial" w:hint="eastAsia"/>
          <w:sz w:val="24"/>
        </w:rPr>
        <w:t>工作</w:t>
      </w:r>
      <w:r w:rsidRPr="00F56F71">
        <w:rPr>
          <w:rFonts w:asciiTheme="majorEastAsia" w:eastAsiaTheme="majorEastAsia" w:hAnsiTheme="majorEastAsia" w:cs="Arial" w:hint="eastAsia"/>
          <w:sz w:val="24"/>
        </w:rPr>
        <w:t>日</w:t>
      </w:r>
      <w:r w:rsidRPr="00F56F71">
        <w:rPr>
          <w:rFonts w:asciiTheme="majorEastAsia" w:eastAsiaTheme="majorEastAsia" w:hAnsiTheme="majorEastAsia" w:hint="eastAsia"/>
          <w:sz w:val="24"/>
        </w:rPr>
        <w:t>闭市后，基金资产净值除以当日基金份额的余额数量计算，精确到</w:t>
      </w:r>
      <w:r w:rsidRPr="00F56F71">
        <w:rPr>
          <w:rFonts w:asciiTheme="majorEastAsia" w:eastAsiaTheme="majorEastAsia" w:hAnsiTheme="majorEastAsia"/>
          <w:sz w:val="24"/>
        </w:rPr>
        <w:t>0.</w:t>
      </w:r>
      <w:r w:rsidRPr="00F56F71">
        <w:rPr>
          <w:rFonts w:asciiTheme="majorEastAsia" w:eastAsiaTheme="majorEastAsia" w:hAnsiTheme="majorEastAsia" w:cs="Arial" w:hint="eastAsia"/>
          <w:sz w:val="24"/>
        </w:rPr>
        <w:t>00</w:t>
      </w:r>
      <w:r w:rsidR="006806EA" w:rsidRPr="00F56F71">
        <w:rPr>
          <w:rFonts w:asciiTheme="majorEastAsia" w:eastAsiaTheme="majorEastAsia" w:hAnsiTheme="majorEastAsia" w:cs="Arial" w:hint="eastAsia"/>
          <w:sz w:val="24"/>
        </w:rPr>
        <w:t>0</w:t>
      </w:r>
      <w:r w:rsidRPr="00F56F71">
        <w:rPr>
          <w:rFonts w:asciiTheme="majorEastAsia" w:eastAsiaTheme="majorEastAsia" w:hAnsiTheme="majorEastAsia" w:cs="Arial" w:hint="eastAsia"/>
          <w:sz w:val="24"/>
        </w:rPr>
        <w:t>1</w:t>
      </w:r>
      <w:r w:rsidRPr="00F56F71">
        <w:rPr>
          <w:rFonts w:asciiTheme="majorEastAsia" w:eastAsiaTheme="majorEastAsia" w:hAnsiTheme="majorEastAsia" w:hint="eastAsia"/>
          <w:sz w:val="24"/>
        </w:rPr>
        <w:t>元，小数点后</w:t>
      </w:r>
      <w:r w:rsidRPr="00F56F71">
        <w:rPr>
          <w:rFonts w:asciiTheme="majorEastAsia" w:eastAsiaTheme="majorEastAsia" w:hAnsiTheme="majorEastAsia" w:cs="Arial" w:hint="eastAsia"/>
          <w:sz w:val="24"/>
        </w:rPr>
        <w:t>第</w:t>
      </w:r>
      <w:r w:rsidR="006806EA" w:rsidRPr="00F56F71">
        <w:rPr>
          <w:rFonts w:asciiTheme="majorEastAsia" w:eastAsiaTheme="majorEastAsia" w:hAnsiTheme="majorEastAsia" w:cs="Arial" w:hint="eastAsia"/>
          <w:sz w:val="24"/>
        </w:rPr>
        <w:t>五</w:t>
      </w:r>
      <w:r w:rsidRPr="00F56F71">
        <w:rPr>
          <w:rFonts w:asciiTheme="majorEastAsia" w:eastAsiaTheme="majorEastAsia" w:hAnsiTheme="majorEastAsia" w:hint="eastAsia"/>
          <w:sz w:val="24"/>
        </w:rPr>
        <w:t>位四舍五入</w:t>
      </w:r>
      <w:r w:rsidRPr="00F56F71">
        <w:rPr>
          <w:rFonts w:asciiTheme="majorEastAsia" w:eastAsiaTheme="majorEastAsia" w:hAnsiTheme="majorEastAsia" w:cs="Arial" w:hint="eastAsia"/>
          <w:sz w:val="24"/>
        </w:rPr>
        <w:t>。</w:t>
      </w:r>
      <w:r w:rsidR="00E1042C" w:rsidRPr="00F56F71">
        <w:rPr>
          <w:rFonts w:asciiTheme="majorEastAsia" w:eastAsiaTheme="majorEastAsia" w:hAnsiTheme="majorEastAsia" w:cs="Arial" w:hint="eastAsia"/>
          <w:sz w:val="24"/>
        </w:rPr>
        <w:t>基金管理人可以设立大额赎回情形下的净值精度应急调整机制</w:t>
      </w:r>
      <w:r w:rsidR="00E1042C" w:rsidRPr="00F56F71">
        <w:rPr>
          <w:rFonts w:asciiTheme="majorEastAsia" w:eastAsiaTheme="majorEastAsia" w:hAnsiTheme="majorEastAsia" w:hint="eastAsia"/>
          <w:sz w:val="24"/>
        </w:rPr>
        <w:t>。</w:t>
      </w:r>
      <w:r w:rsidRPr="00F56F71">
        <w:rPr>
          <w:rFonts w:asciiTheme="majorEastAsia" w:eastAsiaTheme="majorEastAsia" w:hAnsiTheme="majorEastAsia" w:hint="eastAsia"/>
          <w:sz w:val="24"/>
        </w:rPr>
        <w:t>国家另有规定的，从其规定。</w:t>
      </w:r>
    </w:p>
    <w:p w14:paraId="6DCF7503" w14:textId="1977E248" w:rsidR="003A5994" w:rsidRPr="00F56F71" w:rsidRDefault="00E1042C"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基金管理人于</w:t>
      </w:r>
      <w:r w:rsidR="003A5994" w:rsidRPr="00F56F71">
        <w:rPr>
          <w:rFonts w:asciiTheme="majorEastAsia" w:eastAsiaTheme="majorEastAsia" w:hAnsiTheme="majorEastAsia" w:hint="eastAsia"/>
          <w:sz w:val="24"/>
        </w:rPr>
        <w:t>每个</w:t>
      </w:r>
      <w:r w:rsidR="00A166AC" w:rsidRPr="00F56F71">
        <w:rPr>
          <w:rFonts w:asciiTheme="majorEastAsia" w:eastAsiaTheme="majorEastAsia" w:hAnsiTheme="majorEastAsia" w:cs="Arial" w:hint="eastAsia"/>
          <w:sz w:val="24"/>
        </w:rPr>
        <w:t>估值</w:t>
      </w:r>
      <w:r w:rsidR="003A5994" w:rsidRPr="00F56F71">
        <w:rPr>
          <w:rFonts w:asciiTheme="majorEastAsia" w:eastAsiaTheme="majorEastAsia" w:hAnsiTheme="majorEastAsia" w:hint="eastAsia"/>
          <w:sz w:val="24"/>
        </w:rPr>
        <w:t>日计算基金资产净值及基金份额净值，并按规定公告。</w:t>
      </w:r>
    </w:p>
    <w:p w14:paraId="4AC8F68A" w14:textId="0D9ABA83"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2.基金管理人应</w:t>
      </w:r>
      <w:r w:rsidRPr="00F56F71">
        <w:rPr>
          <w:rFonts w:asciiTheme="majorEastAsia" w:eastAsiaTheme="majorEastAsia" w:hAnsiTheme="majorEastAsia" w:cs="Arial" w:hint="eastAsia"/>
          <w:sz w:val="24"/>
        </w:rPr>
        <w:t>每</w:t>
      </w:r>
      <w:r w:rsidR="00E1042C" w:rsidRPr="00F56F71">
        <w:rPr>
          <w:rFonts w:asciiTheme="majorEastAsia" w:eastAsiaTheme="majorEastAsia" w:hAnsiTheme="majorEastAsia" w:cs="Arial" w:hint="eastAsia"/>
          <w:sz w:val="24"/>
        </w:rPr>
        <w:t>个</w:t>
      </w:r>
      <w:r w:rsidR="00A166AC" w:rsidRPr="00F56F71">
        <w:rPr>
          <w:rFonts w:asciiTheme="majorEastAsia" w:eastAsiaTheme="majorEastAsia" w:hAnsiTheme="majorEastAsia" w:cs="Arial" w:hint="eastAsia"/>
          <w:sz w:val="24"/>
        </w:rPr>
        <w:t>估值</w:t>
      </w:r>
      <w:r w:rsidRPr="00F56F71">
        <w:rPr>
          <w:rFonts w:asciiTheme="majorEastAsia" w:eastAsiaTheme="majorEastAsia" w:hAnsiTheme="majorEastAsia" w:hint="eastAsia"/>
          <w:sz w:val="24"/>
        </w:rPr>
        <w:t>日对基金资产估值。但基金管理人根据法律法规或《基金合同》的规定暂停估值时除外。基金管理人每个</w:t>
      </w:r>
      <w:r w:rsidR="00A166AC" w:rsidRPr="00F56F71">
        <w:rPr>
          <w:rFonts w:asciiTheme="majorEastAsia" w:eastAsiaTheme="majorEastAsia" w:hAnsiTheme="majorEastAsia" w:cs="Arial" w:hint="eastAsia"/>
          <w:sz w:val="24"/>
        </w:rPr>
        <w:t>估值</w:t>
      </w:r>
      <w:r w:rsidRPr="00F56F71">
        <w:rPr>
          <w:rFonts w:asciiTheme="majorEastAsia" w:eastAsiaTheme="majorEastAsia" w:hAnsiTheme="majorEastAsia" w:hint="eastAsia"/>
          <w:sz w:val="24"/>
        </w:rPr>
        <w:t>日对基金资产估值后，将基金份额净值结果发送基金托管人，经基金托管人复核无误后，由基金管理人对外公布。</w:t>
      </w:r>
    </w:p>
    <w:p w14:paraId="1130035B" w14:textId="66B15CF9" w:rsidR="004506F7" w:rsidRPr="00F56F71" w:rsidRDefault="004506F7" w:rsidP="00EA5F2B">
      <w:pPr>
        <w:adjustRightInd w:val="0"/>
        <w:snapToGrid w:val="0"/>
        <w:spacing w:line="360" w:lineRule="auto"/>
        <w:ind w:firstLineChars="200" w:firstLine="480"/>
        <w:rPr>
          <w:rFonts w:asciiTheme="majorEastAsia" w:eastAsiaTheme="majorEastAsia" w:hAnsiTheme="majorEastAsia" w:cs="Arial"/>
          <w:sz w:val="24"/>
        </w:rPr>
      </w:pPr>
    </w:p>
    <w:p w14:paraId="79FD6909"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（二）基金资产估值方法和特殊情形的处理</w:t>
      </w:r>
    </w:p>
    <w:p w14:paraId="09B37A3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1.估值对象</w:t>
      </w:r>
    </w:p>
    <w:p w14:paraId="4563E126" w14:textId="65B3C4AC" w:rsidR="003A5994" w:rsidRPr="00F56F71" w:rsidRDefault="006806EA"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基金所拥有的股票、债券</w:t>
      </w:r>
      <w:r w:rsidRPr="00F56F71">
        <w:rPr>
          <w:rFonts w:asciiTheme="majorEastAsia" w:eastAsiaTheme="majorEastAsia" w:hAnsiTheme="majorEastAsia" w:cs="Arial" w:hint="eastAsia"/>
          <w:sz w:val="24"/>
        </w:rPr>
        <w:t>、股指期货合约、股票期权合约</w:t>
      </w:r>
      <w:r w:rsidRPr="00F56F71">
        <w:rPr>
          <w:rFonts w:asciiTheme="majorEastAsia" w:eastAsiaTheme="majorEastAsia" w:hAnsiTheme="majorEastAsia" w:hint="eastAsia"/>
          <w:sz w:val="24"/>
        </w:rPr>
        <w:t>和银行存款本息、应收款项、其它投资等资产及负债。</w:t>
      </w:r>
    </w:p>
    <w:p w14:paraId="23C15AD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2.估值方法</w:t>
      </w:r>
    </w:p>
    <w:p w14:paraId="4BC7343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本基金所持有的投资品种，按如下原则进行估值</w:t>
      </w:r>
      <w:r w:rsidRPr="00F56F71">
        <w:rPr>
          <w:rFonts w:asciiTheme="majorEastAsia" w:eastAsiaTheme="majorEastAsia" w:hAnsiTheme="majorEastAsia"/>
          <w:sz w:val="24"/>
        </w:rPr>
        <w:t xml:space="preserve"> </w:t>
      </w:r>
      <w:r w:rsidRPr="00F56F71">
        <w:rPr>
          <w:rFonts w:asciiTheme="majorEastAsia" w:eastAsiaTheme="majorEastAsia" w:hAnsiTheme="majorEastAsia" w:hint="eastAsia"/>
          <w:sz w:val="24"/>
        </w:rPr>
        <w:t>：</w:t>
      </w:r>
    </w:p>
    <w:p w14:paraId="3429EAD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1）证券交易所上市的有价证券的估值</w:t>
      </w:r>
    </w:p>
    <w:p w14:paraId="4723B018" w14:textId="10D47E4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①</w:t>
      </w:r>
      <w:r w:rsidR="0028206A" w:rsidRPr="00F56F71">
        <w:rPr>
          <w:rFonts w:asciiTheme="majorEastAsia" w:eastAsiaTheme="majorEastAsia" w:hAnsiTheme="majorEastAsia" w:hint="eastAsia"/>
          <w:sz w:val="24"/>
        </w:rPr>
        <w:t>交易所上市的有价证券（包括股票等），以其估值日在证券交易所挂牌的市价（收盘价）</w:t>
      </w:r>
      <w:r w:rsidR="0028206A" w:rsidRPr="00F56F71">
        <w:rPr>
          <w:rFonts w:asciiTheme="majorEastAsia" w:eastAsiaTheme="majorEastAsia" w:hAnsiTheme="majorEastAsia" w:cs="Arial" w:hint="eastAsia"/>
          <w:sz w:val="24"/>
        </w:rPr>
        <w:t>确定公允价值</w:t>
      </w:r>
      <w:r w:rsidR="0028206A" w:rsidRPr="00F56F71">
        <w:rPr>
          <w:rFonts w:asciiTheme="majorEastAsia" w:eastAsiaTheme="majorEastAsia" w:hAnsiTheme="majorEastAsia" w:hint="eastAsia"/>
          <w:sz w:val="24"/>
        </w:rPr>
        <w:t>；估值日无交易的，且最近交易日后未发生影响</w:t>
      </w:r>
      <w:r w:rsidR="0028206A" w:rsidRPr="00F56F71">
        <w:rPr>
          <w:rFonts w:asciiTheme="majorEastAsia" w:eastAsiaTheme="majorEastAsia" w:hAnsiTheme="majorEastAsia" w:cs="Arial" w:hint="eastAsia"/>
          <w:sz w:val="24"/>
        </w:rPr>
        <w:t>公允价值计量</w:t>
      </w:r>
      <w:r w:rsidR="0028206A" w:rsidRPr="00F56F71">
        <w:rPr>
          <w:rFonts w:asciiTheme="majorEastAsia" w:eastAsiaTheme="majorEastAsia" w:hAnsiTheme="majorEastAsia" w:hint="eastAsia"/>
          <w:sz w:val="24"/>
        </w:rPr>
        <w:t>的重大事件的，以最近交易日的市价（收盘价）估值；如</w:t>
      </w:r>
      <w:r w:rsidR="0028206A" w:rsidRPr="00F56F71">
        <w:rPr>
          <w:rFonts w:asciiTheme="majorEastAsia" w:eastAsiaTheme="majorEastAsia" w:hAnsiTheme="majorEastAsia" w:cs="Arial" w:hint="eastAsia"/>
          <w:sz w:val="24"/>
        </w:rPr>
        <w:t>有充足证据表明估值日或最近交易日的市价不能真实反映公允价值的，应对市价进行调整</w:t>
      </w:r>
      <w:r w:rsidR="0028206A" w:rsidRPr="00F56F71">
        <w:rPr>
          <w:rFonts w:asciiTheme="majorEastAsia" w:eastAsiaTheme="majorEastAsia" w:hAnsiTheme="majorEastAsia" w:hint="eastAsia"/>
          <w:sz w:val="24"/>
        </w:rPr>
        <w:t>，确定公允价格</w:t>
      </w:r>
      <w:r w:rsidR="0028206A" w:rsidRPr="00F56F71">
        <w:rPr>
          <w:rFonts w:asciiTheme="majorEastAsia" w:eastAsiaTheme="majorEastAsia" w:hAnsiTheme="majorEastAsia" w:cs="Arial" w:hint="eastAsia"/>
          <w:sz w:val="24"/>
        </w:rPr>
        <w:t>；</w:t>
      </w:r>
    </w:p>
    <w:p w14:paraId="3F276F12" w14:textId="2636003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②</w:t>
      </w:r>
      <w:r w:rsidR="0028206A" w:rsidRPr="00F56F71">
        <w:rPr>
          <w:rFonts w:asciiTheme="majorEastAsia" w:eastAsiaTheme="majorEastAsia" w:hAnsiTheme="majorEastAsia" w:hint="eastAsia"/>
          <w:sz w:val="24"/>
        </w:rPr>
        <w:t>交易所上市交易或挂牌转让的固定收益品种（</w:t>
      </w:r>
      <w:r w:rsidR="0028206A" w:rsidRPr="00F56F71">
        <w:rPr>
          <w:rFonts w:asciiTheme="majorEastAsia" w:eastAsiaTheme="majorEastAsia" w:hAnsiTheme="majorEastAsia" w:cs="Arial" w:hint="eastAsia"/>
          <w:sz w:val="24"/>
        </w:rPr>
        <w:t>基金合同</w:t>
      </w:r>
      <w:r w:rsidR="0028206A" w:rsidRPr="00F56F71">
        <w:rPr>
          <w:rFonts w:asciiTheme="majorEastAsia" w:eastAsiaTheme="majorEastAsia" w:hAnsiTheme="majorEastAsia" w:hint="eastAsia"/>
          <w:sz w:val="24"/>
        </w:rPr>
        <w:t>另有规定的除外），选取</w:t>
      </w:r>
      <w:r w:rsidR="0028206A" w:rsidRPr="00F56F71">
        <w:rPr>
          <w:rFonts w:asciiTheme="majorEastAsia" w:eastAsiaTheme="majorEastAsia" w:hAnsiTheme="majorEastAsia" w:cs="Arial" w:hint="eastAsia"/>
          <w:sz w:val="24"/>
        </w:rPr>
        <w:t>估值日</w:t>
      </w:r>
      <w:r w:rsidR="0028206A" w:rsidRPr="00F56F71">
        <w:rPr>
          <w:rFonts w:asciiTheme="majorEastAsia" w:eastAsiaTheme="majorEastAsia" w:hAnsiTheme="majorEastAsia" w:hint="eastAsia"/>
          <w:sz w:val="24"/>
        </w:rPr>
        <w:t>第三方估值机构提供的相应品种</w:t>
      </w:r>
      <w:r w:rsidR="0028206A" w:rsidRPr="00F56F71">
        <w:rPr>
          <w:rFonts w:asciiTheme="majorEastAsia" w:eastAsiaTheme="majorEastAsia" w:hAnsiTheme="majorEastAsia" w:cs="Arial" w:hint="eastAsia"/>
          <w:sz w:val="24"/>
        </w:rPr>
        <w:t>对应</w:t>
      </w:r>
      <w:r w:rsidR="0028206A" w:rsidRPr="00F56F71">
        <w:rPr>
          <w:rFonts w:asciiTheme="majorEastAsia" w:eastAsiaTheme="majorEastAsia" w:hAnsiTheme="majorEastAsia" w:hint="eastAsia"/>
          <w:sz w:val="24"/>
        </w:rPr>
        <w:t>的估值净价估值</w:t>
      </w:r>
      <w:r w:rsidR="0028206A" w:rsidRPr="00F56F71">
        <w:rPr>
          <w:rFonts w:asciiTheme="majorEastAsia" w:eastAsiaTheme="majorEastAsia" w:hAnsiTheme="majorEastAsia" w:cs="Arial" w:hint="eastAsia"/>
          <w:sz w:val="24"/>
        </w:rPr>
        <w:t>，具体估值机构由基金管理人与基金托管人另行协商约定；</w:t>
      </w:r>
    </w:p>
    <w:p w14:paraId="432495E4" w14:textId="6726FCDC" w:rsidR="003A5994" w:rsidRPr="00F56F71" w:rsidRDefault="003A5994"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③</w:t>
      </w:r>
      <w:r w:rsidR="00E13E7E" w:rsidRPr="00F56F71">
        <w:rPr>
          <w:rFonts w:asciiTheme="majorEastAsia" w:eastAsiaTheme="majorEastAsia" w:hAnsiTheme="majorEastAsia" w:cs="Arial" w:hint="eastAsia"/>
          <w:sz w:val="24"/>
        </w:rPr>
        <w:t>交易所上市交易的可转换债券按估值日收盘价减去债券收盘价中所含的债券应收利息得到的净价进行估值；估值日没有交易的，且最近交易日后经济环境</w:t>
      </w:r>
      <w:r w:rsidR="00E13E7E" w:rsidRPr="00F56F71">
        <w:rPr>
          <w:rFonts w:asciiTheme="majorEastAsia" w:eastAsiaTheme="majorEastAsia" w:hAnsiTheme="majorEastAsia" w:cs="Arial" w:hint="eastAsia"/>
          <w:sz w:val="24"/>
        </w:rPr>
        <w:lastRenderedPageBreak/>
        <w:t>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28206A" w:rsidRPr="00F56F71">
        <w:rPr>
          <w:rFonts w:asciiTheme="majorEastAsia" w:eastAsiaTheme="majorEastAsia" w:hAnsiTheme="majorEastAsia" w:cs="Arial" w:hint="eastAsia"/>
          <w:sz w:val="24"/>
        </w:rPr>
        <w:t>；</w:t>
      </w:r>
    </w:p>
    <w:p w14:paraId="2172A2DC" w14:textId="04AAE0BA" w:rsidR="00971C42" w:rsidRPr="00F56F71" w:rsidRDefault="00971C42" w:rsidP="00971C42">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交易所上市实行全价交易的债券（可转债除外），选取第三方估值机构提供的估值全价减去估值全价中所含的债券（税后）应收利息得到的净价进行估值；</w:t>
      </w:r>
    </w:p>
    <w:p w14:paraId="6D973241" w14:textId="0767DD63"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④</w:t>
      </w:r>
      <w:r w:rsidR="006806EA" w:rsidRPr="00F56F71">
        <w:rPr>
          <w:rFonts w:asciiTheme="majorEastAsia" w:eastAsiaTheme="majorEastAsia" w:hAnsiTheme="majorEastAsia" w:cs="Arial" w:hint="eastAsia"/>
          <w:sz w:val="24"/>
        </w:rPr>
        <w:t>交易所上市</w:t>
      </w:r>
      <w:r w:rsidR="006806EA" w:rsidRPr="00F56F71">
        <w:rPr>
          <w:rFonts w:asciiTheme="majorEastAsia" w:eastAsiaTheme="majorEastAsia" w:hAnsiTheme="majorEastAsia" w:hint="eastAsia"/>
          <w:sz w:val="24"/>
        </w:rPr>
        <w:t>不存在活跃市场</w:t>
      </w:r>
      <w:r w:rsidR="006806EA" w:rsidRPr="00F56F71">
        <w:rPr>
          <w:rFonts w:asciiTheme="majorEastAsia" w:eastAsiaTheme="majorEastAsia" w:hAnsiTheme="majorEastAsia" w:cs="Arial" w:hint="eastAsia"/>
          <w:sz w:val="24"/>
        </w:rPr>
        <w:t>的有价证券，</w:t>
      </w:r>
      <w:r w:rsidR="006806EA" w:rsidRPr="00F56F71">
        <w:rPr>
          <w:rFonts w:asciiTheme="majorEastAsia" w:eastAsiaTheme="majorEastAsia" w:hAnsiTheme="majorEastAsia" w:hint="eastAsia"/>
          <w:sz w:val="24"/>
        </w:rPr>
        <w:t>采用估值技术确定公允价值</w:t>
      </w:r>
      <w:r w:rsidR="006806EA" w:rsidRPr="00F56F71">
        <w:rPr>
          <w:rFonts w:asciiTheme="majorEastAsia" w:eastAsiaTheme="majorEastAsia" w:hAnsiTheme="majorEastAsia" w:cs="Arial" w:hint="eastAsia"/>
          <w:sz w:val="24"/>
        </w:rPr>
        <w:t>。交易所上市的资产支持证券，采用</w:t>
      </w:r>
      <w:r w:rsidR="006806EA" w:rsidRPr="00F56F71">
        <w:rPr>
          <w:rFonts w:asciiTheme="majorEastAsia" w:eastAsiaTheme="majorEastAsia" w:hAnsiTheme="majorEastAsia" w:hint="eastAsia"/>
          <w:sz w:val="24"/>
        </w:rPr>
        <w:t>估值</w:t>
      </w:r>
      <w:r w:rsidR="006806EA" w:rsidRPr="00F56F71">
        <w:rPr>
          <w:rFonts w:asciiTheme="majorEastAsia" w:eastAsiaTheme="majorEastAsia" w:hAnsiTheme="majorEastAsia" w:cs="Arial" w:hint="eastAsia"/>
          <w:sz w:val="24"/>
        </w:rPr>
        <w:t>技术确定</w:t>
      </w:r>
      <w:r w:rsidR="006806EA" w:rsidRPr="00F56F71">
        <w:rPr>
          <w:rFonts w:asciiTheme="majorEastAsia" w:eastAsiaTheme="majorEastAsia" w:hAnsiTheme="majorEastAsia" w:hint="eastAsia"/>
          <w:sz w:val="24"/>
        </w:rPr>
        <w:t>公允价值，在</w:t>
      </w:r>
      <w:r w:rsidR="006806EA" w:rsidRPr="00F56F71">
        <w:rPr>
          <w:rFonts w:asciiTheme="majorEastAsia" w:eastAsiaTheme="majorEastAsia" w:hAnsiTheme="majorEastAsia" w:cs="Arial" w:hint="eastAsia"/>
          <w:sz w:val="24"/>
        </w:rPr>
        <w:t>估值技术难以可靠计量公允价值的</w:t>
      </w:r>
      <w:r w:rsidR="006806EA" w:rsidRPr="00F56F71">
        <w:rPr>
          <w:rFonts w:asciiTheme="majorEastAsia" w:eastAsiaTheme="majorEastAsia" w:hAnsiTheme="majorEastAsia" w:hint="eastAsia"/>
          <w:sz w:val="24"/>
        </w:rPr>
        <w:t>情况</w:t>
      </w:r>
      <w:r w:rsidR="006806EA" w:rsidRPr="00F56F71">
        <w:rPr>
          <w:rFonts w:asciiTheme="majorEastAsia" w:eastAsiaTheme="majorEastAsia" w:hAnsiTheme="majorEastAsia" w:cs="Arial" w:hint="eastAsia"/>
          <w:sz w:val="24"/>
        </w:rPr>
        <w:t>下，按成本估值</w:t>
      </w:r>
      <w:r w:rsidR="006806EA" w:rsidRPr="00F56F71">
        <w:rPr>
          <w:rFonts w:asciiTheme="majorEastAsia" w:eastAsiaTheme="majorEastAsia" w:hAnsiTheme="majorEastAsia" w:hint="eastAsia"/>
          <w:sz w:val="24"/>
        </w:rPr>
        <w:t>。</w:t>
      </w:r>
    </w:p>
    <w:p w14:paraId="5C6FCD1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sz w:val="24"/>
        </w:rPr>
        <w:t>2）处于未上市期间的有价证券应区分如下情况处理：</w:t>
      </w:r>
    </w:p>
    <w:p w14:paraId="481ADCE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①</w:t>
      </w:r>
      <w:r w:rsidR="0028206A" w:rsidRPr="00F56F71">
        <w:rPr>
          <w:rFonts w:asciiTheme="majorEastAsia" w:eastAsiaTheme="majorEastAsia" w:hAnsiTheme="majorEastAsia" w:hint="eastAsia"/>
          <w:color w:val="0D0D0D" w:themeColor="text1" w:themeTint="F2"/>
          <w:sz w:val="24"/>
        </w:rPr>
        <w:t>送股、转增股、配股和公开增发的新股，按估值日在证券交易所挂牌的同一股票的估值方法估值；该日无交易的，以最近一日的市价（收盘价）估值</w:t>
      </w:r>
      <w:r w:rsidRPr="00F56F71">
        <w:rPr>
          <w:rFonts w:asciiTheme="majorEastAsia" w:eastAsiaTheme="majorEastAsia" w:hAnsiTheme="majorEastAsia" w:hint="eastAsia"/>
          <w:sz w:val="24"/>
        </w:rPr>
        <w:t>；</w:t>
      </w:r>
    </w:p>
    <w:p w14:paraId="4999F1BF" w14:textId="69B1A72C"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②</w:t>
      </w:r>
      <w:r w:rsidR="0028206A" w:rsidRPr="00F56F71">
        <w:rPr>
          <w:rFonts w:asciiTheme="majorEastAsia" w:eastAsiaTheme="majorEastAsia" w:hAnsiTheme="majorEastAsia" w:hint="eastAsia"/>
          <w:color w:val="0D0D0D" w:themeColor="text1" w:themeTint="F2"/>
          <w:sz w:val="24"/>
        </w:rPr>
        <w:t>首次公开发行未上市的股票、债券，采用估值技术确定公允价值，在估值技术难以可靠计量公允价值的情况下，按成本估值</w:t>
      </w:r>
      <w:r w:rsidR="00E1042C" w:rsidRPr="00F56F71">
        <w:rPr>
          <w:rFonts w:asciiTheme="majorEastAsia" w:eastAsiaTheme="majorEastAsia" w:hAnsiTheme="majorEastAsia" w:cs="Arial" w:hint="eastAsia"/>
          <w:sz w:val="24"/>
        </w:rPr>
        <w:t>；</w:t>
      </w:r>
    </w:p>
    <w:p w14:paraId="31DC0614" w14:textId="067A3FCB"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③</w:t>
      </w:r>
      <w:r w:rsidR="0028206A" w:rsidRPr="00F56F71">
        <w:rPr>
          <w:rFonts w:asciiTheme="majorEastAsia" w:eastAsiaTheme="majorEastAsia" w:hAnsiTheme="majorEastAsia" w:hint="eastAsia"/>
          <w:color w:val="0D0D0D" w:themeColor="text1" w:themeTint="F2"/>
          <w:sz w:val="24"/>
        </w:rPr>
        <w:t>流通受限的股票，</w:t>
      </w:r>
      <w:r w:rsidR="00971C42" w:rsidRPr="00F56F71">
        <w:rPr>
          <w:rFonts w:asciiTheme="majorEastAsia" w:eastAsiaTheme="majorEastAsia" w:hAnsiTheme="majorEastAsia" w:cs="Arial" w:hint="eastAsia"/>
          <w:sz w:val="24"/>
        </w:rPr>
        <w:t>指在发行时明确一定期限限售期的股票，包括但不限于</w:t>
      </w:r>
      <w:r w:rsidR="0028206A" w:rsidRPr="00F56F71">
        <w:rPr>
          <w:rFonts w:asciiTheme="majorEastAsia" w:eastAsiaTheme="majorEastAsia" w:hAnsiTheme="majorEastAsia" w:hint="eastAsia"/>
          <w:color w:val="0D0D0D" w:themeColor="text1" w:themeTint="F2"/>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F56F71">
        <w:rPr>
          <w:rFonts w:asciiTheme="majorEastAsia" w:eastAsiaTheme="majorEastAsia" w:hAnsiTheme="majorEastAsia" w:hint="eastAsia"/>
          <w:sz w:val="24"/>
        </w:rPr>
        <w:t>。</w:t>
      </w:r>
    </w:p>
    <w:p w14:paraId="60E1F100" w14:textId="5C7F6D68" w:rsidR="003A5994" w:rsidRPr="00F56F71" w:rsidRDefault="003A5994"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w:t>
      </w:r>
      <w:r w:rsidRPr="00F56F71">
        <w:rPr>
          <w:rFonts w:asciiTheme="majorEastAsia" w:eastAsiaTheme="majorEastAsia" w:hAnsiTheme="majorEastAsia" w:cs="Arial"/>
          <w:sz w:val="24"/>
        </w:rPr>
        <w:t>3）</w:t>
      </w:r>
      <w:r w:rsidR="00E13E7E" w:rsidRPr="00F56F71">
        <w:rPr>
          <w:rFonts w:asciiTheme="majorEastAsia" w:eastAsiaTheme="majorEastAsia" w:hAnsiTheme="majorEastAsia"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28206A" w:rsidRPr="00F56F71">
        <w:rPr>
          <w:rFonts w:asciiTheme="majorEastAsia" w:eastAsiaTheme="majorEastAsia" w:hAnsiTheme="majorEastAsia" w:hint="eastAsia"/>
          <w:color w:val="0D0D0D" w:themeColor="text1" w:themeTint="F2"/>
          <w:sz w:val="24"/>
        </w:rPr>
        <w:t>。</w:t>
      </w:r>
    </w:p>
    <w:p w14:paraId="56E76EA1" w14:textId="356E122F" w:rsidR="003A5994" w:rsidRPr="00F56F71" w:rsidRDefault="003A5994"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（4</w:t>
      </w:r>
      <w:r w:rsidRPr="00F56F71">
        <w:rPr>
          <w:rFonts w:asciiTheme="majorEastAsia" w:hAnsiTheme="majorEastAsia" w:hint="eastAsia"/>
          <w:sz w:val="24"/>
        </w:rPr>
        <w:t>）</w:t>
      </w:r>
      <w:r w:rsidR="0028206A" w:rsidRPr="00F56F71">
        <w:rPr>
          <w:rFonts w:asciiTheme="majorEastAsia" w:hAnsiTheme="majorEastAsia" w:hint="eastAsia"/>
          <w:color w:val="0D0D0D" w:themeColor="text1" w:themeTint="F2"/>
          <w:sz w:val="24"/>
        </w:rPr>
        <w:t>同一</w:t>
      </w:r>
      <w:r w:rsidR="00971C42" w:rsidRPr="00F56F71">
        <w:rPr>
          <w:rFonts w:asciiTheme="majorEastAsia" w:eastAsiaTheme="majorEastAsia" w:hAnsiTheme="majorEastAsia" w:hint="eastAsia"/>
          <w:color w:val="0D0D0D" w:themeColor="text1" w:themeTint="F2"/>
          <w:sz w:val="24"/>
        </w:rPr>
        <w:t>证券</w:t>
      </w:r>
      <w:r w:rsidR="0028206A" w:rsidRPr="00F56F71">
        <w:rPr>
          <w:rFonts w:asciiTheme="majorEastAsia" w:hAnsiTheme="majorEastAsia" w:hint="eastAsia"/>
          <w:color w:val="0D0D0D" w:themeColor="text1" w:themeTint="F2"/>
          <w:sz w:val="24"/>
        </w:rPr>
        <w:t>同时在两个或两个以上市场交易的，按</w:t>
      </w:r>
      <w:r w:rsidR="00971C42" w:rsidRPr="00F56F71">
        <w:rPr>
          <w:rFonts w:asciiTheme="majorEastAsia" w:eastAsiaTheme="majorEastAsia" w:hAnsiTheme="majorEastAsia" w:hint="eastAsia"/>
          <w:color w:val="0D0D0D" w:themeColor="text1" w:themeTint="F2"/>
          <w:sz w:val="24"/>
        </w:rPr>
        <w:t>证券</w:t>
      </w:r>
      <w:r w:rsidR="0028206A" w:rsidRPr="00F56F71">
        <w:rPr>
          <w:rFonts w:asciiTheme="majorEastAsia" w:hAnsiTheme="majorEastAsia" w:hint="eastAsia"/>
          <w:color w:val="0D0D0D" w:themeColor="text1" w:themeTint="F2"/>
          <w:sz w:val="24"/>
        </w:rPr>
        <w:t>所处的市场分别估值。</w:t>
      </w:r>
    </w:p>
    <w:p w14:paraId="078C0A55" w14:textId="54F91991"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（5）</w:t>
      </w:r>
      <w:r w:rsidR="0028206A" w:rsidRPr="00F56F71">
        <w:rPr>
          <w:rFonts w:asciiTheme="majorEastAsia" w:eastAsiaTheme="majorEastAsia" w:hAnsiTheme="majorEastAsia" w:hint="eastAsia"/>
          <w:color w:val="0D0D0D" w:themeColor="text1" w:themeTint="F2"/>
          <w:sz w:val="24"/>
        </w:rPr>
        <w:t>本基金投资股指期货合约，一般以估值当日结算价确定公允价值，估值当日无结算价的，且最近交易日后未发生影响公允价值计量的重大事件的，采用最近交易日结算价估值。</w:t>
      </w:r>
    </w:p>
    <w:p w14:paraId="22750B50" w14:textId="24194B8E" w:rsidR="003A5994" w:rsidRPr="00F56F71" w:rsidRDefault="003A5994" w:rsidP="00EA5F2B">
      <w:pPr>
        <w:adjustRightInd w:val="0"/>
        <w:snapToGrid w:val="0"/>
        <w:spacing w:line="360" w:lineRule="auto"/>
        <w:ind w:firstLineChars="200" w:firstLine="480"/>
        <w:rPr>
          <w:rFonts w:asciiTheme="majorEastAsia" w:eastAsiaTheme="majorEastAsia" w:hAnsiTheme="majorEastAsia"/>
          <w:color w:val="0D0D0D" w:themeColor="text1" w:themeTint="F2"/>
          <w:sz w:val="24"/>
        </w:rPr>
      </w:pPr>
      <w:r w:rsidRPr="00F56F71">
        <w:rPr>
          <w:rFonts w:asciiTheme="majorEastAsia" w:eastAsiaTheme="majorEastAsia" w:hAnsiTheme="majorEastAsia" w:hint="eastAsia"/>
          <w:sz w:val="24"/>
        </w:rPr>
        <w:t>（</w:t>
      </w:r>
      <w:r w:rsidRPr="00F56F71">
        <w:rPr>
          <w:rFonts w:asciiTheme="majorEastAsia" w:eastAsiaTheme="majorEastAsia" w:hAnsiTheme="majorEastAsia" w:cs="Arial" w:hint="eastAsia"/>
          <w:sz w:val="24"/>
        </w:rPr>
        <w:t>6</w:t>
      </w:r>
      <w:r w:rsidRPr="00F56F71">
        <w:rPr>
          <w:rFonts w:asciiTheme="majorEastAsia" w:eastAsiaTheme="majorEastAsia" w:hAnsiTheme="majorEastAsia" w:hint="eastAsia"/>
          <w:sz w:val="24"/>
        </w:rPr>
        <w:t>）</w:t>
      </w:r>
      <w:r w:rsidR="0028206A" w:rsidRPr="00F56F71">
        <w:rPr>
          <w:rFonts w:asciiTheme="majorEastAsia" w:eastAsiaTheme="majorEastAsia" w:hAnsiTheme="majorEastAsia" w:hint="eastAsia"/>
          <w:color w:val="0D0D0D" w:themeColor="text1" w:themeTint="F2"/>
          <w:sz w:val="24"/>
        </w:rPr>
        <w:t>本基金投资股票期权，根据相关法律法规以及监管部门的规定估值。</w:t>
      </w:r>
    </w:p>
    <w:p w14:paraId="215505E4" w14:textId="7AF17E6A" w:rsidR="00EF75FD" w:rsidRPr="00EF75FD" w:rsidRDefault="00E1042C" w:rsidP="00EF75FD">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lastRenderedPageBreak/>
        <w:t>（7）</w:t>
      </w:r>
      <w:r w:rsidR="00712FFB" w:rsidRPr="00712FFB">
        <w:rPr>
          <w:rFonts w:asciiTheme="majorEastAsia" w:eastAsiaTheme="majorEastAsia" w:hAnsiTheme="majorEastAsia" w:cs="Arial" w:hint="eastAsia"/>
          <w:sz w:val="24"/>
        </w:rPr>
        <w:t>本基金参与转融通证券出借业务的，将按照法律法规及行业协会的相关规定进行估值</w:t>
      </w:r>
      <w:r w:rsidR="00EF75FD" w:rsidRPr="00EF75FD">
        <w:rPr>
          <w:rFonts w:asciiTheme="majorEastAsia" w:eastAsiaTheme="majorEastAsia" w:hAnsiTheme="majorEastAsia" w:cs="Arial" w:hint="eastAsia"/>
          <w:sz w:val="24"/>
        </w:rPr>
        <w:t>。</w:t>
      </w:r>
    </w:p>
    <w:p w14:paraId="12CB07E9" w14:textId="4BA08DA3" w:rsidR="001F1226" w:rsidRPr="00F56F71" w:rsidRDefault="00EF75FD" w:rsidP="00EF75FD">
      <w:pPr>
        <w:adjustRightInd w:val="0"/>
        <w:snapToGrid w:val="0"/>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w:t>
      </w:r>
      <w:r w:rsidRPr="00EF75FD">
        <w:rPr>
          <w:rFonts w:asciiTheme="majorEastAsia" w:eastAsiaTheme="majorEastAsia" w:hAnsiTheme="majorEastAsia" w:cs="Arial" w:hint="eastAsia"/>
          <w:sz w:val="24"/>
        </w:rPr>
        <w:t>8</w:t>
      </w:r>
      <w:r>
        <w:rPr>
          <w:rFonts w:asciiTheme="majorEastAsia" w:eastAsiaTheme="majorEastAsia" w:hAnsiTheme="majorEastAsia" w:cs="Arial" w:hint="eastAsia"/>
          <w:sz w:val="24"/>
        </w:rPr>
        <w:t>）</w:t>
      </w:r>
      <w:r w:rsidR="001F1226" w:rsidRPr="00F56F71">
        <w:rPr>
          <w:rFonts w:asciiTheme="majorEastAsia" w:eastAsiaTheme="majorEastAsia" w:hAnsiTheme="majorEastAsia" w:cs="Arial" w:hint="eastAsia"/>
          <w:sz w:val="24"/>
        </w:rPr>
        <w:t>汇率</w:t>
      </w:r>
    </w:p>
    <w:p w14:paraId="2428A689" w14:textId="7F25B877" w:rsidR="001F1226" w:rsidRPr="00F56F71" w:rsidRDefault="001F1226"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本基金外币资产</w:t>
      </w:r>
      <w:r w:rsidRPr="00F56F71">
        <w:rPr>
          <w:rFonts w:asciiTheme="majorEastAsia" w:eastAsiaTheme="majorEastAsia" w:hAnsiTheme="majorEastAsia" w:hint="eastAsia"/>
          <w:sz w:val="24"/>
        </w:rPr>
        <w:t>价值</w:t>
      </w:r>
      <w:r w:rsidRPr="00F56F71">
        <w:rPr>
          <w:rFonts w:asciiTheme="majorEastAsia" w:eastAsiaTheme="majorEastAsia" w:hAnsiTheme="majorEastAsia" w:cs="Arial" w:hint="eastAsia"/>
          <w:sz w:val="24"/>
        </w:rPr>
        <w:t>计算中，涉及主要货币对人民币汇率的，应当以基金估值日中国人民银行或其授权机构公布的人民币汇率中间价为准；涉及到其它币种与人民币之间的汇率，参照数据服务商</w:t>
      </w:r>
      <w:r w:rsidRPr="00F56F71">
        <w:rPr>
          <w:rFonts w:asciiTheme="majorEastAsia" w:eastAsiaTheme="majorEastAsia" w:hAnsiTheme="majorEastAsia" w:hint="eastAsia"/>
          <w:sz w:val="24"/>
        </w:rPr>
        <w:t>提供的</w:t>
      </w:r>
      <w:r w:rsidRPr="00F56F71">
        <w:rPr>
          <w:rFonts w:asciiTheme="majorEastAsia" w:eastAsiaTheme="majorEastAsia" w:hAnsiTheme="majorEastAsia" w:cs="Arial" w:hint="eastAsia"/>
          <w:sz w:val="24"/>
        </w:rPr>
        <w:t>当日各种货币兑美元折算率采用套算的方法进行折算</w:t>
      </w:r>
      <w:r w:rsidRPr="00F56F71">
        <w:rPr>
          <w:rFonts w:asciiTheme="majorEastAsia" w:eastAsiaTheme="majorEastAsia" w:hAnsiTheme="majorEastAsia" w:hint="eastAsia"/>
          <w:sz w:val="24"/>
        </w:rPr>
        <w:t>。</w:t>
      </w:r>
    </w:p>
    <w:p w14:paraId="7F3FCAE2" w14:textId="1D8BADF5"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00EF75FD">
        <w:rPr>
          <w:rFonts w:asciiTheme="majorEastAsia" w:eastAsiaTheme="majorEastAsia" w:hAnsiTheme="majorEastAsia" w:hint="eastAsia"/>
          <w:sz w:val="24"/>
        </w:rPr>
        <w:t>9</w:t>
      </w:r>
      <w:r w:rsidRPr="00F56F71">
        <w:rPr>
          <w:rFonts w:asciiTheme="majorEastAsia" w:eastAsiaTheme="majorEastAsia" w:hAnsiTheme="majorEastAsia" w:hint="eastAsia"/>
          <w:sz w:val="24"/>
        </w:rPr>
        <w:t>）</w:t>
      </w:r>
      <w:r w:rsidR="0028206A" w:rsidRPr="00F56F71">
        <w:rPr>
          <w:rFonts w:asciiTheme="majorEastAsia" w:eastAsiaTheme="majorEastAsia" w:hAnsiTheme="majorEastAsia" w:hint="eastAsia"/>
          <w:color w:val="0D0D0D" w:themeColor="text1" w:themeTint="F2"/>
          <w:sz w:val="24"/>
        </w:rPr>
        <w:t>如有确凿证据表明按上述方法进行估值不能客观反映其公允价值的，基金管理人可根据具体情况与基金托管人商定后，按最能反映公允价值的方法估值。</w:t>
      </w:r>
    </w:p>
    <w:p w14:paraId="4D57439A" w14:textId="129D56D0"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w:t>
      </w:r>
      <w:r w:rsidR="00EF75FD">
        <w:rPr>
          <w:rFonts w:asciiTheme="majorEastAsia" w:eastAsiaTheme="majorEastAsia" w:hAnsiTheme="majorEastAsia" w:cs="Arial" w:hint="eastAsia"/>
          <w:sz w:val="24"/>
        </w:rPr>
        <w:t>10</w:t>
      </w:r>
      <w:r w:rsidRPr="00F56F71">
        <w:rPr>
          <w:rFonts w:asciiTheme="majorEastAsia" w:eastAsiaTheme="majorEastAsia" w:hAnsiTheme="majorEastAsia" w:hint="eastAsia"/>
          <w:sz w:val="24"/>
        </w:rPr>
        <w:t>）</w:t>
      </w:r>
      <w:r w:rsidR="0028206A" w:rsidRPr="00F56F71">
        <w:rPr>
          <w:rFonts w:asciiTheme="majorEastAsia" w:eastAsiaTheme="majorEastAsia" w:hAnsiTheme="majorEastAsia" w:hint="eastAsia"/>
          <w:color w:val="0D0D0D" w:themeColor="text1" w:themeTint="F2"/>
          <w:sz w:val="24"/>
        </w:rPr>
        <w:t>相关法律法规以及监管部门有强制规定的，从其规定。如有新增事项，按国家最新规定估值。</w:t>
      </w:r>
    </w:p>
    <w:p w14:paraId="27C93C65" w14:textId="77777777" w:rsidR="003A5994" w:rsidRPr="00F56F71" w:rsidRDefault="003A5994" w:rsidP="00EA5F2B">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1EB32C" w14:textId="4AFC52D0" w:rsidR="003A5994" w:rsidRPr="00F56F71" w:rsidRDefault="003A5994" w:rsidP="000A02E9">
      <w:pPr>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w:t>
      </w:r>
      <w:r w:rsidR="00A166AC" w:rsidRPr="00F56F71">
        <w:rPr>
          <w:rFonts w:asciiTheme="majorEastAsia" w:eastAsiaTheme="majorEastAsia" w:hAnsiTheme="majorEastAsia" w:hint="eastAsia"/>
          <w:sz w:val="24"/>
        </w:rPr>
        <w:t>盖章</w:t>
      </w:r>
      <w:r w:rsidRPr="00F56F71">
        <w:rPr>
          <w:rFonts w:asciiTheme="majorEastAsia" w:eastAsiaTheme="majorEastAsia" w:hAnsiTheme="majorEastAsia" w:hint="eastAsia"/>
          <w:sz w:val="24"/>
        </w:rPr>
        <w:t>的书面说明后，按照基金管理人对</w:t>
      </w:r>
      <w:r w:rsidR="0046272E">
        <w:rPr>
          <w:rFonts w:asciiTheme="majorEastAsia" w:eastAsiaTheme="majorEastAsia" w:hAnsiTheme="majorEastAsia" w:hint="eastAsia"/>
          <w:sz w:val="24"/>
        </w:rPr>
        <w:t>基金净值</w:t>
      </w:r>
      <w:r w:rsidRPr="00F56F71">
        <w:rPr>
          <w:rFonts w:asciiTheme="majorEastAsia" w:eastAsiaTheme="majorEastAsia" w:hAnsiTheme="majorEastAsia" w:hint="eastAsia"/>
          <w:sz w:val="24"/>
        </w:rPr>
        <w:t>的计算结果对外予以公布。</w:t>
      </w:r>
    </w:p>
    <w:p w14:paraId="2ACC9FF0" w14:textId="77777777" w:rsidR="003A5994" w:rsidRPr="00F56F71" w:rsidRDefault="003A5994" w:rsidP="000A02E9">
      <w:pPr>
        <w:adjustRightInd w:val="0"/>
        <w:snapToGrid w:val="0"/>
        <w:spacing w:line="360" w:lineRule="auto"/>
        <w:ind w:firstLine="480"/>
        <w:rPr>
          <w:rStyle w:val="read"/>
          <w:rFonts w:asciiTheme="majorEastAsia" w:eastAsiaTheme="majorEastAsia" w:hAnsiTheme="majorEastAsia"/>
          <w:sz w:val="24"/>
        </w:rPr>
      </w:pPr>
      <w:r w:rsidRPr="00F56F71">
        <w:rPr>
          <w:rStyle w:val="read"/>
          <w:rFonts w:asciiTheme="majorEastAsia" w:eastAsiaTheme="majorEastAsia" w:hAnsiTheme="majorEastAsia"/>
          <w:sz w:val="24"/>
        </w:rPr>
        <w:t>3.特殊情形的处理</w:t>
      </w:r>
    </w:p>
    <w:p w14:paraId="072084E5" w14:textId="391835FD" w:rsidR="003A5994" w:rsidRPr="00F56F71" w:rsidRDefault="003A5994" w:rsidP="000A02E9">
      <w:pPr>
        <w:adjustRightInd w:val="0"/>
        <w:snapToGrid w:val="0"/>
        <w:spacing w:line="360" w:lineRule="auto"/>
        <w:ind w:firstLineChars="200" w:firstLine="480"/>
        <w:rPr>
          <w:rStyle w:val="read"/>
          <w:rFonts w:asciiTheme="majorEastAsia" w:eastAsiaTheme="majorEastAsia" w:hAnsiTheme="majorEastAsia"/>
          <w:sz w:val="24"/>
        </w:rPr>
      </w:pPr>
      <w:r w:rsidRPr="00F56F71">
        <w:rPr>
          <w:rStyle w:val="read"/>
          <w:rFonts w:asciiTheme="majorEastAsia" w:eastAsiaTheme="majorEastAsia" w:hAnsiTheme="majorEastAsia" w:hint="eastAsia"/>
          <w:sz w:val="24"/>
        </w:rPr>
        <w:t>基金管理人、基金托管人按估值方法的第</w:t>
      </w:r>
      <w:r w:rsidRPr="00F56F71">
        <w:rPr>
          <w:rStyle w:val="read"/>
          <w:rFonts w:asciiTheme="majorEastAsia" w:eastAsiaTheme="majorEastAsia" w:hAnsiTheme="majorEastAsia"/>
          <w:sz w:val="24"/>
        </w:rPr>
        <w:t>(</w:t>
      </w:r>
      <w:r w:rsidR="00EA10EB">
        <w:rPr>
          <w:rStyle w:val="read"/>
          <w:rFonts w:asciiTheme="majorEastAsia" w:eastAsiaTheme="majorEastAsia" w:hAnsiTheme="majorEastAsia" w:hint="eastAsia"/>
          <w:sz w:val="24"/>
        </w:rPr>
        <w:t>9</w:t>
      </w:r>
      <w:r w:rsidRPr="00F56F71">
        <w:rPr>
          <w:rStyle w:val="read"/>
          <w:rFonts w:asciiTheme="majorEastAsia" w:eastAsiaTheme="majorEastAsia" w:hAnsiTheme="majorEastAsia"/>
          <w:sz w:val="24"/>
        </w:rPr>
        <w:t>)项进行估值时，所造成的误差不作为基金份</w:t>
      </w:r>
      <w:r w:rsidRPr="00F56F71">
        <w:rPr>
          <w:rStyle w:val="read"/>
          <w:rFonts w:asciiTheme="majorEastAsia" w:eastAsiaTheme="majorEastAsia" w:hAnsiTheme="majorEastAsia" w:hint="eastAsia"/>
          <w:sz w:val="24"/>
        </w:rPr>
        <w:t>额净值错误处理。</w:t>
      </w:r>
    </w:p>
    <w:p w14:paraId="0B549C18" w14:textId="0A73731F" w:rsidR="00E902B2" w:rsidRPr="009A0E78" w:rsidRDefault="00E902B2" w:rsidP="009A0E78">
      <w:pPr>
        <w:adjustRightInd w:val="0"/>
        <w:snapToGrid w:val="0"/>
        <w:spacing w:line="360" w:lineRule="auto"/>
        <w:ind w:firstLineChars="200" w:firstLine="480"/>
        <w:rPr>
          <w:rStyle w:val="read"/>
          <w:sz w:val="24"/>
        </w:rPr>
      </w:pPr>
      <w:r w:rsidRPr="009A0E78">
        <w:rPr>
          <w:rStyle w:val="read"/>
          <w:rFonts w:hint="eastAsia"/>
          <w:sz w:val="24"/>
        </w:rPr>
        <w:t>由于不可抗力原因，或由于</w:t>
      </w:r>
      <w:r w:rsidRPr="00F56F71">
        <w:rPr>
          <w:rStyle w:val="read"/>
          <w:rFonts w:hint="eastAsia"/>
          <w:sz w:val="24"/>
        </w:rPr>
        <w:t>证券</w:t>
      </w:r>
      <w:r w:rsidR="0035042F" w:rsidRPr="00F56F71">
        <w:rPr>
          <w:rStyle w:val="read"/>
          <w:rFonts w:hint="eastAsia"/>
          <w:sz w:val="24"/>
        </w:rPr>
        <w:t>/</w:t>
      </w:r>
      <w:r w:rsidR="0035042F" w:rsidRPr="00F56F71">
        <w:rPr>
          <w:rStyle w:val="read"/>
          <w:rFonts w:hint="eastAsia"/>
          <w:sz w:val="24"/>
        </w:rPr>
        <w:t>期货</w:t>
      </w:r>
      <w:r w:rsidRPr="00F56F71">
        <w:rPr>
          <w:rStyle w:val="read"/>
          <w:rFonts w:hint="eastAsia"/>
          <w:sz w:val="24"/>
        </w:rPr>
        <w:t>交易所</w:t>
      </w:r>
      <w:r w:rsidRPr="009A0E78">
        <w:rPr>
          <w:rStyle w:val="read"/>
          <w:rFonts w:hint="eastAsia"/>
          <w:sz w:val="24"/>
        </w:rPr>
        <w:t>或登记结算公司</w:t>
      </w:r>
      <w:r w:rsidR="0035042F" w:rsidRPr="00F56F71">
        <w:rPr>
          <w:rStyle w:val="read"/>
          <w:rFonts w:hint="eastAsia"/>
          <w:sz w:val="24"/>
        </w:rPr>
        <w:t>或标的指数供应商</w:t>
      </w:r>
      <w:r w:rsidRPr="00F56F71">
        <w:rPr>
          <w:rStyle w:val="read"/>
          <w:rFonts w:hint="eastAsia"/>
          <w:sz w:val="24"/>
        </w:rPr>
        <w:t>发送</w:t>
      </w:r>
      <w:r w:rsidRPr="009A0E78">
        <w:rPr>
          <w:rStyle w:val="read"/>
          <w:rFonts w:hint="eastAsia"/>
          <w:sz w:val="24"/>
        </w:rPr>
        <w:t>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596FC58" w14:textId="77777777" w:rsidR="003A5994" w:rsidRPr="00F56F71" w:rsidRDefault="003A5994" w:rsidP="00EA5F2B">
      <w:pPr>
        <w:adjustRightInd w:val="0"/>
        <w:snapToGrid w:val="0"/>
        <w:spacing w:line="360" w:lineRule="auto"/>
        <w:ind w:firstLineChars="200" w:firstLine="480"/>
        <w:rPr>
          <w:rStyle w:val="read"/>
          <w:rFonts w:asciiTheme="majorEastAsia" w:eastAsiaTheme="majorEastAsia" w:hAnsiTheme="majorEastAsia"/>
          <w:sz w:val="24"/>
        </w:rPr>
      </w:pPr>
      <w:r w:rsidRPr="00F56F71">
        <w:rPr>
          <w:rStyle w:val="read"/>
          <w:rFonts w:asciiTheme="majorEastAsia" w:eastAsiaTheme="majorEastAsia" w:hAnsiTheme="majorEastAsia" w:hint="eastAsia"/>
          <w:sz w:val="24"/>
        </w:rPr>
        <w:t>（三）基金份额净值错误的处理方式</w:t>
      </w:r>
    </w:p>
    <w:p w14:paraId="6D9899AE" w14:textId="2E8C7829" w:rsidR="00E902B2" w:rsidRPr="00F56F71" w:rsidRDefault="003A5994" w:rsidP="00EA5F2B">
      <w:pPr>
        <w:adjustRightInd w:val="0"/>
        <w:snapToGrid w:val="0"/>
        <w:spacing w:line="360" w:lineRule="auto"/>
        <w:ind w:firstLineChars="200" w:firstLine="480"/>
        <w:rPr>
          <w:rStyle w:val="read"/>
          <w:rFonts w:asciiTheme="majorEastAsia" w:eastAsiaTheme="majorEastAsia" w:hAnsiTheme="majorEastAsia"/>
          <w:sz w:val="24"/>
        </w:rPr>
      </w:pPr>
      <w:r w:rsidRPr="00F56F71">
        <w:rPr>
          <w:rStyle w:val="read"/>
          <w:rFonts w:asciiTheme="majorEastAsia" w:eastAsiaTheme="majorEastAsia" w:hAnsiTheme="majorEastAsia" w:hint="eastAsia"/>
          <w:sz w:val="24"/>
        </w:rPr>
        <w:t>1.当基金份额净值小数点后</w:t>
      </w:r>
      <w:r w:rsidR="0028206A" w:rsidRPr="00F56F71">
        <w:rPr>
          <w:rStyle w:val="read"/>
          <w:rFonts w:asciiTheme="majorEastAsia" w:eastAsiaTheme="majorEastAsia" w:hAnsiTheme="majorEastAsia" w:hint="eastAsia"/>
          <w:sz w:val="24"/>
        </w:rPr>
        <w:t>4</w:t>
      </w:r>
      <w:r w:rsidRPr="00F56F71">
        <w:rPr>
          <w:rStyle w:val="read"/>
          <w:rFonts w:asciiTheme="majorEastAsia" w:eastAsiaTheme="majorEastAsia" w:hAnsiTheme="majorEastAsia" w:hint="eastAsia"/>
          <w:sz w:val="24"/>
        </w:rPr>
        <w:t>位以内(含第</w:t>
      </w:r>
      <w:r w:rsidR="0028206A" w:rsidRPr="00F56F71">
        <w:rPr>
          <w:rStyle w:val="read"/>
          <w:rFonts w:asciiTheme="majorEastAsia" w:eastAsiaTheme="majorEastAsia" w:hAnsiTheme="majorEastAsia" w:hint="eastAsia"/>
          <w:sz w:val="24"/>
        </w:rPr>
        <w:t>4</w:t>
      </w:r>
      <w:r w:rsidRPr="00F56F71">
        <w:rPr>
          <w:rStyle w:val="read"/>
          <w:rFonts w:asciiTheme="majorEastAsia" w:eastAsiaTheme="majorEastAsia" w:hAnsiTheme="majorEastAsia" w:hint="eastAsia"/>
          <w:sz w:val="24"/>
        </w:rPr>
        <w:t>位)发生差错时，视为基金份额净值错误；基金份额净值出现错误时，基金管理人应当立即予以纠正，通报基金</w:t>
      </w:r>
      <w:r w:rsidRPr="00F56F71">
        <w:rPr>
          <w:rStyle w:val="read"/>
          <w:rFonts w:asciiTheme="majorEastAsia" w:eastAsiaTheme="majorEastAsia" w:hAnsiTheme="majorEastAsia" w:hint="eastAsia"/>
          <w:sz w:val="24"/>
        </w:rPr>
        <w:lastRenderedPageBreak/>
        <w:t>托管人，并采取合理的措施防止损失进一步扩大；</w:t>
      </w:r>
    </w:p>
    <w:p w14:paraId="26086C10" w14:textId="62B8BB4A" w:rsidR="003A5994" w:rsidRPr="00F56F71" w:rsidRDefault="00E902B2" w:rsidP="00EA5F2B">
      <w:pPr>
        <w:adjustRightInd w:val="0"/>
        <w:snapToGrid w:val="0"/>
        <w:spacing w:line="360" w:lineRule="auto"/>
        <w:ind w:firstLineChars="200" w:firstLine="480"/>
        <w:rPr>
          <w:rFonts w:asciiTheme="majorEastAsia" w:eastAsiaTheme="majorEastAsia" w:hAnsiTheme="majorEastAsia"/>
        </w:rPr>
      </w:pPr>
      <w:r w:rsidRPr="00F56F71">
        <w:rPr>
          <w:rStyle w:val="read"/>
          <w:rFonts w:asciiTheme="majorEastAsia" w:eastAsiaTheme="majorEastAsia" w:hAnsiTheme="majorEastAsia" w:hint="eastAsia"/>
          <w:sz w:val="24"/>
        </w:rPr>
        <w:t>2.</w:t>
      </w:r>
      <w:r w:rsidR="003A5994" w:rsidRPr="00F56F71">
        <w:rPr>
          <w:rStyle w:val="read"/>
          <w:rFonts w:asciiTheme="majorEastAsia" w:eastAsiaTheme="majorEastAsia" w:hAnsiTheme="majorEastAsia" w:hint="eastAsia"/>
          <w:sz w:val="24"/>
        </w:rPr>
        <w:t>错误偏差达到基金份额净值的0.25%时，基金管理人应当通报基金托管人并报中国证监会备案</w:t>
      </w:r>
      <w:r w:rsidR="003A5994" w:rsidRPr="00F56F71">
        <w:rPr>
          <w:rFonts w:asciiTheme="majorEastAsia" w:eastAsiaTheme="majorEastAsia" w:hAnsiTheme="majorEastAsia" w:hint="eastAsia"/>
          <w:sz w:val="24"/>
        </w:rPr>
        <w:t>；错误偏差达到基金份额净值的0.5%时，基金管理人应当公告</w:t>
      </w:r>
      <w:r w:rsidR="003F5E82" w:rsidRPr="003F5E82">
        <w:rPr>
          <w:rFonts w:asciiTheme="majorEastAsia" w:eastAsiaTheme="majorEastAsia" w:hAnsiTheme="majorEastAsia" w:hint="eastAsia"/>
          <w:sz w:val="24"/>
        </w:rPr>
        <w:t>，并报中国证监会备案</w:t>
      </w:r>
      <w:r w:rsidR="00E13E7E" w:rsidRPr="00F56F71">
        <w:rPr>
          <w:rStyle w:val="read"/>
          <w:rFonts w:asciiTheme="majorEastAsia" w:eastAsiaTheme="majorEastAsia" w:hAnsiTheme="majorEastAsia" w:hint="eastAsia"/>
          <w:sz w:val="24"/>
        </w:rPr>
        <w:t>；当发生净值计算错误时，由基金管理人负责处理，由此给基金份额持有人和基金造成损失的，应由基金管理人先行赔付，基金管理人按差错情形，有权向其他当事人追偿</w:t>
      </w:r>
      <w:r w:rsidR="003A5994" w:rsidRPr="00F56F71">
        <w:rPr>
          <w:rFonts w:asciiTheme="majorEastAsia" w:eastAsiaTheme="majorEastAsia" w:hAnsiTheme="majorEastAsia" w:hint="eastAsia"/>
        </w:rPr>
        <w:t>。</w:t>
      </w:r>
    </w:p>
    <w:p w14:paraId="3D5AFF01" w14:textId="4331AEE4" w:rsidR="00E13E7E" w:rsidRPr="00F56F71" w:rsidRDefault="00E902B2" w:rsidP="00EA5F2B">
      <w:pPr>
        <w:adjustRightInd w:val="0"/>
        <w:snapToGrid w:val="0"/>
        <w:spacing w:line="360" w:lineRule="auto"/>
        <w:ind w:firstLineChars="200" w:firstLine="480"/>
        <w:rPr>
          <w:rStyle w:val="read"/>
          <w:rFonts w:asciiTheme="majorEastAsia" w:eastAsiaTheme="majorEastAsia" w:hAnsiTheme="majorEastAsia"/>
          <w:sz w:val="24"/>
        </w:rPr>
      </w:pPr>
      <w:r w:rsidRPr="00F56F71">
        <w:rPr>
          <w:rFonts w:asciiTheme="majorEastAsia" w:eastAsiaTheme="majorEastAsia" w:hAnsiTheme="majorEastAsia"/>
          <w:sz w:val="24"/>
        </w:rPr>
        <w:t>3</w:t>
      </w:r>
      <w:r w:rsidR="00E13E7E" w:rsidRPr="00F56F71">
        <w:rPr>
          <w:rStyle w:val="read"/>
          <w:rFonts w:asciiTheme="majorEastAsia" w:eastAsiaTheme="majorEastAsia" w:hAnsiTheme="majorEastAsia" w:hint="eastAsia"/>
          <w:sz w:val="24"/>
        </w:rPr>
        <w:t>.当基金份额净值计算差错给基金和基金份额持有人造成损失需要进行赔偿时，基金管理人和基金托管人应根据实际情况界定双方承担的责任，经确认后按以下条款进行赔偿：</w:t>
      </w:r>
    </w:p>
    <w:p w14:paraId="66F5A1DA" w14:textId="77777777" w:rsidR="00E13E7E" w:rsidRPr="00F56F71" w:rsidRDefault="00E13E7E" w:rsidP="00EA5F2B">
      <w:pPr>
        <w:adjustRightInd w:val="0"/>
        <w:snapToGrid w:val="0"/>
        <w:spacing w:line="360" w:lineRule="auto"/>
        <w:ind w:firstLineChars="200" w:firstLine="480"/>
        <w:rPr>
          <w:rStyle w:val="read"/>
          <w:rFonts w:asciiTheme="majorEastAsia" w:eastAsiaTheme="majorEastAsia" w:hAnsiTheme="majorEastAsia"/>
          <w:sz w:val="24"/>
        </w:rPr>
      </w:pPr>
      <w:r w:rsidRPr="00F56F71">
        <w:rPr>
          <w:rStyle w:val="read"/>
          <w:rFonts w:asciiTheme="majorEastAsia" w:eastAsiaTheme="majorEastAsia" w:hAnsiTheme="maj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84F15E3" w14:textId="77777777" w:rsidR="00E13E7E" w:rsidRPr="00F56F71" w:rsidRDefault="00E13E7E" w:rsidP="00EA5F2B">
      <w:pPr>
        <w:adjustRightInd w:val="0"/>
        <w:snapToGrid w:val="0"/>
        <w:spacing w:line="360" w:lineRule="auto"/>
        <w:ind w:firstLineChars="200" w:firstLine="480"/>
        <w:rPr>
          <w:rStyle w:val="read"/>
          <w:rFonts w:asciiTheme="majorEastAsia" w:eastAsiaTheme="majorEastAsia" w:hAnsiTheme="majorEastAsia"/>
          <w:sz w:val="24"/>
        </w:rPr>
      </w:pPr>
      <w:r w:rsidRPr="00F56F71">
        <w:rPr>
          <w:rStyle w:val="read"/>
          <w:rFonts w:asciiTheme="majorEastAsia" w:eastAsiaTheme="majorEastAsia" w:hAnsiTheme="majorEastAsia"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D07A2AC" w14:textId="77777777" w:rsidR="00E13E7E" w:rsidRPr="00F56F71" w:rsidRDefault="00E13E7E" w:rsidP="00EA5F2B">
      <w:pPr>
        <w:adjustRightInd w:val="0"/>
        <w:snapToGrid w:val="0"/>
        <w:spacing w:line="360" w:lineRule="auto"/>
        <w:ind w:firstLineChars="200" w:firstLine="480"/>
        <w:rPr>
          <w:rStyle w:val="read"/>
          <w:rFonts w:asciiTheme="majorEastAsia" w:eastAsiaTheme="majorEastAsia" w:hAnsiTheme="majorEastAsia"/>
          <w:sz w:val="24"/>
        </w:rPr>
      </w:pPr>
      <w:r w:rsidRPr="00F56F71">
        <w:rPr>
          <w:rStyle w:val="read"/>
          <w:rFonts w:asciiTheme="majorEastAsia" w:eastAsiaTheme="majorEastAsia" w:hAnsiTheme="majorEastAsia"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2B17826" w14:textId="78F8680A" w:rsidR="00E13E7E" w:rsidRPr="00F56F71" w:rsidRDefault="00E13E7E" w:rsidP="00EA5F2B">
      <w:pPr>
        <w:adjustRightInd w:val="0"/>
        <w:snapToGrid w:val="0"/>
        <w:spacing w:line="360" w:lineRule="auto"/>
        <w:ind w:firstLineChars="200" w:firstLine="480"/>
        <w:rPr>
          <w:rFonts w:asciiTheme="majorEastAsia" w:eastAsiaTheme="majorEastAsia" w:hAnsiTheme="majorEastAsia" w:cs="Arial"/>
          <w:sz w:val="24"/>
        </w:rPr>
      </w:pPr>
      <w:r w:rsidRPr="00F56F71">
        <w:rPr>
          <w:rStyle w:val="read"/>
          <w:rFonts w:asciiTheme="majorEastAsia" w:eastAsiaTheme="majorEastAsia" w:hAnsiTheme="majorEastAsia" w:hint="eastAsia"/>
          <w:sz w:val="24"/>
        </w:rPr>
        <w:t>(4)由于基金管理人提供的信息错误（包括但不限于基金申购或赎回金额等），进而导致基金份额净值计算错误而引起的基金份额持有人和基金财产的损失，由基金管理人负责赔付。</w:t>
      </w:r>
    </w:p>
    <w:p w14:paraId="0B553E0F" w14:textId="357BB89E" w:rsidR="00242F44" w:rsidRPr="00F56F71" w:rsidRDefault="00E13E7E"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hAnsiTheme="majorEastAsia" w:hint="eastAsia"/>
          <w:sz w:val="24"/>
        </w:rPr>
        <w:t>4</w:t>
      </w:r>
      <w:r w:rsidR="00242F44" w:rsidRPr="00F56F71">
        <w:rPr>
          <w:rFonts w:asciiTheme="majorEastAsia" w:hAnsiTheme="majorEastAsia" w:hint="eastAsia"/>
          <w:sz w:val="24"/>
        </w:rPr>
        <w:t>.由于</w:t>
      </w:r>
      <w:r w:rsidR="00242F44" w:rsidRPr="00F56F71">
        <w:rPr>
          <w:rFonts w:asciiTheme="majorEastAsia" w:eastAsiaTheme="majorEastAsia" w:hAnsiTheme="majorEastAsia" w:cs="Arial" w:hint="eastAsia"/>
          <w:sz w:val="24"/>
        </w:rPr>
        <w:t>证券</w:t>
      </w:r>
      <w:r w:rsidR="00F20813" w:rsidRPr="00F56F71">
        <w:rPr>
          <w:rFonts w:asciiTheme="majorEastAsia" w:eastAsiaTheme="majorEastAsia" w:hAnsiTheme="majorEastAsia" w:cs="Arial" w:hint="eastAsia"/>
          <w:sz w:val="24"/>
        </w:rPr>
        <w:t>/期货</w:t>
      </w:r>
      <w:r w:rsidR="00242F44" w:rsidRPr="00F56F71">
        <w:rPr>
          <w:rFonts w:asciiTheme="majorEastAsia" w:eastAsiaTheme="majorEastAsia" w:hAnsiTheme="majorEastAsia" w:cs="Arial" w:hint="eastAsia"/>
          <w:sz w:val="24"/>
        </w:rPr>
        <w:t>交易所</w:t>
      </w:r>
      <w:r w:rsidR="00242F44" w:rsidRPr="00F56F71">
        <w:rPr>
          <w:rFonts w:asciiTheme="majorEastAsia" w:hAnsiTheme="majorEastAsia" w:hint="eastAsia"/>
          <w:sz w:val="24"/>
        </w:rPr>
        <w:t>及登记结算公司</w:t>
      </w:r>
      <w:r w:rsidR="00F20813" w:rsidRPr="00F56F71">
        <w:rPr>
          <w:rFonts w:asciiTheme="majorEastAsia" w:eastAsiaTheme="majorEastAsia" w:hAnsiTheme="majorEastAsia" w:cs="Arial" w:hint="eastAsia"/>
          <w:sz w:val="24"/>
        </w:rPr>
        <w:t>或标的指数供应商</w:t>
      </w:r>
      <w:r w:rsidR="00242F44" w:rsidRPr="00F56F71">
        <w:rPr>
          <w:rFonts w:asciiTheme="majorEastAsia" w:hAnsiTheme="majorEastAsia" w:hint="eastAsia"/>
          <w:sz w:val="24"/>
        </w:rPr>
        <w:t>发送的数据错误，由于其</w:t>
      </w:r>
      <w:r w:rsidR="00242F44" w:rsidRPr="00F56F71">
        <w:rPr>
          <w:rFonts w:asciiTheme="majorEastAsia" w:eastAsiaTheme="majorEastAsia" w:hAnsiTheme="majorEastAsia" w:cs="Arial" w:hint="eastAsia"/>
          <w:sz w:val="24"/>
        </w:rPr>
        <w:t>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C266B78" w14:textId="1A753AF1" w:rsidR="003A5994" w:rsidRPr="00F56F71" w:rsidRDefault="00B2250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5</w:t>
      </w:r>
      <w:r w:rsidR="003A5994" w:rsidRPr="00F56F71">
        <w:rPr>
          <w:rFonts w:asciiTheme="majorEastAsia" w:eastAsiaTheme="majorEastAsia" w:hAnsiTheme="majorEastAsia"/>
          <w:sz w:val="24"/>
        </w:rPr>
        <w:t>.基金管理人和基金托管人由于各自技术系统设置而产生的净值计算尾差，</w:t>
      </w:r>
      <w:r w:rsidR="003A5994" w:rsidRPr="00F56F71">
        <w:rPr>
          <w:rFonts w:asciiTheme="majorEastAsia" w:eastAsiaTheme="majorEastAsia" w:hAnsiTheme="majorEastAsia"/>
          <w:sz w:val="24"/>
        </w:rPr>
        <w:lastRenderedPageBreak/>
        <w:t>以基金管理人计算结果为准。</w:t>
      </w:r>
    </w:p>
    <w:p w14:paraId="58F5A346" w14:textId="45CF349C" w:rsidR="003A5994" w:rsidRPr="00F56F71" w:rsidRDefault="00B2250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6</w:t>
      </w:r>
      <w:r w:rsidR="003A5994" w:rsidRPr="00F56F71">
        <w:rPr>
          <w:rFonts w:asciiTheme="majorEastAsia" w:eastAsiaTheme="majorEastAsia" w:hAnsiTheme="majorEastAsia"/>
          <w:sz w:val="24"/>
        </w:rPr>
        <w:t>.前述内容如法律法规或者监管部门另有规定的，从其规定。如果行业另有通行做法，双方当事人应本着平等和保护基金份额持有人利益的原则进行协商。</w:t>
      </w:r>
    </w:p>
    <w:p w14:paraId="6285959C"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（四）暂停估值与公告基金份额净值的情形</w:t>
      </w:r>
    </w:p>
    <w:p w14:paraId="39C97211" w14:textId="39221705" w:rsidR="0028206A" w:rsidRPr="00F56F71" w:rsidRDefault="0028206A"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sz w:val="24"/>
        </w:rPr>
        <w:t>1</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基金投资所涉及的证券</w:t>
      </w:r>
      <w:r w:rsidRPr="00F56F71">
        <w:rPr>
          <w:rFonts w:asciiTheme="majorEastAsia" w:eastAsiaTheme="majorEastAsia" w:hAnsiTheme="majorEastAsia" w:cs="Arial" w:hint="eastAsia"/>
          <w:sz w:val="24"/>
        </w:rPr>
        <w:t>/期货</w:t>
      </w:r>
      <w:r w:rsidRPr="00F56F71">
        <w:rPr>
          <w:rFonts w:asciiTheme="majorEastAsia" w:eastAsiaTheme="majorEastAsia" w:hAnsiTheme="majorEastAsia" w:hint="eastAsia"/>
          <w:sz w:val="24"/>
        </w:rPr>
        <w:t>交易市场</w:t>
      </w:r>
      <w:r w:rsidR="007C30DE" w:rsidRPr="00F56F71">
        <w:rPr>
          <w:rFonts w:asciiTheme="majorEastAsia" w:eastAsiaTheme="majorEastAsia" w:hAnsiTheme="majorEastAsia" w:cs="Arial" w:hint="eastAsia"/>
          <w:sz w:val="24"/>
        </w:rPr>
        <w:t>或</w:t>
      </w:r>
      <w:r w:rsidR="007C30DE" w:rsidRPr="00F56F71">
        <w:rPr>
          <w:rFonts w:asciiTheme="majorEastAsia" w:eastAsiaTheme="majorEastAsia" w:hAnsiTheme="majorEastAsia" w:cs="Arial"/>
          <w:sz w:val="24"/>
        </w:rPr>
        <w:t>外汇市场</w:t>
      </w:r>
      <w:r w:rsidRPr="00F56F71">
        <w:rPr>
          <w:rFonts w:asciiTheme="majorEastAsia" w:eastAsiaTheme="majorEastAsia" w:hAnsiTheme="majorEastAsia" w:hint="eastAsia"/>
          <w:sz w:val="24"/>
        </w:rPr>
        <w:t>遇法定节假日或因其他原因暂停营业时；</w:t>
      </w:r>
    </w:p>
    <w:p w14:paraId="0029BB57" w14:textId="6BD9E631" w:rsidR="0028206A" w:rsidRPr="00F56F71" w:rsidRDefault="0028206A"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sz w:val="24"/>
        </w:rPr>
        <w:t>2</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因不可抗力致使基金管理人、基金托管人无法准确评估基金资产价值时；</w:t>
      </w:r>
    </w:p>
    <w:p w14:paraId="5C049ED1" w14:textId="4284AB9E" w:rsidR="0028206A" w:rsidRPr="00F56F71" w:rsidRDefault="0028206A"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sz w:val="24"/>
        </w:rPr>
        <w:t>3</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当前一估值日基金资产净值</w:t>
      </w:r>
      <w:r w:rsidRPr="00F56F71">
        <w:rPr>
          <w:rFonts w:asciiTheme="majorEastAsia" w:eastAsiaTheme="majorEastAsia" w:hAnsiTheme="majorEastAsia"/>
          <w:sz w:val="24"/>
        </w:rPr>
        <w:t>50%以上的资产出现无可参考的活跃市场价格且采用估值技术仍导致公允价值存在重大不确定性时，经与基金托管人协商</w:t>
      </w:r>
      <w:r w:rsidRPr="00F56F71">
        <w:rPr>
          <w:rFonts w:asciiTheme="majorEastAsia" w:eastAsiaTheme="majorEastAsia" w:hAnsiTheme="majorEastAsia" w:cs="Arial" w:hint="eastAsia"/>
          <w:sz w:val="24"/>
        </w:rPr>
        <w:t>确认后，基金管理人应当暂停估值</w:t>
      </w:r>
      <w:r w:rsidRPr="00F56F71">
        <w:rPr>
          <w:rFonts w:asciiTheme="majorEastAsia" w:eastAsiaTheme="majorEastAsia" w:hAnsiTheme="majorEastAsia" w:hint="eastAsia"/>
          <w:sz w:val="24"/>
        </w:rPr>
        <w:t>；</w:t>
      </w:r>
    </w:p>
    <w:p w14:paraId="384DAA32" w14:textId="4A568618" w:rsidR="003A5994" w:rsidRPr="00F56F71" w:rsidRDefault="0028206A"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sz w:val="24"/>
        </w:rPr>
        <w:t>4</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中国证监会和</w:t>
      </w:r>
      <w:r w:rsidRPr="00F56F71">
        <w:rPr>
          <w:rFonts w:asciiTheme="majorEastAsia" w:eastAsiaTheme="majorEastAsia" w:hAnsiTheme="majorEastAsia" w:cs="Arial" w:hint="eastAsia"/>
          <w:sz w:val="24"/>
        </w:rPr>
        <w:t>基金合同</w:t>
      </w:r>
      <w:r w:rsidRPr="00F56F71">
        <w:rPr>
          <w:rFonts w:asciiTheme="majorEastAsia" w:eastAsiaTheme="majorEastAsia" w:hAnsiTheme="majorEastAsia" w:hint="eastAsia"/>
          <w:sz w:val="24"/>
        </w:rPr>
        <w:t>认定的</w:t>
      </w:r>
      <w:r w:rsidRPr="00F56F71">
        <w:rPr>
          <w:rFonts w:asciiTheme="majorEastAsia" w:eastAsiaTheme="majorEastAsia" w:hAnsiTheme="majorEastAsia" w:cs="Arial" w:hint="eastAsia"/>
          <w:sz w:val="24"/>
        </w:rPr>
        <w:t>其它</w:t>
      </w:r>
      <w:r w:rsidRPr="00F56F71">
        <w:rPr>
          <w:rFonts w:asciiTheme="majorEastAsia" w:eastAsiaTheme="majorEastAsia" w:hAnsiTheme="majorEastAsia" w:hint="eastAsia"/>
          <w:sz w:val="24"/>
        </w:rPr>
        <w:t>情形。</w:t>
      </w:r>
    </w:p>
    <w:p w14:paraId="1687021B"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（五）基金会计制度</w:t>
      </w:r>
    </w:p>
    <w:p w14:paraId="5468734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按国家有关部门规定的会计制度执行。</w:t>
      </w:r>
    </w:p>
    <w:p w14:paraId="461BC18A"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（六）基金账册的建立</w:t>
      </w:r>
    </w:p>
    <w:p w14:paraId="31DC94F0" w14:textId="4D01E01C"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w:t>
      </w:r>
      <w:r w:rsidR="0006122E">
        <w:rPr>
          <w:rFonts w:asciiTheme="majorEastAsia" w:eastAsiaTheme="majorEastAsia" w:hAnsiTheme="majorEastAsia" w:hint="eastAsia"/>
          <w:sz w:val="24"/>
        </w:rPr>
        <w:t>基金净值</w:t>
      </w:r>
      <w:r w:rsidRPr="00F56F71">
        <w:rPr>
          <w:rFonts w:asciiTheme="majorEastAsia" w:eastAsiaTheme="majorEastAsia" w:hAnsiTheme="majorEastAsia" w:hint="eastAsia"/>
          <w:sz w:val="24"/>
        </w:rPr>
        <w:t>的计算和公告的，以基金管理人的账册为准。</w:t>
      </w:r>
    </w:p>
    <w:p w14:paraId="764A91CD"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（七）基金财务报表与报告的编制和复核</w:t>
      </w:r>
    </w:p>
    <w:p w14:paraId="25C864C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1.财务报表的编制</w:t>
      </w:r>
    </w:p>
    <w:p w14:paraId="13CEF126"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基金财务报表由基金管理人编制，基金托管人复核。</w:t>
      </w:r>
    </w:p>
    <w:p w14:paraId="050603E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2.报表复核</w:t>
      </w:r>
    </w:p>
    <w:p w14:paraId="52D0077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基金托管人在收到基金管理人编制的基金财务报表后，进行独立的复核。核对不符时，应及时通知基金管理人共同查出原因，进行调整，直至双方数据完全一致。</w:t>
      </w:r>
    </w:p>
    <w:p w14:paraId="11BA23B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3.财务报表的编制与复核时间安排</w:t>
      </w:r>
    </w:p>
    <w:p w14:paraId="2CF8D6A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(1)报表的编制</w:t>
      </w:r>
    </w:p>
    <w:p w14:paraId="614FC731" w14:textId="15DB44EA" w:rsidR="003A5994" w:rsidRPr="00F56F71" w:rsidRDefault="003A5994" w:rsidP="003F5E82">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基金管理人应当在每月结束后</w:t>
      </w:r>
      <w:r w:rsidRPr="00F56F71">
        <w:rPr>
          <w:rFonts w:asciiTheme="majorEastAsia" w:eastAsiaTheme="majorEastAsia" w:hAnsiTheme="majorEastAsia"/>
          <w:sz w:val="24"/>
        </w:rPr>
        <w:t>5个工作日内完成月度报表的编制；在每个季度结束之日起15个工作日内完成基金季度报告的编制；</w:t>
      </w:r>
      <w:r w:rsidR="003F5E82" w:rsidRPr="003F5E82">
        <w:rPr>
          <w:rFonts w:asciiTheme="majorEastAsia" w:eastAsiaTheme="majorEastAsia" w:hAnsiTheme="majorEastAsia" w:hint="eastAsia"/>
          <w:sz w:val="24"/>
        </w:rPr>
        <w:t>在</w:t>
      </w:r>
      <w:r w:rsidR="00C55AF5">
        <w:rPr>
          <w:rFonts w:asciiTheme="majorEastAsia" w:eastAsiaTheme="majorEastAsia" w:hAnsiTheme="majorEastAsia" w:hint="eastAsia"/>
          <w:sz w:val="24"/>
        </w:rPr>
        <w:t>每个上半年结束之日起两个月内</w:t>
      </w:r>
      <w:r w:rsidR="003F5E82" w:rsidRPr="003F5E82">
        <w:rPr>
          <w:rFonts w:asciiTheme="majorEastAsia" w:eastAsiaTheme="majorEastAsia" w:hAnsiTheme="majorEastAsia" w:hint="eastAsia"/>
          <w:sz w:val="24"/>
        </w:rPr>
        <w:t>，编制完成基金中期报告</w:t>
      </w:r>
      <w:r w:rsidR="003F5E82">
        <w:rPr>
          <w:rFonts w:asciiTheme="majorEastAsia" w:eastAsiaTheme="majorEastAsia" w:hAnsiTheme="majorEastAsia" w:hint="eastAsia"/>
          <w:sz w:val="24"/>
        </w:rPr>
        <w:t>；</w:t>
      </w:r>
      <w:r w:rsidR="003F5E82" w:rsidRPr="003F5E82">
        <w:rPr>
          <w:rFonts w:asciiTheme="majorEastAsia" w:eastAsiaTheme="majorEastAsia" w:hAnsiTheme="majorEastAsia" w:hint="eastAsia"/>
          <w:sz w:val="24"/>
        </w:rPr>
        <w:t>在</w:t>
      </w:r>
      <w:r w:rsidR="00C55AF5">
        <w:rPr>
          <w:rFonts w:asciiTheme="majorEastAsia" w:eastAsiaTheme="majorEastAsia" w:hAnsiTheme="majorEastAsia" w:hint="eastAsia"/>
          <w:sz w:val="24"/>
        </w:rPr>
        <w:t>每年结束之日起三个月内</w:t>
      </w:r>
      <w:r w:rsidR="003F5E82" w:rsidRPr="003F5E82">
        <w:rPr>
          <w:rFonts w:asciiTheme="majorEastAsia" w:eastAsiaTheme="majorEastAsia" w:hAnsiTheme="majorEastAsia" w:hint="eastAsia"/>
          <w:sz w:val="24"/>
        </w:rPr>
        <w:t>，编制完成基金</w:t>
      </w:r>
      <w:r w:rsidR="003F5E82" w:rsidRPr="003F5E82">
        <w:rPr>
          <w:rFonts w:asciiTheme="majorEastAsia" w:eastAsiaTheme="majorEastAsia" w:hAnsiTheme="majorEastAsia" w:hint="eastAsia"/>
          <w:sz w:val="24"/>
        </w:rPr>
        <w:lastRenderedPageBreak/>
        <w:t>年度报告</w:t>
      </w:r>
      <w:r w:rsidR="003F5E82">
        <w:rPr>
          <w:rFonts w:asciiTheme="majorEastAsia" w:eastAsiaTheme="majorEastAsia" w:hAnsiTheme="majorEastAsia" w:hint="eastAsia"/>
          <w:sz w:val="24"/>
        </w:rPr>
        <w:t>。</w:t>
      </w:r>
      <w:r w:rsidR="00C55AF5">
        <w:rPr>
          <w:rFonts w:asciiTheme="majorEastAsia" w:eastAsiaTheme="majorEastAsia" w:hAnsiTheme="majorEastAsia" w:hint="eastAsia"/>
          <w:sz w:val="24"/>
        </w:rPr>
        <w:t>基金年度报告中的财务会计报告应当经过具有证券、期货相关业务资格的会计师事务所审计。</w:t>
      </w:r>
      <w:r w:rsidR="002C1C3C">
        <w:rPr>
          <w:rFonts w:asciiTheme="majorEastAsia" w:eastAsiaTheme="majorEastAsia" w:hAnsiTheme="majorEastAsia" w:hint="eastAsia"/>
          <w:sz w:val="24"/>
        </w:rPr>
        <w:t>基金</w:t>
      </w:r>
      <w:r w:rsidR="002A3FCC" w:rsidRPr="002A3FCC">
        <w:rPr>
          <w:rFonts w:asciiTheme="majorEastAsia" w:eastAsiaTheme="majorEastAsia" w:hAnsiTheme="majorEastAsia" w:hint="eastAsia"/>
          <w:sz w:val="24"/>
        </w:rPr>
        <w:t>合同生效不足两个月的，基金管理人可以不编制当期季度报告、中期报告或者年度报告。</w:t>
      </w:r>
    </w:p>
    <w:p w14:paraId="4C998CAD" w14:textId="77777777" w:rsidR="003A5994" w:rsidRPr="00F56F71" w:rsidRDefault="003A5994"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(2)报表的复核</w:t>
      </w:r>
    </w:p>
    <w:p w14:paraId="39B69593" w14:textId="77777777" w:rsidR="003A5994" w:rsidRPr="00F56F71" w:rsidRDefault="003A5994"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C95023E" w14:textId="77777777" w:rsidR="003A5994" w:rsidRPr="00F56F71" w:rsidRDefault="003A5994"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基金管理人应留足充分的时间，便于基金托管人复核相关报表及报告。</w:t>
      </w:r>
    </w:p>
    <w:p w14:paraId="6B83D631" w14:textId="17EF842D" w:rsidR="003A5994" w:rsidRPr="00F56F71" w:rsidRDefault="003A5994"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（八）基金管理人应在编制季度报告、</w:t>
      </w:r>
      <w:r w:rsidR="00502A39">
        <w:rPr>
          <w:rFonts w:asciiTheme="majorEastAsia" w:eastAsiaTheme="majorEastAsia" w:hAnsiTheme="majorEastAsia" w:hint="eastAsia"/>
          <w:sz w:val="24"/>
        </w:rPr>
        <w:t>中期</w:t>
      </w:r>
      <w:r w:rsidRPr="00F56F71">
        <w:rPr>
          <w:rFonts w:asciiTheme="majorEastAsia" w:eastAsiaTheme="majorEastAsia" w:hAnsiTheme="majorEastAsia" w:hint="eastAsia"/>
          <w:sz w:val="24"/>
        </w:rPr>
        <w:t>报告或者年度报告之前及时向基金托管人提供基金业绩比较基准的编制结果。</w:t>
      </w:r>
    </w:p>
    <w:p w14:paraId="3BBD158E" w14:textId="77777777" w:rsidR="003A5994" w:rsidRPr="00F56F71" w:rsidRDefault="003A5994" w:rsidP="00EA5F2B">
      <w:pPr>
        <w:pStyle w:val="a0"/>
        <w:adjustRightInd w:val="0"/>
        <w:snapToGrid w:val="0"/>
        <w:spacing w:line="360" w:lineRule="auto"/>
        <w:ind w:firstLineChars="0" w:firstLine="0"/>
        <w:rPr>
          <w:rFonts w:asciiTheme="majorEastAsia" w:eastAsiaTheme="majorEastAsia" w:hAnsiTheme="majorEastAsia"/>
          <w:sz w:val="24"/>
        </w:rPr>
      </w:pPr>
    </w:p>
    <w:p w14:paraId="2D0F89BF"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19"/>
          <w:pgSz w:w="11906" w:h="16838" w:code="9"/>
          <w:pgMar w:top="1418" w:right="1701" w:bottom="1418" w:left="1701" w:header="851" w:footer="992" w:gutter="0"/>
          <w:pgNumType w:start="1"/>
          <w:cols w:space="425"/>
          <w:docGrid w:type="lines" w:linePitch="312"/>
        </w:sectPr>
      </w:pPr>
      <w:bookmarkStart w:id="86" w:name="_Toc124325893"/>
    </w:p>
    <w:p w14:paraId="5FF0B6E2" w14:textId="060947AE"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九、基金收益分配</w:t>
      </w:r>
      <w:bookmarkEnd w:id="86"/>
    </w:p>
    <w:p w14:paraId="30A4F53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基金收益分配是指按规定将基金的可分配收益按基金份额进行比例分配。</w:t>
      </w:r>
    </w:p>
    <w:p w14:paraId="435EFA4B"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（一）基金收益分配的原则</w:t>
      </w:r>
    </w:p>
    <w:p w14:paraId="2DB4F08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基金收益分配应遵循下列原则：</w:t>
      </w:r>
    </w:p>
    <w:p w14:paraId="117B55DD" w14:textId="5A22D199" w:rsidR="0028206A" w:rsidRPr="00F56F71" w:rsidRDefault="0028206A"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sz w:val="24"/>
        </w:rPr>
        <w:t>1</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每一基金份额享有同等分配权；</w:t>
      </w:r>
    </w:p>
    <w:p w14:paraId="4399C053" w14:textId="096E1AF1" w:rsidR="0028206A" w:rsidRPr="00F56F71" w:rsidRDefault="0028206A" w:rsidP="00EA5F2B">
      <w:pPr>
        <w:pStyle w:val="a0"/>
        <w:adjustRightInd w:val="0"/>
        <w:snapToGrid w:val="0"/>
        <w:spacing w:line="360" w:lineRule="auto"/>
        <w:ind w:firstLine="480"/>
        <w:rPr>
          <w:rFonts w:asciiTheme="majorEastAsia" w:eastAsiaTheme="majorEastAsia" w:hAnsiTheme="majorEastAsia" w:cs="Arial"/>
          <w:sz w:val="24"/>
        </w:rPr>
      </w:pPr>
      <w:r w:rsidRPr="00F56F71">
        <w:rPr>
          <w:rFonts w:asciiTheme="majorEastAsia" w:eastAsiaTheme="majorEastAsia" w:hAnsiTheme="majorEastAsia"/>
          <w:sz w:val="24"/>
        </w:rPr>
        <w:t>2</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本基金</w:t>
      </w:r>
      <w:r w:rsidRPr="00F56F71">
        <w:rPr>
          <w:rFonts w:asciiTheme="majorEastAsia" w:eastAsiaTheme="majorEastAsia" w:hAnsiTheme="majorEastAsia" w:cs="Arial" w:hint="eastAsia"/>
          <w:sz w:val="24"/>
        </w:rPr>
        <w:t>基金份额的</w:t>
      </w:r>
      <w:r w:rsidRPr="00F56F71">
        <w:rPr>
          <w:rFonts w:asciiTheme="majorEastAsia" w:eastAsiaTheme="majorEastAsia" w:hAnsiTheme="majorEastAsia" w:hint="eastAsia"/>
          <w:sz w:val="24"/>
        </w:rPr>
        <w:t>收益分配</w:t>
      </w:r>
      <w:r w:rsidRPr="00F56F71">
        <w:rPr>
          <w:rFonts w:asciiTheme="majorEastAsia" w:eastAsiaTheme="majorEastAsia" w:hAnsiTheme="majorEastAsia" w:cs="Arial" w:hint="eastAsia"/>
          <w:sz w:val="24"/>
        </w:rPr>
        <w:t>方式采用现金分红；</w:t>
      </w:r>
    </w:p>
    <w:p w14:paraId="7C73FD1A" w14:textId="600C498B" w:rsidR="0028206A" w:rsidRPr="00F56F71" w:rsidRDefault="0028206A" w:rsidP="00EA5F2B">
      <w:pPr>
        <w:pStyle w:val="a0"/>
        <w:adjustRightInd w:val="0"/>
        <w:snapToGrid w:val="0"/>
        <w:spacing w:line="360" w:lineRule="auto"/>
        <w:ind w:firstLine="480"/>
        <w:rPr>
          <w:rFonts w:asciiTheme="majorEastAsia" w:eastAsiaTheme="majorEastAsia" w:hAnsiTheme="majorEastAsia" w:cs="Arial"/>
          <w:sz w:val="24"/>
        </w:rPr>
      </w:pPr>
      <w:r w:rsidRPr="00F56F71">
        <w:rPr>
          <w:rFonts w:asciiTheme="majorEastAsia" w:eastAsiaTheme="majorEastAsia" w:hAnsiTheme="majorEastAsia" w:cs="Arial"/>
          <w:sz w:val="24"/>
        </w:rPr>
        <w:t>3</w:t>
      </w:r>
      <w:r w:rsidRPr="00F56F71">
        <w:rPr>
          <w:rFonts w:asciiTheme="majorEastAsia" w:eastAsiaTheme="majorEastAsia" w:hAnsiTheme="majorEastAsia" w:cs="Arial" w:hint="eastAsia"/>
          <w:sz w:val="24"/>
        </w:rPr>
        <w:t>．当基金份额净值增长率超过标的指数同期增长率达到</w:t>
      </w:r>
      <w:r w:rsidRPr="00F56F71">
        <w:rPr>
          <w:rFonts w:asciiTheme="majorEastAsia" w:eastAsiaTheme="majorEastAsia" w:hAnsiTheme="majorEastAsia" w:cs="Arial"/>
          <w:sz w:val="24"/>
        </w:rPr>
        <w:t>0.01%</w:t>
      </w:r>
      <w:r w:rsidRPr="00F56F71">
        <w:rPr>
          <w:rFonts w:asciiTheme="majorEastAsia" w:eastAsiaTheme="majorEastAsia" w:hAnsiTheme="majorEastAsia" w:cs="Arial" w:hint="eastAsia"/>
          <w:sz w:val="24"/>
        </w:rPr>
        <w:t>以上时，可进行</w:t>
      </w:r>
      <w:r w:rsidRPr="00F56F71">
        <w:rPr>
          <w:rFonts w:asciiTheme="majorEastAsia" w:eastAsiaTheme="majorEastAsia" w:hAnsiTheme="majorEastAsia" w:hint="eastAsia"/>
          <w:sz w:val="24"/>
        </w:rPr>
        <w:t>收益分配</w:t>
      </w:r>
      <w:r w:rsidRPr="00F56F71">
        <w:rPr>
          <w:rFonts w:asciiTheme="majorEastAsia" w:eastAsiaTheme="majorEastAsia" w:hAnsiTheme="majorEastAsia" w:cs="Arial" w:hint="eastAsia"/>
          <w:sz w:val="24"/>
        </w:rPr>
        <w:t>；</w:t>
      </w:r>
    </w:p>
    <w:p w14:paraId="08C1BD31" w14:textId="7C7C4460" w:rsidR="0028206A" w:rsidRPr="00F56F71" w:rsidRDefault="0028206A" w:rsidP="00EA5F2B">
      <w:pPr>
        <w:pStyle w:val="a0"/>
        <w:adjustRightInd w:val="0"/>
        <w:snapToGrid w:val="0"/>
        <w:spacing w:line="360" w:lineRule="auto"/>
        <w:ind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4．本基金以使收益分配后基金份额净值增长率尽可能贴近标的指数同期增长率为原则进行收益分配。基于本基金的性质和特点，本基金收益分配不须以弥补浮动亏损为前提，收益分配后有可能使除息后的基金份额净值</w:t>
      </w:r>
      <w:r w:rsidRPr="00F56F71">
        <w:rPr>
          <w:rFonts w:asciiTheme="majorEastAsia" w:eastAsiaTheme="majorEastAsia" w:hAnsiTheme="majorEastAsia" w:hint="eastAsia"/>
          <w:sz w:val="24"/>
        </w:rPr>
        <w:t>低于</w:t>
      </w:r>
      <w:r w:rsidRPr="00F56F71">
        <w:rPr>
          <w:rFonts w:asciiTheme="majorEastAsia" w:eastAsiaTheme="majorEastAsia" w:hAnsiTheme="majorEastAsia" w:cs="Arial" w:hint="eastAsia"/>
          <w:sz w:val="24"/>
        </w:rPr>
        <w:t>面值；</w:t>
      </w:r>
    </w:p>
    <w:p w14:paraId="0B83C643" w14:textId="77777777" w:rsidR="0028206A" w:rsidRPr="00F56F71" w:rsidRDefault="0028206A"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cs="Arial" w:hint="eastAsia"/>
          <w:sz w:val="24"/>
        </w:rPr>
        <w:t>5．</w:t>
      </w:r>
      <w:r w:rsidRPr="00F56F71">
        <w:rPr>
          <w:rFonts w:asciiTheme="majorEastAsia" w:eastAsiaTheme="majorEastAsia" w:hAnsiTheme="majorEastAsia" w:hint="eastAsia"/>
          <w:sz w:val="24"/>
        </w:rPr>
        <w:t>若《基金合同》生效不满</w:t>
      </w:r>
      <w:r w:rsidRPr="00F56F71">
        <w:rPr>
          <w:rFonts w:asciiTheme="majorEastAsia" w:eastAsiaTheme="majorEastAsia" w:hAnsiTheme="majorEastAsia"/>
          <w:sz w:val="24"/>
        </w:rPr>
        <w:t>3</w:t>
      </w:r>
      <w:r w:rsidRPr="00F56F71">
        <w:rPr>
          <w:rFonts w:asciiTheme="majorEastAsia" w:eastAsiaTheme="majorEastAsia" w:hAnsiTheme="majorEastAsia" w:hint="eastAsia"/>
          <w:sz w:val="24"/>
        </w:rPr>
        <w:t>个月可不进行收益分配；</w:t>
      </w:r>
    </w:p>
    <w:p w14:paraId="5959BA6D" w14:textId="11CC914B" w:rsidR="0028206A" w:rsidRPr="00F56F71" w:rsidRDefault="0028206A" w:rsidP="00EA5F2B">
      <w:pPr>
        <w:pStyle w:val="a0"/>
        <w:adjustRightInd w:val="0"/>
        <w:snapToGrid w:val="0"/>
        <w:spacing w:line="360" w:lineRule="auto"/>
        <w:ind w:firstLine="480"/>
        <w:rPr>
          <w:rFonts w:asciiTheme="majorEastAsia" w:eastAsiaTheme="majorEastAsia" w:hAnsiTheme="majorEastAsia"/>
          <w:sz w:val="24"/>
        </w:rPr>
      </w:pPr>
      <w:r w:rsidRPr="00F56F71">
        <w:rPr>
          <w:rFonts w:asciiTheme="majorEastAsia" w:eastAsiaTheme="majorEastAsia" w:hAnsiTheme="majorEastAsia" w:cs="Arial" w:hint="eastAsia"/>
          <w:sz w:val="24"/>
        </w:rPr>
        <w:t>6．</w:t>
      </w:r>
      <w:r w:rsidRPr="00F56F71">
        <w:rPr>
          <w:rFonts w:asciiTheme="majorEastAsia" w:eastAsiaTheme="majorEastAsia" w:hAnsiTheme="majorEastAsia" w:hint="eastAsia"/>
          <w:sz w:val="24"/>
        </w:rPr>
        <w:t>法律法规</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监管</w:t>
      </w:r>
      <w:r w:rsidRPr="00F56F71">
        <w:rPr>
          <w:rFonts w:asciiTheme="majorEastAsia" w:eastAsiaTheme="majorEastAsia" w:hAnsiTheme="majorEastAsia" w:cs="Arial" w:hint="eastAsia"/>
          <w:sz w:val="24"/>
        </w:rPr>
        <w:t>机关、证券交易所或基金登记</w:t>
      </w:r>
      <w:r w:rsidRPr="00F56F71">
        <w:rPr>
          <w:rFonts w:asciiTheme="majorEastAsia" w:eastAsiaTheme="majorEastAsia" w:hAnsiTheme="majorEastAsia" w:hint="eastAsia"/>
          <w:sz w:val="24"/>
        </w:rPr>
        <w:t>机构另有规定的，从其规定。</w:t>
      </w:r>
    </w:p>
    <w:p w14:paraId="6251C961" w14:textId="77777777" w:rsidR="003A5994" w:rsidRPr="00F56F71" w:rsidRDefault="0028206A" w:rsidP="00EA5F2B">
      <w:pPr>
        <w:pStyle w:val="a0"/>
        <w:adjustRightInd w:val="0"/>
        <w:snapToGrid w:val="0"/>
        <w:spacing w:line="360" w:lineRule="auto"/>
        <w:ind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在不违反法律法规且对基金份额持有人利益无实质性不利影响的前提下，基金管理人可对基金收益分配的有关业务规则进行调整，并及时公告。</w:t>
      </w:r>
    </w:p>
    <w:p w14:paraId="76A769A6"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（二）基金收益分配的时间和程序</w:t>
      </w:r>
    </w:p>
    <w:p w14:paraId="0F8CF63A" w14:textId="5AAE6A8B"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本基金收益分配方案由基金管理人拟订，并由基金托管人复核，</w:t>
      </w:r>
      <w:r w:rsidR="0028206A" w:rsidRPr="00F56F71">
        <w:rPr>
          <w:rFonts w:asciiTheme="majorEastAsia" w:eastAsiaTheme="majorEastAsia" w:hAnsiTheme="majorEastAsia" w:cs="Arial" w:hint="eastAsia"/>
          <w:sz w:val="24"/>
        </w:rPr>
        <w:t>依照《信息披露办法》</w:t>
      </w:r>
      <w:r w:rsidRPr="00F56F71">
        <w:rPr>
          <w:rFonts w:asciiTheme="majorEastAsia" w:eastAsiaTheme="majorEastAsia" w:hAnsiTheme="majorEastAsia" w:hint="eastAsia"/>
          <w:sz w:val="24"/>
        </w:rPr>
        <w:t>在指定媒体公告。基金收益分配方案公告后</w:t>
      </w:r>
      <w:r w:rsidRPr="00F56F71">
        <w:rPr>
          <w:rFonts w:asciiTheme="majorEastAsia" w:eastAsiaTheme="majorEastAsia" w:hAnsiTheme="majorEastAsia"/>
          <w:sz w:val="24"/>
        </w:rPr>
        <w:t>(依据具体方案的规定)，基金管理人就支付的现金红利向基金托管人发送划款指令，基金托管人按照基金管理人的指令及时进行分红资金的划付。</w:t>
      </w:r>
    </w:p>
    <w:p w14:paraId="6E83581E"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2EC507A7"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0"/>
          <w:pgSz w:w="11906" w:h="16838" w:code="9"/>
          <w:pgMar w:top="1418" w:right="1701" w:bottom="1418" w:left="1701" w:header="851" w:footer="992" w:gutter="0"/>
          <w:pgNumType w:start="1"/>
          <w:cols w:space="425"/>
          <w:docGrid w:type="lines" w:linePitch="312"/>
        </w:sectPr>
      </w:pPr>
      <w:bookmarkStart w:id="87" w:name="_Toc124325894"/>
    </w:p>
    <w:p w14:paraId="3FD867AA" w14:textId="48242C51"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十、基金信息披露</w:t>
      </w:r>
      <w:bookmarkEnd w:id="87"/>
    </w:p>
    <w:p w14:paraId="6C0DCCD5"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（一）保密义务</w:t>
      </w:r>
    </w:p>
    <w:p w14:paraId="6877ECAE"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BFBF3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1.非因基金管理人和基金托管人的原因导致保密信息被披露、泄露或公开；</w:t>
      </w:r>
    </w:p>
    <w:p w14:paraId="6618031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2.基金管理人和基金托管人为遵守和服从法院判决或裁定、仲裁裁决或中国证监会等监管机构的命令、决定所做出的信息披露或公开。</w:t>
      </w:r>
    </w:p>
    <w:p w14:paraId="423C50B8"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（二）信息披露的内容</w:t>
      </w:r>
    </w:p>
    <w:p w14:paraId="1EF16CE0" w14:textId="63213C63"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基金的信息披露内容主要包括基金招募说明书、</w:t>
      </w:r>
      <w:r w:rsidR="009715C5" w:rsidRPr="009715C5">
        <w:rPr>
          <w:rFonts w:asciiTheme="majorEastAsia" w:eastAsiaTheme="majorEastAsia" w:hAnsiTheme="majorEastAsia" w:hint="eastAsia"/>
          <w:sz w:val="24"/>
        </w:rPr>
        <w:t>基金产品资料概要、</w:t>
      </w:r>
      <w:r w:rsidRPr="00F56F71">
        <w:rPr>
          <w:rFonts w:asciiTheme="majorEastAsia" w:eastAsiaTheme="majorEastAsia" w:hAnsiTheme="majorEastAsia" w:hint="eastAsia"/>
          <w:sz w:val="24"/>
        </w:rPr>
        <w:t>《基金合同》、托管协议、基金份额发售公告、《基金合同》生效公告、基金份额上市交易公告书</w:t>
      </w:r>
      <w:r w:rsidRPr="00F56F71">
        <w:rPr>
          <w:rFonts w:asciiTheme="majorEastAsia" w:eastAsiaTheme="majorEastAsia" w:hAnsiTheme="majorEastAsia" w:cs="Arial" w:hint="eastAsia"/>
          <w:sz w:val="24"/>
        </w:rPr>
        <w:t>、</w:t>
      </w:r>
      <w:r w:rsidR="004506F7" w:rsidRPr="00F56F71">
        <w:rPr>
          <w:rFonts w:asciiTheme="majorEastAsia" w:eastAsiaTheme="majorEastAsia" w:hAnsiTheme="majorEastAsia" w:cs="Arial"/>
          <w:sz w:val="24"/>
        </w:rPr>
        <w:t>基金份额折算日公告、基金份额折算结果公告</w:t>
      </w:r>
      <w:r w:rsidR="004506F7" w:rsidRPr="00F56F71">
        <w:rPr>
          <w:rFonts w:asciiTheme="majorEastAsia" w:eastAsiaTheme="majorEastAsia" w:hAnsiTheme="majorEastAsia"/>
          <w:sz w:val="24"/>
        </w:rPr>
        <w:t>、</w:t>
      </w:r>
      <w:r w:rsidR="00D7362D">
        <w:rPr>
          <w:rFonts w:asciiTheme="majorEastAsia" w:eastAsiaTheme="majorEastAsia" w:hAnsiTheme="majorEastAsia" w:hint="eastAsia"/>
          <w:sz w:val="24"/>
        </w:rPr>
        <w:t>基金净值信息</w:t>
      </w:r>
      <w:r w:rsidR="002C1C3C">
        <w:rPr>
          <w:rFonts w:asciiTheme="majorEastAsia" w:eastAsiaTheme="majorEastAsia" w:hAnsiTheme="majorEastAsia" w:hint="eastAsia"/>
          <w:sz w:val="24"/>
        </w:rPr>
        <w:t>、</w:t>
      </w:r>
      <w:r w:rsidR="004506F7" w:rsidRPr="00F56F71">
        <w:rPr>
          <w:rFonts w:asciiTheme="majorEastAsia" w:eastAsiaTheme="majorEastAsia" w:hAnsiTheme="majorEastAsia" w:hint="eastAsia"/>
          <w:sz w:val="24"/>
        </w:rPr>
        <w:t>申购赎回</w:t>
      </w:r>
      <w:r w:rsidR="004506F7" w:rsidRPr="00F56F71">
        <w:rPr>
          <w:rFonts w:asciiTheme="majorEastAsia" w:eastAsiaTheme="majorEastAsia" w:hAnsiTheme="majorEastAsia" w:cs="Arial" w:hint="eastAsia"/>
          <w:sz w:val="24"/>
        </w:rPr>
        <w:t>清单</w:t>
      </w:r>
      <w:r w:rsidRPr="00F56F71">
        <w:rPr>
          <w:rFonts w:asciiTheme="majorEastAsia" w:eastAsiaTheme="majorEastAsia" w:hAnsiTheme="majorEastAsia" w:hint="eastAsia"/>
          <w:sz w:val="24"/>
        </w:rPr>
        <w:t>、基金定期报告、包括基金年度报告、基金</w:t>
      </w:r>
      <w:r w:rsidR="00CB7091">
        <w:rPr>
          <w:rFonts w:asciiTheme="majorEastAsia" w:eastAsiaTheme="majorEastAsia" w:hAnsiTheme="majorEastAsia" w:hint="eastAsia"/>
          <w:sz w:val="24"/>
        </w:rPr>
        <w:t>中期</w:t>
      </w:r>
      <w:r w:rsidRPr="00F56F71">
        <w:rPr>
          <w:rFonts w:asciiTheme="majorEastAsia" w:eastAsiaTheme="majorEastAsia" w:hAnsiTheme="majorEastAsia" w:hint="eastAsia"/>
          <w:sz w:val="24"/>
        </w:rPr>
        <w:t>报告和基金季度报告</w:t>
      </w:r>
      <w:r w:rsidR="00D7362D" w:rsidRPr="00D7362D">
        <w:rPr>
          <w:rFonts w:asciiTheme="majorEastAsia" w:eastAsiaTheme="majorEastAsia" w:hAnsiTheme="majorEastAsia" w:hint="eastAsia"/>
          <w:sz w:val="24"/>
        </w:rPr>
        <w:t>（含资产组合季度报告）</w:t>
      </w:r>
      <w:r w:rsidRPr="00F56F71">
        <w:rPr>
          <w:rFonts w:asciiTheme="majorEastAsia" w:eastAsiaTheme="majorEastAsia" w:hAnsiTheme="majorEastAsia" w:hint="eastAsia"/>
          <w:sz w:val="24"/>
        </w:rPr>
        <w:t>、临时报告、澄清公告、</w:t>
      </w:r>
      <w:r w:rsidR="00C55AF5">
        <w:rPr>
          <w:rFonts w:asciiTheme="majorEastAsia" w:eastAsiaTheme="majorEastAsia" w:hAnsiTheme="majorEastAsia" w:hint="eastAsia"/>
          <w:sz w:val="24"/>
        </w:rPr>
        <w:t>基金份额持有人大会决议、清算报告</w:t>
      </w:r>
      <w:r w:rsidR="003F5E82">
        <w:rPr>
          <w:rFonts w:asciiTheme="majorEastAsia" w:eastAsiaTheme="majorEastAsia" w:hAnsiTheme="majorEastAsia" w:hint="eastAsia"/>
          <w:sz w:val="24"/>
        </w:rPr>
        <w:t>、</w:t>
      </w:r>
      <w:r w:rsidR="00A7573D" w:rsidRPr="00F56F71">
        <w:rPr>
          <w:rFonts w:asciiTheme="majorEastAsia" w:eastAsiaTheme="majorEastAsia" w:hAnsiTheme="majorEastAsia" w:cs="Arial" w:hint="eastAsia"/>
          <w:sz w:val="24"/>
        </w:rPr>
        <w:t>基金投资股指期货的信息披露、基金投资资产支持证券的信息披露、投资股票期权相关公告、</w:t>
      </w:r>
      <w:r w:rsidR="00712FFB" w:rsidRPr="00712FFB">
        <w:rPr>
          <w:rFonts w:asciiTheme="majorEastAsia" w:eastAsiaTheme="majorEastAsia" w:hAnsiTheme="majorEastAsia" w:cs="Arial" w:hint="eastAsia"/>
          <w:sz w:val="24"/>
        </w:rPr>
        <w:t>参与融资、融券和转融通证券出借的公告</w:t>
      </w:r>
      <w:r w:rsidR="00A7573D" w:rsidRPr="00F56F71">
        <w:rPr>
          <w:rFonts w:asciiTheme="majorEastAsia" w:eastAsiaTheme="majorEastAsia" w:hAnsiTheme="majorEastAsia" w:cs="Arial" w:hint="eastAsia"/>
          <w:sz w:val="24"/>
        </w:rPr>
        <w:t>、基金投资流通受限证券的信息披露、基金投资港股通标的股票信息披露</w:t>
      </w:r>
      <w:r w:rsidR="00BF7426" w:rsidRPr="00F56F71">
        <w:rPr>
          <w:rFonts w:asciiTheme="majorEastAsia" w:eastAsiaTheme="majorEastAsia" w:hAnsiTheme="majorEastAsia" w:cs="Arial" w:hint="eastAsia"/>
          <w:sz w:val="24"/>
        </w:rPr>
        <w:t>及</w:t>
      </w:r>
      <w:r w:rsidRPr="00F56F71">
        <w:rPr>
          <w:rFonts w:asciiTheme="majorEastAsia" w:eastAsiaTheme="majorEastAsia" w:hAnsiTheme="majorEastAsia" w:hint="eastAsia"/>
          <w:sz w:val="24"/>
        </w:rPr>
        <w:t>中国证监会规定的其他信息。基金年度报告需经具有从事证券</w:t>
      </w:r>
      <w:r w:rsidR="00CB7091" w:rsidRPr="00CB7091">
        <w:rPr>
          <w:rFonts w:asciiTheme="majorEastAsia" w:eastAsiaTheme="majorEastAsia" w:hAnsiTheme="majorEastAsia" w:hint="eastAsia"/>
          <w:sz w:val="24"/>
        </w:rPr>
        <w:t>、期货</w:t>
      </w:r>
      <w:r w:rsidRPr="00F56F71">
        <w:rPr>
          <w:rFonts w:asciiTheme="majorEastAsia" w:eastAsiaTheme="majorEastAsia" w:hAnsiTheme="majorEastAsia" w:hint="eastAsia"/>
          <w:sz w:val="24"/>
        </w:rPr>
        <w:t>相关业务资格的会计师事务所审计后，方可披露。</w:t>
      </w:r>
    </w:p>
    <w:p w14:paraId="2EEA9289"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（三）基金托管人和基金管理人在信息披露中的职责和信息披露程序</w:t>
      </w:r>
    </w:p>
    <w:p w14:paraId="78045E5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1.职责</w:t>
      </w:r>
    </w:p>
    <w:p w14:paraId="5AA4483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B73FFC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对于不需要基金托管人复核的信息，基金管理人在公告前应告知基金托管人。</w:t>
      </w:r>
    </w:p>
    <w:p w14:paraId="5C28A1A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基金管理人和基金托管人应积极配合、互相监督，保证其履行按照法定方式和限时披露的义务。</w:t>
      </w:r>
    </w:p>
    <w:p w14:paraId="1DCD6EA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D1A323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当出现下述情况时，基金管理人和基金托管人可暂停或延迟披露基金相关信息：</w:t>
      </w:r>
    </w:p>
    <w:p w14:paraId="21044683" w14:textId="46A67800" w:rsidR="004506F7" w:rsidRPr="00F56F71" w:rsidRDefault="004506F7"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w:t>
      </w:r>
      <w:r w:rsidRPr="00F56F71">
        <w:rPr>
          <w:rFonts w:asciiTheme="majorEastAsia" w:eastAsiaTheme="majorEastAsia" w:hAnsiTheme="majorEastAsia"/>
          <w:sz w:val="24"/>
        </w:rPr>
        <w:t>1</w:t>
      </w:r>
      <w:r w:rsidRPr="00F56F71">
        <w:rPr>
          <w:rFonts w:asciiTheme="majorEastAsia" w:eastAsiaTheme="majorEastAsia" w:hAnsiTheme="majorEastAsia" w:cs="Arial" w:hint="eastAsia"/>
          <w:sz w:val="24"/>
        </w:rPr>
        <w:t>）因</w:t>
      </w:r>
      <w:r w:rsidRPr="00F56F71">
        <w:rPr>
          <w:rFonts w:asciiTheme="majorEastAsia" w:eastAsiaTheme="majorEastAsia" w:hAnsiTheme="majorEastAsia" w:hint="eastAsia"/>
          <w:sz w:val="24"/>
        </w:rPr>
        <w:t>不可抗力</w:t>
      </w:r>
      <w:r w:rsidRPr="00F56F71">
        <w:rPr>
          <w:rFonts w:asciiTheme="majorEastAsia" w:eastAsiaTheme="majorEastAsia" w:hAnsiTheme="majorEastAsia" w:cs="Arial" w:hint="eastAsia"/>
          <w:sz w:val="24"/>
        </w:rPr>
        <w:t>致使基金管理人、基金托管人无法准确评估基金资产价值时</w:t>
      </w:r>
      <w:r w:rsidRPr="00F56F71">
        <w:rPr>
          <w:rFonts w:asciiTheme="majorEastAsia" w:eastAsiaTheme="majorEastAsia" w:hAnsiTheme="majorEastAsia" w:hint="eastAsia"/>
          <w:sz w:val="24"/>
        </w:rPr>
        <w:t>；</w:t>
      </w:r>
    </w:p>
    <w:p w14:paraId="3C11D8CC" w14:textId="3CE74776" w:rsidR="004506F7" w:rsidRPr="00F56F71" w:rsidRDefault="004506F7"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w:t>
      </w:r>
      <w:r w:rsidRPr="00F56F71">
        <w:rPr>
          <w:rFonts w:asciiTheme="majorEastAsia" w:eastAsiaTheme="majorEastAsia" w:hAnsiTheme="majorEastAsia"/>
          <w:sz w:val="24"/>
        </w:rPr>
        <w:t>2</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基金投资所涉及的证券</w:t>
      </w:r>
      <w:r w:rsidRPr="00F56F71">
        <w:rPr>
          <w:rFonts w:asciiTheme="majorEastAsia" w:eastAsiaTheme="majorEastAsia" w:hAnsiTheme="majorEastAsia" w:cs="Arial" w:hint="eastAsia"/>
          <w:sz w:val="24"/>
        </w:rPr>
        <w:t>、期货</w:t>
      </w:r>
      <w:r w:rsidRPr="00F56F71">
        <w:rPr>
          <w:rFonts w:asciiTheme="majorEastAsia" w:eastAsiaTheme="majorEastAsia" w:hAnsiTheme="majorEastAsia" w:hint="eastAsia"/>
          <w:sz w:val="24"/>
        </w:rPr>
        <w:t>交易市场</w:t>
      </w:r>
      <w:r w:rsidR="00BF7426" w:rsidRPr="00F56F71">
        <w:rPr>
          <w:rFonts w:asciiTheme="majorEastAsia" w:eastAsiaTheme="majorEastAsia" w:hAnsiTheme="majorEastAsia" w:cs="Arial" w:hint="eastAsia"/>
          <w:sz w:val="24"/>
        </w:rPr>
        <w:t>或</w:t>
      </w:r>
      <w:r w:rsidR="00BF7426" w:rsidRPr="00F56F71">
        <w:rPr>
          <w:rFonts w:asciiTheme="majorEastAsia" w:eastAsiaTheme="majorEastAsia" w:hAnsiTheme="majorEastAsia" w:cs="Arial"/>
          <w:sz w:val="24"/>
        </w:rPr>
        <w:t>外汇市场</w:t>
      </w:r>
      <w:r w:rsidRPr="00F56F71">
        <w:rPr>
          <w:rFonts w:asciiTheme="majorEastAsia" w:eastAsiaTheme="majorEastAsia" w:hAnsiTheme="majorEastAsia" w:hint="eastAsia"/>
          <w:sz w:val="24"/>
        </w:rPr>
        <w:t>遇法定节假日或因其他原因暂停营业时；</w:t>
      </w:r>
    </w:p>
    <w:p w14:paraId="13B6CF59" w14:textId="7F4EA383" w:rsidR="004506F7" w:rsidRPr="00F56F71" w:rsidRDefault="004506F7"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（3）当前一估值日基金资产净值50%以上的资产出现无可参考的活跃市场价格且采用估值技术仍导致公允价值存在重大不确定性时，经与基金托管人协商一致确认后，应当暂停估值；</w:t>
      </w:r>
    </w:p>
    <w:p w14:paraId="673D3683" w14:textId="752EBC9B" w:rsidR="003A5994" w:rsidRPr="00F56F71" w:rsidRDefault="004506F7"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cs="Arial" w:hint="eastAsia"/>
          <w:sz w:val="24"/>
        </w:rPr>
        <w:t>（</w:t>
      </w:r>
      <w:r w:rsidRPr="00F56F71">
        <w:rPr>
          <w:rFonts w:asciiTheme="majorEastAsia" w:eastAsiaTheme="majorEastAsia" w:hAnsiTheme="majorEastAsia"/>
          <w:sz w:val="24"/>
        </w:rPr>
        <w:t>4</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法律法规、</w:t>
      </w:r>
      <w:r w:rsidRPr="00F56F71">
        <w:rPr>
          <w:rFonts w:asciiTheme="majorEastAsia" w:eastAsiaTheme="majorEastAsia" w:hAnsiTheme="majorEastAsia" w:cs="Arial" w:hint="eastAsia"/>
          <w:sz w:val="24"/>
        </w:rPr>
        <w:t>基金合同认定的或</w:t>
      </w:r>
      <w:r w:rsidRPr="00F56F71">
        <w:rPr>
          <w:rFonts w:asciiTheme="majorEastAsia" w:eastAsiaTheme="majorEastAsia" w:hAnsiTheme="majorEastAsia" w:hint="eastAsia"/>
          <w:sz w:val="24"/>
        </w:rPr>
        <w:t>或中国证监会规定的</w:t>
      </w:r>
      <w:r w:rsidRPr="00F56F71">
        <w:rPr>
          <w:rFonts w:asciiTheme="majorEastAsia" w:eastAsiaTheme="majorEastAsia" w:hAnsiTheme="majorEastAsia" w:cs="Arial" w:hint="eastAsia"/>
          <w:sz w:val="24"/>
        </w:rPr>
        <w:t>其他情形</w:t>
      </w:r>
      <w:r w:rsidRPr="00F56F71">
        <w:rPr>
          <w:rFonts w:asciiTheme="majorEastAsia" w:eastAsiaTheme="majorEastAsia" w:hAnsiTheme="majorEastAsia" w:hint="eastAsia"/>
          <w:sz w:val="24"/>
        </w:rPr>
        <w:t>。</w:t>
      </w:r>
    </w:p>
    <w:p w14:paraId="32612DB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2.程序</w:t>
      </w:r>
    </w:p>
    <w:p w14:paraId="55245F96"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6F73D29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3.信息文本的存放</w:t>
      </w:r>
    </w:p>
    <w:p w14:paraId="496391B3" w14:textId="0E567354" w:rsidR="003A5994" w:rsidRPr="00F56F71" w:rsidRDefault="003A5994" w:rsidP="00EA5F2B">
      <w:pPr>
        <w:pStyle w:val="a0"/>
        <w:spacing w:line="360" w:lineRule="auto"/>
        <w:ind w:firstLine="480"/>
        <w:rPr>
          <w:rFonts w:asciiTheme="majorEastAsia" w:eastAsiaTheme="majorEastAsia" w:hAnsiTheme="majorEastAsia"/>
          <w:sz w:val="24"/>
        </w:rPr>
      </w:pPr>
      <w:r w:rsidRPr="00F56F71">
        <w:rPr>
          <w:rFonts w:asciiTheme="majorEastAsia" w:eastAsiaTheme="majorEastAsia" w:hAnsiTheme="majorEastAsia" w:hint="eastAsia"/>
          <w:sz w:val="24"/>
        </w:rPr>
        <w:t>予以披露的信息文本，存放在基金管理人</w:t>
      </w:r>
      <w:r w:rsidR="00524D76">
        <w:rPr>
          <w:rFonts w:asciiTheme="majorEastAsia" w:eastAsiaTheme="majorEastAsia" w:hAnsiTheme="majorEastAsia" w:hint="eastAsia"/>
          <w:sz w:val="24"/>
        </w:rPr>
        <w:t>、</w:t>
      </w:r>
      <w:r w:rsidRPr="00F56F71">
        <w:rPr>
          <w:rFonts w:asciiTheme="majorEastAsia" w:eastAsiaTheme="majorEastAsia" w:hAnsiTheme="majorEastAsia"/>
          <w:sz w:val="24"/>
        </w:rPr>
        <w:t>基金托管人</w:t>
      </w:r>
      <w:r w:rsidR="00524D76" w:rsidRPr="00524D76">
        <w:rPr>
          <w:rFonts w:asciiTheme="majorEastAsia" w:eastAsiaTheme="majorEastAsia" w:hAnsiTheme="majorEastAsia" w:hint="eastAsia"/>
          <w:sz w:val="24"/>
        </w:rPr>
        <w:t>、基金上市交易的证券交易所</w:t>
      </w:r>
      <w:r w:rsidRPr="00F56F71">
        <w:rPr>
          <w:rFonts w:asciiTheme="majorEastAsia" w:eastAsiaTheme="majorEastAsia" w:hAnsiTheme="majorEastAsia"/>
          <w:sz w:val="24"/>
        </w:rPr>
        <w:t>处，投资者可以免费查阅。在支付工本费后可在合理时间获得上述文件的复制件或复印件。基金管理人和基金托管人应保证文本的内容与所公告的内容完全一致。</w:t>
      </w:r>
    </w:p>
    <w:p w14:paraId="0BD95094" w14:textId="77777777" w:rsidR="003A5994" w:rsidRPr="00F56F71" w:rsidRDefault="003A5994" w:rsidP="00EA5F2B">
      <w:pPr>
        <w:pStyle w:val="a0"/>
        <w:spacing w:line="360" w:lineRule="auto"/>
        <w:ind w:firstLineChars="0" w:firstLine="0"/>
        <w:rPr>
          <w:rFonts w:asciiTheme="majorEastAsia" w:eastAsiaTheme="majorEastAsia" w:hAnsiTheme="majorEastAsia"/>
          <w:sz w:val="24"/>
        </w:rPr>
      </w:pPr>
    </w:p>
    <w:p w14:paraId="7D0EE245"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1"/>
          <w:pgSz w:w="11906" w:h="16838" w:code="9"/>
          <w:pgMar w:top="1418" w:right="1701" w:bottom="1418" w:left="1701" w:header="851" w:footer="992" w:gutter="0"/>
          <w:pgNumType w:start="1"/>
          <w:cols w:space="425"/>
          <w:docGrid w:type="lines" w:linePitch="312"/>
        </w:sectPr>
      </w:pPr>
      <w:bookmarkStart w:id="88" w:name="_Toc124325895"/>
    </w:p>
    <w:p w14:paraId="2AF4FB5C" w14:textId="57C35E8B"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十一、基金费用</w:t>
      </w:r>
      <w:bookmarkEnd w:id="88"/>
    </w:p>
    <w:p w14:paraId="135BB7B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（一）基金管理费的计提比例和计提方法</w:t>
      </w:r>
    </w:p>
    <w:p w14:paraId="40A493C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本基金的管理费按前一日基金资产净值的</w:t>
      </w:r>
      <w:r w:rsidR="0028206A" w:rsidRPr="00F56F71">
        <w:rPr>
          <w:rFonts w:asciiTheme="majorEastAsia" w:eastAsiaTheme="majorEastAsia" w:hAnsiTheme="majorEastAsia" w:cs="Arial" w:hint="eastAsia"/>
          <w:sz w:val="24"/>
        </w:rPr>
        <w:t>0.15</w:t>
      </w:r>
      <w:r w:rsidRPr="00F56F71">
        <w:rPr>
          <w:rFonts w:asciiTheme="majorEastAsia" w:eastAsiaTheme="majorEastAsia" w:hAnsiTheme="majorEastAsia"/>
          <w:sz w:val="24"/>
        </w:rPr>
        <w:t>%年费率计提。管理费的计算方法如下：</w:t>
      </w:r>
    </w:p>
    <w:p w14:paraId="04C6AD3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H＝E×年管理费率÷当年天数</w:t>
      </w:r>
    </w:p>
    <w:p w14:paraId="54EEC72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H为每日应计提的基金管理费</w:t>
      </w:r>
    </w:p>
    <w:p w14:paraId="675A1BC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E为前一日的基金资产净值</w:t>
      </w:r>
    </w:p>
    <w:p w14:paraId="06E84C2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（二）基金托管费的计提比例和计提方法</w:t>
      </w:r>
    </w:p>
    <w:p w14:paraId="18BE4A1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本基金的托管费按前一日基金资产净值的</w:t>
      </w:r>
      <w:r w:rsidR="0028206A" w:rsidRPr="00F56F71">
        <w:rPr>
          <w:rFonts w:asciiTheme="majorEastAsia" w:eastAsiaTheme="majorEastAsia" w:hAnsiTheme="majorEastAsia" w:cs="Arial" w:hint="eastAsia"/>
          <w:sz w:val="24"/>
        </w:rPr>
        <w:t>0.05</w:t>
      </w:r>
      <w:r w:rsidRPr="00F56F71">
        <w:rPr>
          <w:rFonts w:asciiTheme="majorEastAsia" w:eastAsiaTheme="majorEastAsia" w:hAnsiTheme="majorEastAsia"/>
          <w:sz w:val="24"/>
        </w:rPr>
        <w:t>%年费率计提。托管费的计算方法如下：</w:t>
      </w:r>
    </w:p>
    <w:p w14:paraId="572DFB1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H＝E×年托管费率÷当年天数</w:t>
      </w:r>
    </w:p>
    <w:p w14:paraId="1A07C42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H为每日应计提的基金托管费</w:t>
      </w:r>
    </w:p>
    <w:p w14:paraId="36FC071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E为前一日的基金资产净值</w:t>
      </w:r>
    </w:p>
    <w:p w14:paraId="26C198AD" w14:textId="1DF16482" w:rsidR="00303D30" w:rsidRPr="00F56F71" w:rsidRDefault="00303D30"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hint="eastAsia"/>
          <w:sz w:val="24"/>
        </w:rPr>
        <w:t>（三）</w:t>
      </w:r>
      <w:r w:rsidRPr="00F56F71">
        <w:rPr>
          <w:rFonts w:asciiTheme="majorEastAsia" w:eastAsiaTheme="majorEastAsia" w:hAnsiTheme="majorEastAsia" w:cs="Arial" w:hint="eastAsia"/>
          <w:sz w:val="24"/>
        </w:rPr>
        <w:t>基金合同生效后的指数许可使用费</w:t>
      </w:r>
    </w:p>
    <w:p w14:paraId="6C0AE715" w14:textId="77777777" w:rsidR="00303D30" w:rsidRPr="00F56F71" w:rsidRDefault="00303D30"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本基金按照基金管理人与标的指数许可方所签订的指数使用许可协议中所规定的指数许可使用费计提方法支付指数许可使用费，其中基金合同生效前的指数许可使用固定费不列入基金费用；基金合同生效后的指数许可使用基点费从基金资产计提，具体费率、计算方法及支付方式等请见招募说明书。</w:t>
      </w:r>
    </w:p>
    <w:p w14:paraId="40CD96DF" w14:textId="79500058" w:rsidR="00303D30" w:rsidRPr="00F56F71" w:rsidRDefault="00303D30" w:rsidP="00EA5F2B">
      <w:pPr>
        <w:adjustRightInd w:val="0"/>
        <w:snapToGrid w:val="0"/>
        <w:spacing w:line="360" w:lineRule="auto"/>
        <w:ind w:firstLineChars="200" w:firstLine="480"/>
        <w:rPr>
          <w:rFonts w:asciiTheme="majorEastAsia" w:eastAsiaTheme="majorEastAsia" w:hAnsiTheme="majorEastAsia" w:cs="Arial"/>
          <w:sz w:val="24"/>
        </w:rPr>
      </w:pPr>
      <w:r w:rsidRPr="00F56F71">
        <w:rPr>
          <w:rFonts w:asciiTheme="majorEastAsia" w:eastAsiaTheme="majorEastAsia" w:hAnsiTheme="majorEastAsia" w:cs="Arial" w:hint="eastAsia"/>
          <w:sz w:val="24"/>
        </w:rPr>
        <w:t>如果指数许可使用费的计算方法、费率、支付方式等发生调整，本基金将采用调整后的方法或费率计算指数使用费，并在招募说明书（更新）中更新或在其他公告中披露基金最新适用的方法。此项变更无需召开基金份额持有人大会。</w:t>
      </w:r>
    </w:p>
    <w:p w14:paraId="7DA90D24" w14:textId="39FE178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cs="Arial" w:hint="eastAsia"/>
          <w:sz w:val="24"/>
        </w:rPr>
        <w:t>（</w:t>
      </w:r>
      <w:r w:rsidR="00303D30" w:rsidRPr="00F56F71">
        <w:rPr>
          <w:rFonts w:asciiTheme="majorEastAsia" w:eastAsiaTheme="majorEastAsia" w:hAnsiTheme="majorEastAsia" w:cs="Arial" w:hint="eastAsia"/>
          <w:sz w:val="24"/>
        </w:rPr>
        <w:t>四</w:t>
      </w:r>
      <w:r w:rsidRPr="00F56F71">
        <w:rPr>
          <w:rFonts w:asciiTheme="majorEastAsia" w:eastAsiaTheme="majorEastAsia" w:hAnsiTheme="majorEastAsia" w:cs="Arial" w:hint="eastAsia"/>
          <w:sz w:val="24"/>
        </w:rPr>
        <w:t>）</w:t>
      </w:r>
      <w:r w:rsidRPr="00F56F71">
        <w:rPr>
          <w:rFonts w:asciiTheme="majorEastAsia" w:eastAsiaTheme="majorEastAsia" w:hAnsiTheme="majorEastAsia" w:hint="eastAsia"/>
          <w:sz w:val="24"/>
        </w:rPr>
        <w:t>证券账户开户费用、</w:t>
      </w:r>
      <w:r w:rsidR="00303D30" w:rsidRPr="00F56F71">
        <w:rPr>
          <w:rFonts w:asciiTheme="majorEastAsia" w:eastAsiaTheme="majorEastAsia" w:hAnsiTheme="majorEastAsia" w:hint="eastAsia"/>
          <w:sz w:val="24"/>
        </w:rPr>
        <w:t>证券</w:t>
      </w:r>
      <w:r w:rsidR="00303D30" w:rsidRPr="00F56F71">
        <w:rPr>
          <w:rFonts w:asciiTheme="majorEastAsia" w:eastAsiaTheme="majorEastAsia" w:hAnsiTheme="majorEastAsia" w:cs="Arial" w:hint="eastAsia"/>
          <w:sz w:val="24"/>
        </w:rPr>
        <w:t>、期货、股票期权</w:t>
      </w:r>
      <w:r w:rsidR="00303D30" w:rsidRPr="00F56F71">
        <w:rPr>
          <w:rFonts w:asciiTheme="majorEastAsia" w:eastAsiaTheme="majorEastAsia" w:hAnsiTheme="majorEastAsia" w:hint="eastAsia"/>
          <w:sz w:val="24"/>
        </w:rPr>
        <w:t>交易费用</w:t>
      </w:r>
      <w:r w:rsidRPr="00F56F71">
        <w:rPr>
          <w:rFonts w:asciiTheme="majorEastAsia" w:eastAsiaTheme="majorEastAsia" w:hAnsiTheme="majorEastAsia" w:hint="eastAsia"/>
          <w:sz w:val="24"/>
        </w:rPr>
        <w:t>、因投资港股通标的股票而产生的各项合理费用、基金财产划拨支付的银行费用、账户维护费、《基金合同》生效后</w:t>
      </w:r>
      <w:r w:rsidR="00303D30" w:rsidRPr="00F56F71">
        <w:rPr>
          <w:rFonts w:asciiTheme="majorEastAsia" w:eastAsiaTheme="majorEastAsia" w:hAnsiTheme="majorEastAsia" w:cs="Arial" w:hint="eastAsia"/>
          <w:sz w:val="24"/>
        </w:rPr>
        <w:t>与基金相关的</w:t>
      </w:r>
      <w:r w:rsidRPr="00F56F71">
        <w:rPr>
          <w:rFonts w:asciiTheme="majorEastAsia" w:eastAsiaTheme="majorEastAsia" w:hAnsiTheme="majorEastAsia" w:hint="eastAsia"/>
          <w:sz w:val="24"/>
        </w:rPr>
        <w:t>信息披露费用</w:t>
      </w:r>
      <w:r w:rsidR="003F5E82">
        <w:rPr>
          <w:rFonts w:asciiTheme="majorEastAsia" w:eastAsiaTheme="majorEastAsia" w:hAnsiTheme="majorEastAsia" w:hint="eastAsia"/>
          <w:sz w:val="24"/>
        </w:rPr>
        <w:t>（</w:t>
      </w:r>
      <w:r w:rsidR="003F5E82" w:rsidRPr="003F5E82">
        <w:rPr>
          <w:rFonts w:asciiTheme="majorEastAsia" w:eastAsiaTheme="majorEastAsia" w:hAnsiTheme="majorEastAsia" w:hint="eastAsia"/>
          <w:sz w:val="24"/>
        </w:rPr>
        <w:t>法律法规、中国证监会另有规定的除外</w:t>
      </w:r>
      <w:r w:rsidR="003F5E82">
        <w:rPr>
          <w:rFonts w:asciiTheme="majorEastAsia" w:eastAsiaTheme="majorEastAsia" w:hAnsiTheme="majorEastAsia" w:hint="eastAsia"/>
          <w:sz w:val="24"/>
        </w:rPr>
        <w:t>）</w:t>
      </w:r>
      <w:r w:rsidRPr="00F56F71">
        <w:rPr>
          <w:rFonts w:asciiTheme="majorEastAsia" w:eastAsiaTheme="majorEastAsia" w:hAnsiTheme="majorEastAsia" w:hint="eastAsia"/>
          <w:sz w:val="24"/>
        </w:rPr>
        <w:t>、基金份额持有人大会费用、《基金合同》生效后与基金有关的会计师</w:t>
      </w:r>
      <w:r w:rsidRPr="00F56F71">
        <w:rPr>
          <w:rFonts w:asciiTheme="majorEastAsia" w:eastAsiaTheme="majorEastAsia" w:hAnsiTheme="majorEastAsia" w:cs="Arial" w:hint="eastAsia"/>
          <w:sz w:val="24"/>
        </w:rPr>
        <w:t>费</w:t>
      </w:r>
      <w:r w:rsidR="00303D30" w:rsidRPr="00F56F71">
        <w:rPr>
          <w:rFonts w:asciiTheme="majorEastAsia" w:eastAsiaTheme="majorEastAsia" w:hAnsiTheme="majorEastAsia" w:cs="Arial" w:hint="eastAsia"/>
          <w:sz w:val="24"/>
        </w:rPr>
        <w:t>、</w:t>
      </w:r>
      <w:r w:rsidRPr="00F56F71">
        <w:rPr>
          <w:rFonts w:asciiTheme="majorEastAsia" w:eastAsiaTheme="majorEastAsia" w:hAnsiTheme="majorEastAsia" w:cs="Arial" w:hint="eastAsia"/>
          <w:sz w:val="24"/>
        </w:rPr>
        <w:t>律师费</w:t>
      </w:r>
      <w:r w:rsidR="00303D30" w:rsidRPr="00F56F71">
        <w:rPr>
          <w:rFonts w:asciiTheme="majorEastAsia" w:eastAsiaTheme="majorEastAsia" w:hAnsiTheme="majorEastAsia" w:cs="Arial" w:hint="eastAsia"/>
          <w:sz w:val="24"/>
        </w:rPr>
        <w:t>、仲裁费和诉讼费、基金上市费及年费</w:t>
      </w:r>
      <w:r w:rsidR="009224E0" w:rsidRPr="00F56F71">
        <w:rPr>
          <w:rFonts w:asciiTheme="majorEastAsia" w:hAnsiTheme="majorEastAsia" w:hint="eastAsia"/>
          <w:sz w:val="24"/>
        </w:rPr>
        <w:t>、</w:t>
      </w:r>
      <w:r w:rsidR="009224E0" w:rsidRPr="00F56F71">
        <w:rPr>
          <w:rFonts w:asciiTheme="majorEastAsia" w:eastAsiaTheme="majorEastAsia" w:hAnsiTheme="majorEastAsia" w:cs="Arial" w:hint="eastAsia"/>
          <w:sz w:val="24"/>
        </w:rPr>
        <w:t>IOPV计算与发布费用、</w:t>
      </w:r>
      <w:r w:rsidR="00303D30" w:rsidRPr="00F56F71">
        <w:rPr>
          <w:rFonts w:asciiTheme="majorEastAsia" w:hAnsiTheme="majorEastAsia" w:hint="eastAsia"/>
          <w:sz w:val="24"/>
        </w:rPr>
        <w:t>因投资港股通标的股票而产生的各项合理</w:t>
      </w:r>
      <w:r w:rsidR="00303D30" w:rsidRPr="00F56F71">
        <w:rPr>
          <w:rFonts w:asciiTheme="majorEastAsia" w:eastAsiaTheme="majorEastAsia" w:hAnsiTheme="majorEastAsia" w:cs="Arial" w:hint="eastAsia"/>
          <w:sz w:val="24"/>
        </w:rPr>
        <w:t>费用</w:t>
      </w:r>
      <w:r w:rsidR="00D23A94" w:rsidRPr="00F56F71">
        <w:rPr>
          <w:rFonts w:asciiTheme="majorEastAsia" w:eastAsiaTheme="majorEastAsia" w:hAnsiTheme="majorEastAsia" w:cs="Arial" w:hint="eastAsia"/>
          <w:sz w:val="24"/>
        </w:rPr>
        <w:t>、基金场内份额收益分配中发生的</w:t>
      </w:r>
      <w:r w:rsidR="00D23A94" w:rsidRPr="00F56F71">
        <w:rPr>
          <w:rFonts w:asciiTheme="majorEastAsia" w:hAnsiTheme="majorEastAsia" w:hint="eastAsia"/>
          <w:sz w:val="24"/>
        </w:rPr>
        <w:t>费用</w:t>
      </w:r>
      <w:r w:rsidRPr="00F56F71">
        <w:rPr>
          <w:rFonts w:asciiTheme="majorEastAsia" w:eastAsiaTheme="majorEastAsia" w:hAnsiTheme="majorEastAsia" w:hint="eastAsia"/>
          <w:sz w:val="24"/>
        </w:rPr>
        <w:t>等根据有关法律法规、《基金合同》及相应协议的规定，列入当期基金费用。</w:t>
      </w:r>
    </w:p>
    <w:p w14:paraId="596A0DB8" w14:textId="0B1D7F6B"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w:t>
      </w:r>
      <w:r w:rsidR="00303D30" w:rsidRPr="00F56F71">
        <w:rPr>
          <w:rFonts w:asciiTheme="majorEastAsia" w:eastAsiaTheme="majorEastAsia" w:hAnsiTheme="majorEastAsia" w:cs="Arial" w:hint="eastAsia"/>
          <w:sz w:val="24"/>
        </w:rPr>
        <w:t>五</w:t>
      </w:r>
      <w:r w:rsidRPr="00F56F71">
        <w:rPr>
          <w:rFonts w:asciiTheme="majorEastAsia" w:eastAsiaTheme="majorEastAsia" w:hAnsiTheme="majorEastAsia" w:hint="eastAsia"/>
          <w:sz w:val="24"/>
        </w:rPr>
        <w:t>）不列入基金费用的项目</w:t>
      </w:r>
    </w:p>
    <w:p w14:paraId="549D3E8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4CE4B356" w14:textId="5E5583AE" w:rsidR="003A5994" w:rsidRPr="00F56F71" w:rsidRDefault="003A5994" w:rsidP="002C1558">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w:t>
      </w:r>
      <w:r w:rsidR="00303D30" w:rsidRPr="00F56F71">
        <w:rPr>
          <w:rFonts w:asciiTheme="majorEastAsia" w:eastAsiaTheme="majorEastAsia" w:hAnsiTheme="majorEastAsia" w:cs="Arial" w:hint="eastAsia"/>
          <w:sz w:val="24"/>
        </w:rPr>
        <w:t>六</w:t>
      </w:r>
      <w:r w:rsidRPr="00F56F71">
        <w:rPr>
          <w:rFonts w:asciiTheme="majorEastAsia" w:eastAsiaTheme="majorEastAsia" w:hAnsiTheme="majorEastAsia" w:hint="eastAsia"/>
          <w:sz w:val="24"/>
        </w:rPr>
        <w:t>）基金管理费和基金托管费的复核程序、支付方式和时间</w:t>
      </w:r>
    </w:p>
    <w:p w14:paraId="7CC0CA1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1.复核程序</w:t>
      </w:r>
    </w:p>
    <w:p w14:paraId="0B1520F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基金托管人对基金管理人计提的基金管理费和基金托管费等，根据本托管协议和《基金合同》的有关规定进行复核。</w:t>
      </w:r>
    </w:p>
    <w:p w14:paraId="449E19C4" w14:textId="77777777" w:rsidR="003A5994" w:rsidRPr="00F56F71" w:rsidRDefault="003A5994" w:rsidP="000A02E9">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2.支付方式和时间</w:t>
      </w:r>
    </w:p>
    <w:p w14:paraId="004F47FA" w14:textId="281987B4" w:rsidR="003A5994" w:rsidRPr="00F56F71" w:rsidRDefault="003A5994" w:rsidP="000A02E9">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基金管理费、基金托管费</w:t>
      </w:r>
      <w:r w:rsidR="00067701" w:rsidRPr="00F56F71">
        <w:rPr>
          <w:rFonts w:asciiTheme="majorEastAsia" w:eastAsiaTheme="majorEastAsia" w:hAnsiTheme="majorEastAsia" w:hint="eastAsia"/>
          <w:sz w:val="24"/>
        </w:rPr>
        <w:t>每日计提，按月支付</w:t>
      </w:r>
      <w:r w:rsidR="00B94FA0" w:rsidRPr="00F56F71">
        <w:rPr>
          <w:rFonts w:asciiTheme="majorEastAsia" w:eastAsiaTheme="majorEastAsia" w:hAnsiTheme="majorEastAsia" w:hint="eastAsia"/>
          <w:sz w:val="24"/>
        </w:rPr>
        <w:t>。</w:t>
      </w:r>
      <w:r w:rsidR="00DA6440" w:rsidRPr="00F56F71">
        <w:rPr>
          <w:rFonts w:asciiTheme="majorEastAsia" w:eastAsiaTheme="majorEastAsia" w:hAnsiTheme="majorEastAsia" w:hint="eastAsia"/>
          <w:sz w:val="24"/>
        </w:rPr>
        <w:t>由托管人根据与管理人核对一致的财务数据，自动在月初</w:t>
      </w:r>
      <w:r w:rsidR="00B22504" w:rsidRPr="00F56F71">
        <w:rPr>
          <w:rFonts w:asciiTheme="majorEastAsia" w:eastAsiaTheme="majorEastAsia" w:hAnsiTheme="majorEastAsia" w:hint="eastAsia"/>
          <w:sz w:val="24"/>
        </w:rPr>
        <w:t>3</w:t>
      </w:r>
      <w:r w:rsidR="00DA6440" w:rsidRPr="00F56F71">
        <w:rPr>
          <w:rFonts w:asciiTheme="majorEastAsia" w:eastAsiaTheme="majorEastAsia" w:hAnsiTheme="majorEastAsia" w:hint="eastAsia"/>
          <w:sz w:val="24"/>
        </w:rPr>
        <w:t>个工作日内、按照指定的账户路径进行资金支付，管理人无需再出具资金划拨指令。</w:t>
      </w:r>
      <w:r w:rsidR="00067701" w:rsidRPr="00F56F71">
        <w:rPr>
          <w:rFonts w:asciiTheme="majorEastAsia" w:eastAsiaTheme="majorEastAsia" w:hAnsiTheme="majorEastAsia"/>
          <w:sz w:val="24"/>
        </w:rPr>
        <w:t>若遇法定节假日、</w:t>
      </w:r>
      <w:r w:rsidR="00067701" w:rsidRPr="00F56F71">
        <w:rPr>
          <w:rFonts w:asciiTheme="majorEastAsia" w:eastAsiaTheme="majorEastAsia" w:hAnsiTheme="majorEastAsia" w:cs="Arial"/>
          <w:sz w:val="24"/>
        </w:rPr>
        <w:t>公休假</w:t>
      </w:r>
      <w:r w:rsidR="00067701" w:rsidRPr="00F56F71">
        <w:rPr>
          <w:rFonts w:asciiTheme="majorEastAsia" w:eastAsiaTheme="majorEastAsia" w:hAnsiTheme="majorEastAsia"/>
          <w:sz w:val="24"/>
        </w:rPr>
        <w:t>等，支付日期顺延</w:t>
      </w:r>
      <w:r w:rsidRPr="00F56F71">
        <w:rPr>
          <w:rFonts w:asciiTheme="majorEastAsia" w:eastAsiaTheme="majorEastAsia" w:hAnsiTheme="majorEastAsia" w:hint="eastAsia"/>
          <w:sz w:val="24"/>
        </w:rPr>
        <w:t>。费用自动扣划后，基金管理人应进行核对，如发现数据不符，及时联系基金托管人协商解决。</w:t>
      </w:r>
    </w:p>
    <w:p w14:paraId="7C88F82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在首期支付基金管理费前，基金管理人应向托管人出具正式函件指定基金管理费的收款账户。基金管理人如需要变更此账户，应提前</w:t>
      </w:r>
      <w:r w:rsidRPr="00F56F71">
        <w:rPr>
          <w:rFonts w:asciiTheme="majorEastAsia" w:eastAsiaTheme="majorEastAsia" w:hAnsiTheme="majorEastAsia"/>
          <w:sz w:val="24"/>
        </w:rPr>
        <w:t>5个工作日向托管人出具书面的收款账户变更通知。</w:t>
      </w:r>
    </w:p>
    <w:p w14:paraId="2DA4715F" w14:textId="11A98C12"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w:t>
      </w:r>
      <w:r w:rsidR="002C1558">
        <w:rPr>
          <w:rFonts w:asciiTheme="majorEastAsia" w:eastAsiaTheme="majorEastAsia" w:hAnsiTheme="majorEastAsia" w:cs="Arial" w:hint="eastAsia"/>
          <w:sz w:val="24"/>
        </w:rPr>
        <w:t>七</w:t>
      </w:r>
      <w:r w:rsidRPr="00F56F71">
        <w:rPr>
          <w:rFonts w:asciiTheme="majorEastAsia" w:eastAsiaTheme="majorEastAsia" w:hAnsiTheme="majorEastAsia" w:hint="eastAsia"/>
          <w:sz w:val="24"/>
        </w:rPr>
        <w:t>）违规处理方式</w:t>
      </w:r>
    </w:p>
    <w:p w14:paraId="189E07C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19D34F7"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328FB210"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2"/>
          <w:pgSz w:w="11906" w:h="16838" w:code="9"/>
          <w:pgMar w:top="1418" w:right="1701" w:bottom="1418" w:left="1701" w:header="851" w:footer="992" w:gutter="0"/>
          <w:pgNumType w:start="1"/>
          <w:cols w:space="425"/>
          <w:docGrid w:type="lines" w:linePitch="312"/>
        </w:sectPr>
      </w:pPr>
      <w:bookmarkStart w:id="89" w:name="_Toc124325896"/>
    </w:p>
    <w:p w14:paraId="070588C7" w14:textId="3F0B60DC"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十二、基金份额持有人名册的保管</w:t>
      </w:r>
      <w:bookmarkEnd w:id="89"/>
    </w:p>
    <w:p w14:paraId="7A5CF1BD" w14:textId="780648A3"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56F71">
        <w:rPr>
          <w:rFonts w:asciiTheme="majorEastAsia" w:eastAsiaTheme="majorEastAsia" w:hAnsiTheme="majorEastAsia"/>
          <w:sz w:val="24"/>
        </w:rPr>
        <w:t>15年</w:t>
      </w:r>
      <w:r w:rsidR="00303D30" w:rsidRPr="00F56F71">
        <w:rPr>
          <w:rFonts w:asciiTheme="majorEastAsia" w:eastAsiaTheme="majorEastAsia" w:hAnsiTheme="majorEastAsia" w:cs="Arial" w:hint="eastAsia"/>
          <w:sz w:val="24"/>
        </w:rPr>
        <w:t>，法律法规另有规定或监管机关另有要求的除外</w:t>
      </w:r>
      <w:r w:rsidRPr="00F56F71">
        <w:rPr>
          <w:rFonts w:asciiTheme="majorEastAsia" w:eastAsiaTheme="majorEastAsia" w:hAnsiTheme="majorEastAsia" w:hint="eastAsia"/>
          <w:sz w:val="24"/>
        </w:rPr>
        <w:t>。如不能妥善保管，则按相关法规承担责任。</w:t>
      </w:r>
    </w:p>
    <w:p w14:paraId="5AB2D4E2" w14:textId="259306CE"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在基金托管人要求或编制</w:t>
      </w:r>
      <w:r w:rsidR="0093604F">
        <w:rPr>
          <w:rFonts w:asciiTheme="majorEastAsia" w:eastAsiaTheme="majorEastAsia" w:hAnsiTheme="majorEastAsia" w:hint="eastAsia"/>
          <w:sz w:val="24"/>
        </w:rPr>
        <w:t>中期</w:t>
      </w:r>
      <w:r w:rsidRPr="00F56F71">
        <w:rPr>
          <w:rFonts w:asciiTheme="majorEastAsia" w:eastAsiaTheme="majorEastAsia" w:hAnsiTheme="majorEastAsia" w:hint="eastAsia"/>
          <w:sz w:val="24"/>
        </w:rPr>
        <w:t>报和年报前，基金管理人应将有关资料送交基金托管人，不得无故拒绝或延误提供，并保证其真实性、准确性和完整性。</w:t>
      </w:r>
      <w:r w:rsidRPr="00F56F71">
        <w:rPr>
          <w:rFonts w:asciiTheme="majorEastAsia" w:eastAsiaTheme="majorEastAsia" w:hAnsiTheme="majorEastAsia" w:hint="eastAsia"/>
          <w:kern w:val="0"/>
          <w:sz w:val="24"/>
        </w:rPr>
        <w:t>基金托管人不得将所保管的基金份额持有人名册用于基金托管业务以外的其他用途，并应遵守保密义务。</w:t>
      </w:r>
    </w:p>
    <w:p w14:paraId="199DD605"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4EB3952D"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3"/>
          <w:pgSz w:w="11906" w:h="16838" w:code="9"/>
          <w:pgMar w:top="1418" w:right="1701" w:bottom="1418" w:left="1701" w:header="851" w:footer="992" w:gutter="0"/>
          <w:pgNumType w:start="1"/>
          <w:cols w:space="425"/>
          <w:docGrid w:type="lines" w:linePitch="312"/>
        </w:sectPr>
      </w:pPr>
      <w:bookmarkStart w:id="90" w:name="_Toc124325897"/>
    </w:p>
    <w:p w14:paraId="57283137" w14:textId="683B86E9"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十三、基金有关文件档案的保存</w:t>
      </w:r>
      <w:bookmarkEnd w:id="90"/>
    </w:p>
    <w:p w14:paraId="3BF4FC0C"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（一）档案保存</w:t>
      </w:r>
    </w:p>
    <w:p w14:paraId="407635DF" w14:textId="16406682"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56F71">
        <w:rPr>
          <w:rFonts w:asciiTheme="majorEastAsia" w:eastAsiaTheme="majorEastAsia" w:hAnsiTheme="majorEastAsia"/>
          <w:sz w:val="24"/>
        </w:rPr>
        <w:t xml:space="preserve">15 </w:t>
      </w:r>
      <w:r w:rsidRPr="00F56F71">
        <w:rPr>
          <w:rFonts w:asciiTheme="majorEastAsia" w:eastAsiaTheme="majorEastAsia" w:hAnsiTheme="majorEastAsia" w:hint="eastAsia"/>
          <w:sz w:val="24"/>
        </w:rPr>
        <w:t>年</w:t>
      </w:r>
      <w:r w:rsidR="00303D30" w:rsidRPr="00F56F71">
        <w:rPr>
          <w:rFonts w:asciiTheme="majorEastAsia" w:eastAsiaTheme="majorEastAsia" w:hAnsiTheme="majorEastAsia" w:cs="Arial" w:hint="eastAsia"/>
          <w:sz w:val="24"/>
        </w:rPr>
        <w:t>，法律法规另有规定或监管机关另有要求的除外</w:t>
      </w:r>
      <w:r w:rsidRPr="00F56F71">
        <w:rPr>
          <w:rFonts w:asciiTheme="majorEastAsia" w:eastAsiaTheme="majorEastAsia" w:hAnsiTheme="majorEastAsia" w:hint="eastAsia"/>
          <w:sz w:val="24"/>
        </w:rPr>
        <w:t>。</w:t>
      </w:r>
    </w:p>
    <w:p w14:paraId="11FD79DE"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（二）合同档案的建立</w:t>
      </w:r>
    </w:p>
    <w:p w14:paraId="4438E28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1.基金管理人签署重大合同文本后，应及时将合同文本正本送达基金托管人处。</w:t>
      </w:r>
    </w:p>
    <w:p w14:paraId="5558688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2.基金管理人应及时将与本基金账务处理、资金划拨等有关的合同、协议传真基金托管人。</w:t>
      </w:r>
    </w:p>
    <w:p w14:paraId="3BAF086A"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（三）变更与协助</w:t>
      </w:r>
    </w:p>
    <w:p w14:paraId="44E2B0A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b/>
          <w:sz w:val="30"/>
        </w:rPr>
      </w:pPr>
      <w:r w:rsidRPr="00F56F71">
        <w:rPr>
          <w:rFonts w:asciiTheme="majorEastAsia" w:eastAsiaTheme="majorEastAsia" w:hAnsiTheme="majorEastAsia" w:hint="eastAsia"/>
          <w:sz w:val="24"/>
        </w:rPr>
        <w:t>若基金管理人</w:t>
      </w:r>
      <w:r w:rsidRPr="00F56F71">
        <w:rPr>
          <w:rFonts w:asciiTheme="majorEastAsia" w:eastAsiaTheme="majorEastAsia" w:hAnsiTheme="majorEastAsia"/>
          <w:sz w:val="24"/>
        </w:rPr>
        <w:t>/基金托管人发生变更，未变更的一方有义务协助变更后的接任人接收相应文件。</w:t>
      </w:r>
    </w:p>
    <w:p w14:paraId="479F26CB" w14:textId="3D6CEDC0"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（四）基金管理人和基金托管人应按各自职责完整保存原始凭证、记账凭证、基金账册、交易记录和重要合同等，承担保密义务并保存至少</w:t>
      </w:r>
      <w:r w:rsidRPr="00F56F71">
        <w:rPr>
          <w:rFonts w:asciiTheme="majorEastAsia" w:eastAsiaTheme="majorEastAsia" w:hAnsiTheme="majorEastAsia"/>
          <w:sz w:val="24"/>
        </w:rPr>
        <w:t>15年</w:t>
      </w:r>
      <w:r w:rsidR="00303D30" w:rsidRPr="00F56F71">
        <w:rPr>
          <w:rFonts w:asciiTheme="majorEastAsia" w:eastAsiaTheme="majorEastAsia" w:hAnsiTheme="majorEastAsia" w:cs="Arial" w:hint="eastAsia"/>
          <w:sz w:val="24"/>
        </w:rPr>
        <w:t>，法律法规另有规定或监管机关另有要求的除外</w:t>
      </w:r>
      <w:r w:rsidRPr="00F56F71">
        <w:rPr>
          <w:rFonts w:asciiTheme="majorEastAsia" w:eastAsiaTheme="majorEastAsia" w:hAnsiTheme="majorEastAsia" w:hint="eastAsia"/>
          <w:sz w:val="24"/>
        </w:rPr>
        <w:t>。</w:t>
      </w:r>
    </w:p>
    <w:p w14:paraId="3FA021D2" w14:textId="77777777" w:rsidR="003A5994" w:rsidRPr="00F56F71" w:rsidRDefault="003A5994" w:rsidP="00EA5F2B">
      <w:pPr>
        <w:adjustRightInd w:val="0"/>
        <w:snapToGrid w:val="0"/>
        <w:spacing w:line="360" w:lineRule="auto"/>
        <w:rPr>
          <w:rFonts w:asciiTheme="majorEastAsia" w:eastAsiaTheme="majorEastAsia" w:hAnsiTheme="majorEastAsia"/>
          <w:sz w:val="30"/>
        </w:rPr>
      </w:pPr>
    </w:p>
    <w:p w14:paraId="36D43AF6"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4"/>
          <w:pgSz w:w="11906" w:h="16838" w:code="9"/>
          <w:pgMar w:top="1418" w:right="1701" w:bottom="1418" w:left="1701" w:header="851" w:footer="992" w:gutter="0"/>
          <w:pgNumType w:start="1"/>
          <w:cols w:space="425"/>
          <w:docGrid w:type="lines" w:linePitch="312"/>
        </w:sectPr>
      </w:pPr>
      <w:bookmarkStart w:id="91" w:name="_Toc124325898"/>
    </w:p>
    <w:p w14:paraId="7D3E5A97" w14:textId="70B3A52A"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十四、基金管理人和基金托管人的更换</w:t>
      </w:r>
      <w:bookmarkEnd w:id="91"/>
    </w:p>
    <w:p w14:paraId="5C2642D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（一）基金管理人职责终止的情形</w:t>
      </w:r>
    </w:p>
    <w:p w14:paraId="42E0542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1.基金管理人职责终止的情形</w:t>
      </w:r>
    </w:p>
    <w:p w14:paraId="33085E2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有下列情形之一的，基金管理人职责终止：</w:t>
      </w:r>
    </w:p>
    <w:p w14:paraId="631050F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(1)被依法取消基金管理资格；</w:t>
      </w:r>
    </w:p>
    <w:p w14:paraId="03FFBF7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(2)依法解散、被依法撤销或被依法宣告破产；</w:t>
      </w:r>
    </w:p>
    <w:p w14:paraId="0560417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(3)被基金份额持有人大会解任；</w:t>
      </w:r>
    </w:p>
    <w:p w14:paraId="58BC764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(4)法律法规及中国证监会规定的和《基金合同》约定的其他情形。</w:t>
      </w:r>
    </w:p>
    <w:p w14:paraId="51117766"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2.基金管理人的更换程序</w:t>
      </w:r>
    </w:p>
    <w:p w14:paraId="261E717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更换基金管理人必须依照如下程序进行：</w:t>
      </w:r>
    </w:p>
    <w:p w14:paraId="78F32A1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(1)提名：新任基金管理人由基金托管人或由单独或合计持有10%以上(含10%)基金份额的基金份额持有人提名；</w:t>
      </w:r>
    </w:p>
    <w:p w14:paraId="23A34C24" w14:textId="43B4A5E0"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(2)决议：基金份额持有人大会在基金管理人职责终止后6个月内对被提名的基金管理人形成决议，该决议需经参加大会的基金份额持有人所持表决权的三分之二以上(含三分之二)表决通过</w:t>
      </w:r>
      <w:r w:rsidR="00303D30" w:rsidRPr="00F56F71">
        <w:rPr>
          <w:rFonts w:asciiTheme="majorEastAsia" w:eastAsiaTheme="majorEastAsia" w:hAnsiTheme="majorEastAsia" w:cs="Arial" w:hint="eastAsia"/>
          <w:sz w:val="24"/>
        </w:rPr>
        <w:t>，决议自表决通过之日起生效</w:t>
      </w:r>
      <w:r w:rsidRPr="00F56F71">
        <w:rPr>
          <w:rFonts w:asciiTheme="majorEastAsia" w:eastAsiaTheme="majorEastAsia" w:hAnsiTheme="majorEastAsia" w:hint="eastAsia"/>
          <w:sz w:val="24"/>
        </w:rPr>
        <w:t>；</w:t>
      </w:r>
    </w:p>
    <w:p w14:paraId="4AACBE2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(3)临时基金管理人：新任基金管理人产生之前，由中国证监会指定临时基金管理人；</w:t>
      </w:r>
    </w:p>
    <w:p w14:paraId="60076CB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(4)备案：基金份额持有人大会选任基金管理人的决议须报中国证监会备案；</w:t>
      </w:r>
    </w:p>
    <w:p w14:paraId="17E21860" w14:textId="1E89B52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(5)公告：基金管理人更换后，由基金托管人在更换基金管理人的基金份额持有人大会决议生效后</w:t>
      </w:r>
      <w:r w:rsidR="00303D30" w:rsidRPr="00F56F71">
        <w:rPr>
          <w:rFonts w:asciiTheme="majorEastAsia" w:eastAsiaTheme="majorEastAsia" w:hAnsiTheme="majorEastAsia" w:cs="Arial" w:hint="eastAsia"/>
          <w:sz w:val="24"/>
        </w:rPr>
        <w:t>依照《信息披露办法》</w:t>
      </w:r>
      <w:r w:rsidRPr="00F56F71">
        <w:rPr>
          <w:rFonts w:asciiTheme="majorEastAsia" w:eastAsiaTheme="majorEastAsia" w:hAnsiTheme="majorEastAsia" w:hint="eastAsia"/>
          <w:sz w:val="24"/>
        </w:rPr>
        <w:t>在指定媒介公告；</w:t>
      </w:r>
    </w:p>
    <w:p w14:paraId="57CDCC54" w14:textId="2DCFB6A5"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303D30" w:rsidRPr="00F56F71">
        <w:rPr>
          <w:rFonts w:asciiTheme="majorEastAsia" w:eastAsiaTheme="majorEastAsia" w:hAnsiTheme="majorEastAsia" w:cs="Arial" w:hint="eastAsia"/>
          <w:sz w:val="24"/>
        </w:rPr>
        <w:t>和净值</w:t>
      </w:r>
      <w:r w:rsidRPr="00F56F71">
        <w:rPr>
          <w:rFonts w:asciiTheme="majorEastAsia" w:eastAsiaTheme="majorEastAsia" w:hAnsiTheme="majorEastAsia" w:hint="eastAsia"/>
          <w:sz w:val="24"/>
        </w:rPr>
        <w:t>；</w:t>
      </w:r>
    </w:p>
    <w:p w14:paraId="0D2487DD" w14:textId="09B9E1EA"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(7)审计：基金管理人职责终止的，应当按照法律法规规定聘请会计师事务所对基金财产进行审计，并将审计结果予以公告，同时报中国证监会备案</w:t>
      </w:r>
      <w:r w:rsidR="00303D30" w:rsidRPr="00F56F71">
        <w:rPr>
          <w:rFonts w:asciiTheme="majorEastAsia" w:eastAsiaTheme="majorEastAsia" w:hAnsiTheme="majorEastAsia" w:cs="Arial" w:hint="eastAsia"/>
          <w:sz w:val="24"/>
        </w:rPr>
        <w:t>，审计费用从基金财产中列支</w:t>
      </w:r>
      <w:r w:rsidRPr="00F56F71">
        <w:rPr>
          <w:rFonts w:asciiTheme="majorEastAsia" w:eastAsiaTheme="majorEastAsia" w:hAnsiTheme="majorEastAsia" w:hint="eastAsia"/>
          <w:sz w:val="24"/>
        </w:rPr>
        <w:t>；</w:t>
      </w:r>
    </w:p>
    <w:p w14:paraId="4D7CD87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30"/>
        </w:rPr>
      </w:pPr>
      <w:r w:rsidRPr="00F56F71">
        <w:rPr>
          <w:rFonts w:asciiTheme="majorEastAsia" w:eastAsiaTheme="majorEastAsia" w:hAnsiTheme="majorEastAsia"/>
          <w:sz w:val="24"/>
        </w:rPr>
        <w:t>(8)基金名称变更：基金管理人更换后，如果原任或新任基金管理人要求，应按其要求替换或删除基金名称中与原基金管理人有关的名称字样。</w:t>
      </w:r>
    </w:p>
    <w:p w14:paraId="498A1DE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lastRenderedPageBreak/>
        <w:t>（二）基金托管人职责终止的情形</w:t>
      </w:r>
    </w:p>
    <w:p w14:paraId="52A94536"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1.基金托管人职责终止的情形</w:t>
      </w:r>
    </w:p>
    <w:p w14:paraId="42D107D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有下列情形之一的，基金托管人职责终止：</w:t>
      </w:r>
    </w:p>
    <w:p w14:paraId="68270AD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(1)被依法取消基金托管资格；</w:t>
      </w:r>
    </w:p>
    <w:p w14:paraId="3CD8A3DE"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(2)依法解散、被依法撤销或被依法宣告破产；</w:t>
      </w:r>
    </w:p>
    <w:p w14:paraId="5E133E7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(3)被基金份额持有人大会解任；</w:t>
      </w:r>
    </w:p>
    <w:p w14:paraId="2350F5C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(4)法律法规及中国证监会规定的和《基金合同》约定的其他情形。</w:t>
      </w:r>
    </w:p>
    <w:p w14:paraId="73F1F89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2.基金托管人的更换程序</w:t>
      </w:r>
    </w:p>
    <w:p w14:paraId="24DA60C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(1)提名：新任基金托管人由基金管理人或由单独或合计持有10%以上(含10%)基金份额的基金份额持有人提名；</w:t>
      </w:r>
    </w:p>
    <w:p w14:paraId="68C01E8A" w14:textId="15098A73"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(2)决议：基金份额持有人大会在基金托管人职责终止后6个月内对被提名的基金托管人形成决议，该决议需经参加大会的基金份额持有人所持表决权的三分之二以上(含三分之二)表决通过</w:t>
      </w:r>
      <w:r w:rsidR="00303D30" w:rsidRPr="00F56F71">
        <w:rPr>
          <w:rFonts w:asciiTheme="majorEastAsia" w:eastAsiaTheme="majorEastAsia" w:hAnsiTheme="majorEastAsia" w:cs="Arial" w:hint="eastAsia"/>
          <w:sz w:val="24"/>
        </w:rPr>
        <w:t>，决议自表决通过之日起生效</w:t>
      </w:r>
      <w:r w:rsidRPr="00F56F71">
        <w:rPr>
          <w:rFonts w:asciiTheme="majorEastAsia" w:eastAsiaTheme="majorEastAsia" w:hAnsiTheme="majorEastAsia" w:hint="eastAsia"/>
          <w:sz w:val="24"/>
        </w:rPr>
        <w:t>；</w:t>
      </w:r>
    </w:p>
    <w:p w14:paraId="2D608952"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(3)临时基金托管人：新任基金托管人产生之前，由中国证监会指定临时基金托管人；</w:t>
      </w:r>
    </w:p>
    <w:p w14:paraId="6B80EBE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(4)备案：基金份额持有人大会更换基金托管人的决议须报中国证监会备案；</w:t>
      </w:r>
    </w:p>
    <w:p w14:paraId="4BE7B478" w14:textId="3D2FB8B5"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(5)公告：基金托管人更换后，由基金管理人在更换基金托管人的基金份额持有人大会决议生效后</w:t>
      </w:r>
      <w:r w:rsidR="00303D30" w:rsidRPr="00F56F71">
        <w:rPr>
          <w:rFonts w:asciiTheme="majorEastAsia" w:eastAsiaTheme="majorEastAsia" w:hAnsiTheme="majorEastAsia" w:cs="Arial" w:hint="eastAsia"/>
          <w:sz w:val="24"/>
        </w:rPr>
        <w:t>依照《信息披露办法》</w:t>
      </w:r>
      <w:r w:rsidRPr="00F56F71">
        <w:rPr>
          <w:rFonts w:asciiTheme="majorEastAsia" w:eastAsiaTheme="majorEastAsia" w:hAnsiTheme="majorEastAsia" w:hint="eastAsia"/>
          <w:sz w:val="24"/>
        </w:rPr>
        <w:t>在指定媒介公告；</w:t>
      </w:r>
    </w:p>
    <w:p w14:paraId="130343A0" w14:textId="68D62DE1"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303D30" w:rsidRPr="00F56F71">
        <w:rPr>
          <w:rFonts w:asciiTheme="majorEastAsia" w:eastAsiaTheme="majorEastAsia" w:hAnsiTheme="majorEastAsia" w:cs="Arial" w:hint="eastAsia"/>
          <w:sz w:val="24"/>
        </w:rPr>
        <w:t>和净值</w:t>
      </w:r>
      <w:r w:rsidRPr="00F56F71">
        <w:rPr>
          <w:rFonts w:asciiTheme="majorEastAsia" w:eastAsiaTheme="majorEastAsia" w:hAnsiTheme="majorEastAsia" w:hint="eastAsia"/>
          <w:sz w:val="24"/>
        </w:rPr>
        <w:t>；</w:t>
      </w:r>
    </w:p>
    <w:p w14:paraId="7F461767" w14:textId="19CB065F"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(7)审计：基金托管人职责终止的，应当按照法律法规规定聘请会计师事务所对基金财产进行审计，并将审计结果予以公告，同时报中国证监会备案</w:t>
      </w:r>
      <w:r w:rsidR="00303D30" w:rsidRPr="00F56F71">
        <w:rPr>
          <w:rFonts w:asciiTheme="majorEastAsia" w:eastAsiaTheme="majorEastAsia" w:hAnsiTheme="majorEastAsia" w:cs="Arial" w:hint="eastAsia"/>
          <w:sz w:val="24"/>
        </w:rPr>
        <w:t>，审计费用从基金财产中列支</w:t>
      </w:r>
      <w:r w:rsidRPr="00F56F71">
        <w:rPr>
          <w:rFonts w:asciiTheme="majorEastAsia" w:eastAsiaTheme="majorEastAsia" w:hAnsiTheme="majorEastAsia" w:hint="eastAsia"/>
          <w:sz w:val="24"/>
        </w:rPr>
        <w:t>。</w:t>
      </w:r>
    </w:p>
    <w:p w14:paraId="3EFCD928"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（三）基金管理人与基金托管人同时更换的条件和程序</w:t>
      </w:r>
    </w:p>
    <w:p w14:paraId="0523AE6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1.提名：如果基金管理人和基金托管人同时更换，由单独或合计持有基金总份额10%以上(含10%)的基金份额持有人提名新的基金管理人和基金托管人；</w:t>
      </w:r>
    </w:p>
    <w:p w14:paraId="44E7255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2.基金管理人和基金托管人的更换分别按上述程序进行；</w:t>
      </w:r>
    </w:p>
    <w:p w14:paraId="729199EE" w14:textId="73285A52"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3.公告：新任基金管理人和新任基金托管人应在更换基金管理人和基金托管</w:t>
      </w:r>
      <w:r w:rsidRPr="00F56F71">
        <w:rPr>
          <w:rFonts w:asciiTheme="majorEastAsia" w:eastAsiaTheme="majorEastAsia" w:hAnsiTheme="majorEastAsia"/>
          <w:sz w:val="24"/>
        </w:rPr>
        <w:lastRenderedPageBreak/>
        <w:t>人的基金份额持有人大会决议生效后</w:t>
      </w:r>
      <w:r w:rsidR="00303D30" w:rsidRPr="00F56F71">
        <w:rPr>
          <w:rFonts w:asciiTheme="majorEastAsia" w:eastAsiaTheme="majorEastAsia" w:hAnsiTheme="majorEastAsia" w:cs="Arial" w:hint="eastAsia"/>
          <w:sz w:val="24"/>
        </w:rPr>
        <w:t>依照《信息披露办法》</w:t>
      </w:r>
      <w:r w:rsidRPr="00F56F71">
        <w:rPr>
          <w:rFonts w:asciiTheme="majorEastAsia" w:eastAsiaTheme="majorEastAsia" w:hAnsiTheme="majorEastAsia" w:hint="eastAsia"/>
          <w:sz w:val="24"/>
        </w:rPr>
        <w:t>在指定媒介上联合公告。</w:t>
      </w:r>
    </w:p>
    <w:p w14:paraId="56CB394B" w14:textId="304E9D45"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（四）</w:t>
      </w:r>
      <w:r w:rsidR="00303D30" w:rsidRPr="00F56F71">
        <w:rPr>
          <w:rFonts w:asciiTheme="majorEastAsia" w:eastAsiaTheme="majorEastAsia" w:hAnsiTheme="majorEastAsia" w:cs="Arial" w:hint="eastAsia"/>
          <w:sz w:val="24"/>
        </w:rPr>
        <w:t>新基金管理人</w:t>
      </w:r>
      <w:r w:rsidR="00303D30" w:rsidRPr="00F56F71">
        <w:rPr>
          <w:rFonts w:asciiTheme="majorEastAsia" w:eastAsiaTheme="majorEastAsia" w:hAnsiTheme="majorEastAsia" w:hint="eastAsia"/>
          <w:sz w:val="24"/>
        </w:rPr>
        <w:t>或临时基金管理人接收基金管理业务或</w:t>
      </w:r>
      <w:r w:rsidR="00303D30" w:rsidRPr="00F56F71">
        <w:rPr>
          <w:rFonts w:asciiTheme="majorEastAsia" w:eastAsiaTheme="majorEastAsia" w:hAnsiTheme="majorEastAsia" w:cs="Arial" w:hint="eastAsia"/>
          <w:sz w:val="24"/>
        </w:rPr>
        <w:t>新基金托管人</w:t>
      </w:r>
      <w:r w:rsidR="00303D30" w:rsidRPr="00F56F71">
        <w:rPr>
          <w:rFonts w:asciiTheme="majorEastAsia" w:eastAsiaTheme="majorEastAsia" w:hAnsiTheme="majorEastAsia" w:hint="eastAsia"/>
          <w:sz w:val="24"/>
        </w:rPr>
        <w:t>或临时基金托管人接收基金财产和基金托管业务前，原基金管理人或原基金托管人应</w:t>
      </w:r>
      <w:r w:rsidR="00303D30" w:rsidRPr="00F56F71">
        <w:rPr>
          <w:rFonts w:asciiTheme="majorEastAsia" w:eastAsiaTheme="majorEastAsia" w:hAnsiTheme="majorEastAsia" w:cs="Arial" w:hint="eastAsia"/>
          <w:sz w:val="24"/>
        </w:rPr>
        <w:t>依据法律法规和基金合同的规定</w:t>
      </w:r>
      <w:r w:rsidR="00303D30" w:rsidRPr="00F56F71">
        <w:rPr>
          <w:rFonts w:asciiTheme="majorEastAsia" w:eastAsiaTheme="majorEastAsia" w:hAnsiTheme="majorEastAsia" w:hint="eastAsia"/>
          <w:sz w:val="24"/>
        </w:rPr>
        <w:t>继续履行相关职责，并保证不做出对基金份额持有人的利益造成损害的行为</w:t>
      </w:r>
      <w:r w:rsidR="0043760C" w:rsidRPr="00F56F71">
        <w:rPr>
          <w:rFonts w:asciiTheme="majorEastAsia" w:eastAsiaTheme="majorEastAsia" w:hAnsiTheme="majorEastAsia" w:hint="eastAsia"/>
          <w:sz w:val="24"/>
        </w:rPr>
        <w:t>。</w:t>
      </w:r>
      <w:r w:rsidR="0043760C" w:rsidRPr="00F56F71">
        <w:rPr>
          <w:rFonts w:asciiTheme="majorEastAsia" w:eastAsiaTheme="majorEastAsia" w:hAnsiTheme="majorEastAsia" w:cs="Arial" w:hint="eastAsia"/>
          <w:sz w:val="24"/>
        </w:rPr>
        <w:t>原基金管理人或原基金托管人在继续履行相关职责期间，仍有权按照</w:t>
      </w:r>
      <w:r w:rsidR="00303D30" w:rsidRPr="00F56F71">
        <w:rPr>
          <w:rFonts w:asciiTheme="majorEastAsia" w:eastAsiaTheme="majorEastAsia" w:hAnsiTheme="majorEastAsia" w:cs="Arial" w:hint="eastAsia"/>
          <w:sz w:val="24"/>
        </w:rPr>
        <w:t>基金合同的规定收取基金管理费或基金托管费</w:t>
      </w:r>
      <w:r w:rsidRPr="00F56F71">
        <w:rPr>
          <w:rFonts w:asciiTheme="majorEastAsia" w:eastAsiaTheme="majorEastAsia" w:hAnsiTheme="majorEastAsia" w:cs="Arial" w:hint="eastAsia"/>
          <w:sz w:val="24"/>
        </w:rPr>
        <w:t>。</w:t>
      </w:r>
    </w:p>
    <w:p w14:paraId="4D61D992"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477ABD8B"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5"/>
          <w:pgSz w:w="11906" w:h="16838" w:code="9"/>
          <w:pgMar w:top="1418" w:right="1701" w:bottom="1418" w:left="1701" w:header="851" w:footer="992" w:gutter="0"/>
          <w:pgNumType w:start="1"/>
          <w:cols w:space="425"/>
          <w:docGrid w:type="lines" w:linePitch="312"/>
        </w:sectPr>
      </w:pPr>
      <w:bookmarkStart w:id="92" w:name="_Toc124325899"/>
    </w:p>
    <w:p w14:paraId="3DE4A263" w14:textId="4DAED6FE"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十五、禁止行为</w:t>
      </w:r>
      <w:bookmarkEnd w:id="92"/>
    </w:p>
    <w:p w14:paraId="07367C78"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本协议当事人禁止从事的行为，包括但不限于：</w:t>
      </w:r>
    </w:p>
    <w:p w14:paraId="5051CC87"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（一）基金管理人、基金托管人将其固有财产或者他人财产混同于基金财产从事证券投资。</w:t>
      </w:r>
    </w:p>
    <w:p w14:paraId="6D203513" w14:textId="77777777" w:rsidR="003A5994" w:rsidRPr="00F56F71" w:rsidRDefault="003A5994" w:rsidP="00EA5F2B">
      <w:pPr>
        <w:spacing w:line="360" w:lineRule="auto"/>
        <w:ind w:firstLineChars="200" w:firstLine="480"/>
        <w:rPr>
          <w:rFonts w:asciiTheme="majorEastAsia" w:eastAsiaTheme="majorEastAsia" w:hAnsiTheme="majorEastAsia"/>
        </w:rPr>
      </w:pPr>
      <w:r w:rsidRPr="00F56F71">
        <w:rPr>
          <w:rFonts w:asciiTheme="majorEastAsia" w:eastAsiaTheme="majorEastAsia" w:hAnsiTheme="majorEastAsia" w:hint="eastAsia"/>
          <w:sz w:val="24"/>
        </w:rPr>
        <w:t>（二）基金管理人不公平地对待其管理的不同基金财产，基金托管人不公平地对待其托管的不同基金财产。</w:t>
      </w:r>
    </w:p>
    <w:p w14:paraId="07A11889"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（三）基金管理人、基金托管人利用基金财产为基金份额持有人以外的第三人牟取利益。</w:t>
      </w:r>
    </w:p>
    <w:p w14:paraId="4A36F259"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（四）基金管理人、基金托管人向基金份额持有人违规承诺收益或者承担损失。</w:t>
      </w:r>
    </w:p>
    <w:p w14:paraId="38FC0B1C"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（五）基金管理人、基金托管人对他人泄漏基金运作和管理过程中任何尚未按法律法规规定的方式公开披露的信息。</w:t>
      </w:r>
    </w:p>
    <w:p w14:paraId="384315A7" w14:textId="77777777" w:rsidR="003A5994" w:rsidRPr="00F56F71" w:rsidRDefault="003A5994" w:rsidP="00EA5F2B">
      <w:pPr>
        <w:pStyle w:val="ab"/>
        <w:spacing w:line="360" w:lineRule="auto"/>
        <w:outlineLvl w:val="0"/>
        <w:rPr>
          <w:rFonts w:asciiTheme="majorEastAsia" w:eastAsiaTheme="majorEastAsia" w:hAnsiTheme="majorEastAsia"/>
        </w:rPr>
      </w:pPr>
      <w:r w:rsidRPr="00F56F71">
        <w:rPr>
          <w:rFonts w:asciiTheme="majorEastAsia" w:eastAsiaTheme="majorEastAsia" w:hAnsiTheme="majorEastAsia" w:hint="eastAsia"/>
        </w:rPr>
        <w:t>（六）基金管理人在没有充足资金的情况下向基金托管人发出投资指令和赎回、分红资金的划拨指令，或违规向基金托管人发出指令。</w:t>
      </w:r>
    </w:p>
    <w:p w14:paraId="00A27167"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（七）基金管理人、基金托管人在行政上、财务上不独立</w:t>
      </w:r>
      <w:r w:rsidRPr="00F56F71">
        <w:rPr>
          <w:rFonts w:asciiTheme="majorEastAsia" w:eastAsiaTheme="majorEastAsia" w:hAnsiTheme="majorEastAsia"/>
          <w:sz w:val="24"/>
        </w:rPr>
        <w:t xml:space="preserve">, </w:t>
      </w:r>
      <w:r w:rsidRPr="00F56F71">
        <w:rPr>
          <w:rFonts w:asciiTheme="majorEastAsia" w:eastAsiaTheme="majorEastAsia" w:hAnsiTheme="majorEastAsia" w:hint="eastAsia"/>
          <w:sz w:val="24"/>
        </w:rPr>
        <w:t>其高级管理人员和其他从业人员相互兼职。</w:t>
      </w:r>
    </w:p>
    <w:p w14:paraId="72E525B3" w14:textId="77777777"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（八）基金托管人私自动用或处分基金财产，根据基金管理人的合法指令、《基金合同》或托管协议的规定进行处分的除外。</w:t>
      </w:r>
    </w:p>
    <w:p w14:paraId="5BE44774" w14:textId="7AC0B498" w:rsidR="003A5994" w:rsidRPr="00F56F71" w:rsidRDefault="003A5994" w:rsidP="00EA5F2B">
      <w:pPr>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（九）基金财产用于下列投资或者活动：1.承销证券；2.违反规定向他人贷款或者提供担保；3.从事承担无限责任的投资；4.买卖其他基金份额，但是</w:t>
      </w:r>
      <w:r w:rsidR="0043760C" w:rsidRPr="00F56F71">
        <w:rPr>
          <w:rFonts w:asciiTheme="majorEastAsia" w:eastAsiaTheme="majorEastAsia" w:hAnsiTheme="majorEastAsia" w:hint="eastAsia"/>
          <w:sz w:val="24"/>
        </w:rPr>
        <w:t>中国证监会</w:t>
      </w:r>
      <w:r w:rsidRPr="00F56F71">
        <w:rPr>
          <w:rFonts w:asciiTheme="majorEastAsia" w:eastAsiaTheme="majorEastAsia" w:hAnsiTheme="majorEastAsia" w:hint="eastAsia"/>
          <w:sz w:val="24"/>
        </w:rPr>
        <w:t>另有规定的除外；5.向其基金管理人、基金托管人出资；6.从事内幕交易、操纵证券交易价格及其他不正当的证券交易活动；7.法律、行政法规和</w:t>
      </w:r>
      <w:r w:rsidR="0043760C" w:rsidRPr="00F56F71">
        <w:rPr>
          <w:rFonts w:asciiTheme="majorEastAsia" w:eastAsiaTheme="majorEastAsia" w:hAnsiTheme="majorEastAsia" w:hint="eastAsia"/>
          <w:sz w:val="24"/>
        </w:rPr>
        <w:t>中国证监会</w:t>
      </w:r>
      <w:r w:rsidRPr="00F56F71">
        <w:rPr>
          <w:rFonts w:asciiTheme="majorEastAsia" w:eastAsiaTheme="majorEastAsia" w:hAnsiTheme="majorEastAsia" w:hint="eastAsia"/>
          <w:sz w:val="24"/>
        </w:rPr>
        <w:t>规定禁止的其他活动。</w:t>
      </w:r>
      <w:r w:rsidR="0043760C" w:rsidRPr="00F56F71">
        <w:rPr>
          <w:rFonts w:asciiTheme="majorEastAsia" w:eastAsiaTheme="majorEastAsia" w:hAnsiTheme="majorEastAsia" w:hint="eastAsia"/>
          <w:sz w:val="24"/>
        </w:rPr>
        <w:t>法律</w:t>
      </w:r>
      <w:r w:rsidR="0043760C" w:rsidRPr="00F56F71">
        <w:rPr>
          <w:rFonts w:asciiTheme="majorEastAsia" w:eastAsiaTheme="majorEastAsia" w:hAnsiTheme="majorEastAsia" w:cs="Arial" w:hint="eastAsia"/>
          <w:sz w:val="24"/>
        </w:rPr>
        <w:t>、行政</w:t>
      </w:r>
      <w:r w:rsidR="0043760C" w:rsidRPr="00F56F71">
        <w:rPr>
          <w:rFonts w:asciiTheme="majorEastAsia" w:eastAsiaTheme="majorEastAsia" w:hAnsiTheme="majorEastAsia" w:hint="eastAsia"/>
          <w:sz w:val="24"/>
        </w:rPr>
        <w:t>法规或监管部门取消</w:t>
      </w:r>
      <w:r w:rsidR="0043760C" w:rsidRPr="00F56F71">
        <w:rPr>
          <w:rFonts w:asciiTheme="majorEastAsia" w:eastAsiaTheme="majorEastAsia" w:hAnsiTheme="majorEastAsia" w:cs="Arial" w:hint="eastAsia"/>
          <w:sz w:val="24"/>
        </w:rPr>
        <w:t>或调整</w:t>
      </w:r>
      <w:r w:rsidR="0043760C" w:rsidRPr="00F56F71">
        <w:rPr>
          <w:rFonts w:asciiTheme="majorEastAsia" w:eastAsiaTheme="majorEastAsia" w:hAnsiTheme="majorEastAsia" w:hint="eastAsia"/>
          <w:sz w:val="24"/>
        </w:rPr>
        <w:t>上述限制，如适用于本基金，则本基金投资不再受相关限制</w:t>
      </w:r>
      <w:r w:rsidR="0043760C" w:rsidRPr="00F56F71">
        <w:rPr>
          <w:rFonts w:asciiTheme="majorEastAsia" w:eastAsiaTheme="majorEastAsia" w:hAnsiTheme="majorEastAsia" w:cs="Arial" w:hint="eastAsia"/>
          <w:sz w:val="24"/>
        </w:rPr>
        <w:t>或按照调整后的规定执行</w:t>
      </w:r>
      <w:r w:rsidR="0043760C" w:rsidRPr="00F56F71">
        <w:rPr>
          <w:rFonts w:asciiTheme="majorEastAsia" w:eastAsiaTheme="majorEastAsia" w:hAnsiTheme="majorEastAsia" w:hint="eastAsia"/>
          <w:sz w:val="24"/>
        </w:rPr>
        <w:t>。</w:t>
      </w:r>
    </w:p>
    <w:p w14:paraId="5F960315" w14:textId="4DDD1B3C"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（十）法律法规和《基金合同》禁止的其他行为，以及依照法律、行政法规有关规定，由</w:t>
      </w:r>
      <w:r w:rsidR="0043760C" w:rsidRPr="00F56F71">
        <w:rPr>
          <w:rFonts w:asciiTheme="majorEastAsia" w:eastAsiaTheme="majorEastAsia" w:hAnsiTheme="majorEastAsia" w:hint="eastAsia"/>
          <w:sz w:val="24"/>
        </w:rPr>
        <w:t>中国证监会</w:t>
      </w:r>
      <w:r w:rsidRPr="00F56F71">
        <w:rPr>
          <w:rFonts w:asciiTheme="majorEastAsia" w:eastAsiaTheme="majorEastAsia" w:hAnsiTheme="majorEastAsia" w:hint="eastAsia"/>
          <w:sz w:val="24"/>
        </w:rPr>
        <w:t>规定禁止基金管理人、基金托管人从事的其他行为。</w:t>
      </w:r>
    </w:p>
    <w:p w14:paraId="19012395" w14:textId="77777777" w:rsidR="003A5994" w:rsidRPr="00F56F71" w:rsidRDefault="003A5994" w:rsidP="00EA5F2B">
      <w:pPr>
        <w:adjustRightInd w:val="0"/>
        <w:snapToGrid w:val="0"/>
        <w:spacing w:line="360" w:lineRule="auto"/>
        <w:rPr>
          <w:rFonts w:asciiTheme="majorEastAsia" w:eastAsiaTheme="majorEastAsia" w:hAnsiTheme="majorEastAsia"/>
          <w:sz w:val="30"/>
        </w:rPr>
      </w:pPr>
    </w:p>
    <w:p w14:paraId="348D4160"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6"/>
          <w:pgSz w:w="11906" w:h="16838" w:code="9"/>
          <w:pgMar w:top="1418" w:right="1701" w:bottom="1418" w:left="1701" w:header="851" w:footer="992" w:gutter="0"/>
          <w:pgNumType w:start="1"/>
          <w:cols w:space="425"/>
          <w:docGrid w:type="lines" w:linePitch="312"/>
        </w:sectPr>
      </w:pPr>
      <w:bookmarkStart w:id="93" w:name="_Toc124325900"/>
    </w:p>
    <w:p w14:paraId="5BBED4A2" w14:textId="4AC64D38"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十六、托管协议的变更、终止与基金财产的清算</w:t>
      </w:r>
      <w:bookmarkEnd w:id="93"/>
    </w:p>
    <w:p w14:paraId="42F02BF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（一）托管协议的变更程序</w:t>
      </w:r>
    </w:p>
    <w:p w14:paraId="12D33F6E" w14:textId="366ABBEB"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30"/>
        </w:rPr>
      </w:pPr>
      <w:r w:rsidRPr="00F56F71">
        <w:rPr>
          <w:rFonts w:asciiTheme="majorEastAsia" w:eastAsiaTheme="majorEastAsia" w:hAnsiTheme="majorEastAsia" w:hint="eastAsia"/>
          <w:sz w:val="24"/>
        </w:rPr>
        <w:t>本协议双方当事人经协商一致，可以对协议进行修改。修改后的新协议，其内容不得与《基金合同》的规定有任何冲突。基金托管协议的变更</w:t>
      </w:r>
      <w:r w:rsidR="0043760C" w:rsidRPr="00F56F71">
        <w:rPr>
          <w:rFonts w:asciiTheme="majorEastAsia" w:eastAsiaTheme="majorEastAsia" w:hAnsiTheme="majorEastAsia" w:cs="Arial" w:hint="eastAsia"/>
          <w:sz w:val="24"/>
        </w:rPr>
        <w:t>需</w:t>
      </w:r>
      <w:r w:rsidRPr="00F56F71">
        <w:rPr>
          <w:rFonts w:asciiTheme="majorEastAsia" w:eastAsiaTheme="majorEastAsia" w:hAnsiTheme="majorEastAsia" w:hint="eastAsia"/>
          <w:sz w:val="24"/>
        </w:rPr>
        <w:t>报中国证监会备案。</w:t>
      </w:r>
    </w:p>
    <w:p w14:paraId="4D35283E"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（二）托管协议终止的情形</w:t>
      </w:r>
    </w:p>
    <w:p w14:paraId="0B559EB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1.《基金合同》终止；</w:t>
      </w:r>
    </w:p>
    <w:p w14:paraId="6EB714FE"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2.基金托管人解散、依法被撤销、破产或由其他基金托管人接管基金资产；</w:t>
      </w:r>
    </w:p>
    <w:p w14:paraId="00AD42CC"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3.基金管理人解散、依法被撤销、破产或由其他基金管理人接管基金管理权；</w:t>
      </w:r>
    </w:p>
    <w:p w14:paraId="11E83C9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4.发生法律法规或《基金合同》规定的终止事项。</w:t>
      </w:r>
    </w:p>
    <w:p w14:paraId="1569345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（三）基金财产的清算</w:t>
      </w:r>
    </w:p>
    <w:p w14:paraId="0009B78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1.基金财产清算小组：自出现《基金合同》终止事由之日起30个工作日内成立清算小组，基金管理人组织基金财产清算小组并在中国证监会的监督下进行基金清算。</w:t>
      </w:r>
    </w:p>
    <w:p w14:paraId="0FD25D92" w14:textId="2964F34C"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2.基金财产清算小组组成：基金财产清算小组成员由基金管理人、基金托管人、具有从事证券</w:t>
      </w:r>
      <w:r w:rsidR="00936915">
        <w:rPr>
          <w:rFonts w:asciiTheme="majorEastAsia" w:eastAsiaTheme="majorEastAsia" w:hAnsiTheme="majorEastAsia" w:hint="eastAsia"/>
          <w:sz w:val="24"/>
        </w:rPr>
        <w:t>、期货</w:t>
      </w:r>
      <w:r w:rsidRPr="00F56F71">
        <w:rPr>
          <w:rFonts w:asciiTheme="majorEastAsia" w:eastAsiaTheme="majorEastAsia" w:hAnsiTheme="majorEastAsia"/>
          <w:sz w:val="24"/>
        </w:rPr>
        <w:t>相关业务资格的注册会计师、律师以及中国证监会指定的人员组成。基金财产清算小组可以聘用必要的工作人员。</w:t>
      </w:r>
    </w:p>
    <w:p w14:paraId="145C699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3.基金财产清算小组职责：基金财产清算小组负责基金财产的保管、清理、估价、变现和分配。基金财产清算小组可以依法进行必要的民事活动。</w:t>
      </w:r>
    </w:p>
    <w:p w14:paraId="384CAB6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4.基金财产清算程序：</w:t>
      </w:r>
    </w:p>
    <w:p w14:paraId="70581B49"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(1)《基金合同》终止情形出现时，由基金财产清算小组统一接管基金；</w:t>
      </w:r>
    </w:p>
    <w:p w14:paraId="7F1BAA83"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(2)对基金财产和债权债务进行清理和确认；</w:t>
      </w:r>
    </w:p>
    <w:p w14:paraId="6369727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(3)对基金财产进行估值和变现；</w:t>
      </w:r>
    </w:p>
    <w:p w14:paraId="5F599B25"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(4)制作清算报告；</w:t>
      </w:r>
    </w:p>
    <w:p w14:paraId="0BA1B8B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(5)聘请会计师事务所对清算报告进行外部审计，聘请律师事务所对清算报告出具法律意见书；</w:t>
      </w:r>
    </w:p>
    <w:p w14:paraId="56379832" w14:textId="37B7E829"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(6)将清算</w:t>
      </w:r>
      <w:r w:rsidR="0043760C" w:rsidRPr="00F56F71">
        <w:rPr>
          <w:rFonts w:asciiTheme="majorEastAsia" w:eastAsiaTheme="majorEastAsia" w:hAnsiTheme="majorEastAsia" w:cs="Arial" w:hint="eastAsia"/>
          <w:sz w:val="24"/>
        </w:rPr>
        <w:t>报告</w:t>
      </w:r>
      <w:r w:rsidRPr="00F56F71">
        <w:rPr>
          <w:rFonts w:asciiTheme="majorEastAsia" w:eastAsiaTheme="majorEastAsia" w:hAnsiTheme="majorEastAsia" w:hint="eastAsia"/>
          <w:sz w:val="24"/>
        </w:rPr>
        <w:t>报中国证监会备案并公告；</w:t>
      </w:r>
    </w:p>
    <w:p w14:paraId="2DD6A8F5" w14:textId="79704256"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(7)对基金</w:t>
      </w:r>
      <w:r w:rsidR="006A29A4" w:rsidRPr="00F56F71">
        <w:rPr>
          <w:rFonts w:asciiTheme="majorEastAsia" w:eastAsiaTheme="majorEastAsia" w:hAnsiTheme="majorEastAsia" w:cs="Arial" w:hint="eastAsia"/>
          <w:sz w:val="24"/>
        </w:rPr>
        <w:t>剩余</w:t>
      </w:r>
      <w:r w:rsidRPr="00F56F71">
        <w:rPr>
          <w:rFonts w:asciiTheme="majorEastAsia" w:eastAsiaTheme="majorEastAsia" w:hAnsiTheme="majorEastAsia" w:hint="eastAsia"/>
          <w:sz w:val="24"/>
        </w:rPr>
        <w:t>财产进行分配。</w:t>
      </w:r>
    </w:p>
    <w:p w14:paraId="1F1C7CF9" w14:textId="3EC0DB91"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5.基金财产清算的期限为</w:t>
      </w:r>
      <w:r w:rsidR="0043760C" w:rsidRPr="00F56F71">
        <w:rPr>
          <w:rFonts w:asciiTheme="majorEastAsia" w:eastAsiaTheme="majorEastAsia" w:hAnsiTheme="majorEastAsia" w:cs="Arial"/>
          <w:sz w:val="24"/>
        </w:rPr>
        <w:t>6</w:t>
      </w:r>
      <w:r w:rsidRPr="00F56F71">
        <w:rPr>
          <w:rFonts w:asciiTheme="majorEastAsia" w:eastAsiaTheme="majorEastAsia" w:hAnsiTheme="majorEastAsia" w:cs="Arial" w:hint="eastAsia"/>
          <w:sz w:val="24"/>
        </w:rPr>
        <w:t>个月</w:t>
      </w:r>
      <w:r w:rsidR="0043760C" w:rsidRPr="00F56F71">
        <w:rPr>
          <w:rFonts w:asciiTheme="majorEastAsia" w:eastAsiaTheme="majorEastAsia" w:hAnsiTheme="majorEastAsia" w:cs="Arial" w:hint="eastAsia"/>
          <w:sz w:val="24"/>
        </w:rPr>
        <w:t>，但因本基金所持证券的流动性受到限制而</w:t>
      </w:r>
      <w:r w:rsidR="0043760C" w:rsidRPr="00F56F71">
        <w:rPr>
          <w:rFonts w:asciiTheme="majorEastAsia" w:eastAsiaTheme="majorEastAsia" w:hAnsiTheme="majorEastAsia" w:cs="Arial" w:hint="eastAsia"/>
          <w:sz w:val="24"/>
        </w:rPr>
        <w:lastRenderedPageBreak/>
        <w:t>不能及时变现的，清算期限相应顺延</w:t>
      </w:r>
      <w:r w:rsidRPr="00F56F71">
        <w:rPr>
          <w:rFonts w:asciiTheme="majorEastAsia" w:eastAsiaTheme="majorEastAsia" w:hAnsiTheme="majorEastAsia" w:hint="eastAsia"/>
          <w:sz w:val="24"/>
        </w:rPr>
        <w:t>。</w:t>
      </w:r>
    </w:p>
    <w:p w14:paraId="22F3184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6.清算费用</w:t>
      </w:r>
    </w:p>
    <w:p w14:paraId="62F6272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清算费用是指基金财产清算小组在进行基金清算过程中发生的所有合理费用，清算费用由基金财产清算小组优先从基金财产中支付。</w:t>
      </w:r>
    </w:p>
    <w:p w14:paraId="18486C64"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7.基金财产清算剩余资产的分配：</w:t>
      </w:r>
    </w:p>
    <w:p w14:paraId="2D7309C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314ADBC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8.基金财产清算的公告</w:t>
      </w:r>
    </w:p>
    <w:p w14:paraId="1FDE3BE2" w14:textId="1F8171E1"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清算过程中的有关重大事项须及时公告；基金财产清算报告经</w:t>
      </w:r>
      <w:r w:rsidR="00936915" w:rsidRPr="00936915">
        <w:rPr>
          <w:rFonts w:asciiTheme="majorEastAsia" w:eastAsiaTheme="majorEastAsia" w:hAnsiTheme="majorEastAsia" w:hint="eastAsia"/>
          <w:sz w:val="24"/>
        </w:rPr>
        <w:t>具有证券、期货相关业务资格的</w:t>
      </w:r>
      <w:r w:rsidRPr="00F56F71">
        <w:rPr>
          <w:rFonts w:asciiTheme="majorEastAsia" w:eastAsiaTheme="majorEastAsia" w:hAnsiTheme="majorEastAsia" w:hint="eastAsia"/>
          <w:sz w:val="24"/>
        </w:rPr>
        <w:t>会计师事务所审计、并由律师事务所出具法律意见书后，报中国证监会备案并公告。基金财产清算公告于基金财产清算报告报中国证监会备案后</w:t>
      </w:r>
      <w:r w:rsidR="0043760C" w:rsidRPr="00F56F71">
        <w:rPr>
          <w:rFonts w:asciiTheme="majorEastAsia" w:eastAsiaTheme="majorEastAsia" w:hAnsiTheme="majorEastAsia" w:cs="Arial"/>
          <w:sz w:val="24"/>
        </w:rPr>
        <w:t>5</w:t>
      </w:r>
      <w:r w:rsidRPr="00F56F71">
        <w:rPr>
          <w:rFonts w:asciiTheme="majorEastAsia" w:eastAsiaTheme="majorEastAsia" w:hAnsiTheme="majorEastAsia" w:hint="eastAsia"/>
          <w:sz w:val="24"/>
        </w:rPr>
        <w:t>个工作日内由基金财产清算小组进行公告。</w:t>
      </w:r>
    </w:p>
    <w:p w14:paraId="2BAC17B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9.基金财产清算账册及文件的保存</w:t>
      </w:r>
    </w:p>
    <w:p w14:paraId="0417377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基金财产清算账册及有关文件由基金托管人保存至少</w:t>
      </w:r>
      <w:r w:rsidRPr="00F56F71">
        <w:rPr>
          <w:rFonts w:asciiTheme="majorEastAsia" w:eastAsiaTheme="majorEastAsia" w:hAnsiTheme="majorEastAsia"/>
          <w:sz w:val="24"/>
        </w:rPr>
        <w:t>15年。</w:t>
      </w:r>
    </w:p>
    <w:p w14:paraId="09B8154C"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06EBD4E9"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7"/>
          <w:pgSz w:w="11906" w:h="16838" w:code="9"/>
          <w:pgMar w:top="1418" w:right="1701" w:bottom="1418" w:left="1701" w:header="851" w:footer="992" w:gutter="0"/>
          <w:pgNumType w:start="1"/>
          <w:cols w:space="425"/>
          <w:docGrid w:type="lines" w:linePitch="312"/>
        </w:sectPr>
      </w:pPr>
      <w:bookmarkStart w:id="94" w:name="_Toc124325901"/>
    </w:p>
    <w:p w14:paraId="7615AD25" w14:textId="2A11C629"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十七、违约责任</w:t>
      </w:r>
      <w:bookmarkEnd w:id="94"/>
    </w:p>
    <w:p w14:paraId="38A0488C"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（一）基金管理人、基金托管人不履行本协议或履行本协议不符合约定的，应当承担违约责任。</w:t>
      </w:r>
    </w:p>
    <w:p w14:paraId="780BF01B"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7D07466C"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B259EF0"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1.不可抗力；</w:t>
      </w:r>
    </w:p>
    <w:p w14:paraId="0D4F20D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2.基金管理人、基金托管人按照当时有效的法律法规或中国证监会的规定作为或不作为而造成的损失等；</w:t>
      </w:r>
    </w:p>
    <w:p w14:paraId="2FABFF7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3.在没有过错的情况下，基金管理人由于按照《基金合同》规定的投资原则投资或不投资造成的直接损失或潜在损失等；</w:t>
      </w:r>
    </w:p>
    <w:p w14:paraId="74757CB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sz w:val="24"/>
        </w:rPr>
        <w:t>4.非因基金管理人、基金托管人的故意或重大过失造成的计算机系统故障、网络故障、通讯故障、电力故障、计算机病毒攻击及其它意外事故所导致的损失等。</w:t>
      </w:r>
    </w:p>
    <w:p w14:paraId="5A3F0AB7"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F8B0731"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（五）违约行为虽已发生，但本托管协议能够继续履行的，在最大限度地保护基金份额持有人利益的前提下，基金管理人和基金托管人应当继续履行本协议。</w:t>
      </w:r>
    </w:p>
    <w:p w14:paraId="539FAE2E" w14:textId="77777777" w:rsidR="003A5994" w:rsidRPr="00F56F71" w:rsidRDefault="003A5994" w:rsidP="00EA5F2B">
      <w:pPr>
        <w:adjustRightInd w:val="0"/>
        <w:snapToGrid w:val="0"/>
        <w:spacing w:line="360" w:lineRule="auto"/>
        <w:ind w:firstLineChars="200" w:firstLine="480"/>
        <w:outlineLvl w:val="0"/>
        <w:rPr>
          <w:rFonts w:asciiTheme="majorEastAsia" w:eastAsiaTheme="majorEastAsia" w:hAnsiTheme="majorEastAsia"/>
          <w:sz w:val="24"/>
        </w:rPr>
      </w:pPr>
      <w:r w:rsidRPr="00F56F71">
        <w:rPr>
          <w:rFonts w:asciiTheme="majorEastAsia" w:eastAsiaTheme="majorEastAsia" w:hAnsiTheme="maj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FE9EA36" w14:textId="77777777" w:rsidR="003A5994" w:rsidRPr="00F56F71" w:rsidRDefault="003A5994" w:rsidP="00EA5F2B">
      <w:pPr>
        <w:adjustRightInd w:val="0"/>
        <w:snapToGrid w:val="0"/>
        <w:spacing w:line="360" w:lineRule="auto"/>
        <w:outlineLvl w:val="0"/>
        <w:rPr>
          <w:rFonts w:asciiTheme="majorEastAsia" w:eastAsiaTheme="majorEastAsia" w:hAnsiTheme="majorEastAsia"/>
          <w:sz w:val="24"/>
        </w:rPr>
      </w:pPr>
    </w:p>
    <w:p w14:paraId="43A4AF41"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8"/>
          <w:pgSz w:w="11906" w:h="16838" w:code="9"/>
          <w:pgMar w:top="1418" w:right="1701" w:bottom="1418" w:left="1701" w:header="851" w:footer="992" w:gutter="0"/>
          <w:pgNumType w:start="1"/>
          <w:cols w:space="425"/>
          <w:docGrid w:type="lines" w:linePitch="312"/>
        </w:sectPr>
      </w:pPr>
      <w:bookmarkStart w:id="95" w:name="_Toc124325902"/>
    </w:p>
    <w:p w14:paraId="3BCAE8BE" w14:textId="2053A319"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十八、争议解决方式</w:t>
      </w:r>
      <w:bookmarkEnd w:id="95"/>
    </w:p>
    <w:p w14:paraId="724F93AB"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E0EE5F"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争议处理期间，双方当事人应恪守基金管理人和基金托管人职责，各自继续忠实、勤勉、尽责地履行《基金合同》和本托管协议规定的义务，维护基金份额持有人的合法权益。</w:t>
      </w:r>
    </w:p>
    <w:p w14:paraId="5D25980A" w14:textId="22187423"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本协议受中国法律</w:t>
      </w:r>
      <w:r w:rsidR="0043760C" w:rsidRPr="00F56F71">
        <w:rPr>
          <w:rFonts w:asciiTheme="majorEastAsia" w:eastAsiaTheme="majorEastAsia" w:hAnsiTheme="majorEastAsia" w:cs="Arial" w:hint="eastAsia"/>
          <w:sz w:val="24"/>
        </w:rPr>
        <w:t>（不含港澳台立法）</w:t>
      </w:r>
      <w:r w:rsidRPr="00F56F71">
        <w:rPr>
          <w:rFonts w:asciiTheme="majorEastAsia" w:eastAsiaTheme="majorEastAsia" w:hAnsiTheme="majorEastAsia" w:hint="eastAsia"/>
          <w:sz w:val="24"/>
        </w:rPr>
        <w:t>管辖。</w:t>
      </w:r>
    </w:p>
    <w:p w14:paraId="06469645" w14:textId="77777777" w:rsidR="003A5994" w:rsidRPr="00F56F71" w:rsidRDefault="003A5994" w:rsidP="00EA5F2B">
      <w:pPr>
        <w:adjustRightInd w:val="0"/>
        <w:snapToGrid w:val="0"/>
        <w:spacing w:line="360" w:lineRule="auto"/>
        <w:rPr>
          <w:rFonts w:asciiTheme="majorEastAsia" w:eastAsiaTheme="majorEastAsia" w:hAnsiTheme="majorEastAsia"/>
          <w:sz w:val="24"/>
        </w:rPr>
      </w:pPr>
    </w:p>
    <w:p w14:paraId="0CE4B0D8"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E25922">
          <w:footerReference w:type="default" r:id="rId29"/>
          <w:pgSz w:w="11906" w:h="16838" w:code="9"/>
          <w:pgMar w:top="1418" w:right="1701" w:bottom="1418" w:left="1701" w:header="851" w:footer="992" w:gutter="0"/>
          <w:pgNumType w:start="1"/>
          <w:cols w:space="425"/>
          <w:docGrid w:type="lines" w:linePitch="312"/>
        </w:sectPr>
      </w:pPr>
      <w:bookmarkStart w:id="96" w:name="_Toc124325903"/>
    </w:p>
    <w:p w14:paraId="5CFF985A" w14:textId="1FE41ACB"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十九、托管协议的效力</w:t>
      </w:r>
      <w:bookmarkEnd w:id="96"/>
    </w:p>
    <w:p w14:paraId="548492E1"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双方对托管协议的效力约定如下：</w:t>
      </w:r>
    </w:p>
    <w:p w14:paraId="7D03A7F0" w14:textId="2555EA08"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43760C" w:rsidRPr="00F56F71">
        <w:rPr>
          <w:rFonts w:asciiTheme="majorEastAsia" w:eastAsiaTheme="majorEastAsia" w:hAnsiTheme="majorEastAsia" w:cs="Arial" w:hint="eastAsia"/>
          <w:sz w:val="24"/>
        </w:rPr>
        <w:t>注册</w:t>
      </w:r>
      <w:r w:rsidRPr="00F56F71">
        <w:rPr>
          <w:rFonts w:asciiTheme="majorEastAsia" w:eastAsiaTheme="majorEastAsia" w:hAnsiTheme="majorEastAsia" w:hint="eastAsia"/>
          <w:sz w:val="24"/>
        </w:rPr>
        <w:t>的文本为正式文本。</w:t>
      </w:r>
    </w:p>
    <w:p w14:paraId="104E991A"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（二）托管协议自《基金合同》成立之日起成立，自《基金合同》生效之日起生效。托管协议的有效期自其生效之日起至基金财产清算结果报中国证监会备案并公告之日止。</w:t>
      </w:r>
    </w:p>
    <w:p w14:paraId="3254381D" w14:textId="77777777"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（三）托管协议自生效之日起对托管协议当事人具有同等的法律约束力。</w:t>
      </w:r>
    </w:p>
    <w:p w14:paraId="63F976D1" w14:textId="600EF6EA" w:rsidR="003A5994" w:rsidRPr="00F56F71" w:rsidRDefault="003A5994" w:rsidP="00EA5F2B">
      <w:pPr>
        <w:adjustRightInd w:val="0"/>
        <w:snapToGrid w:val="0"/>
        <w:spacing w:line="360" w:lineRule="auto"/>
        <w:ind w:firstLineChars="200" w:firstLine="480"/>
        <w:rPr>
          <w:rFonts w:asciiTheme="majorEastAsia" w:eastAsiaTheme="majorEastAsia" w:hAnsiTheme="majorEastAsia"/>
          <w:sz w:val="30"/>
        </w:rPr>
      </w:pPr>
      <w:r w:rsidRPr="00F56F71">
        <w:rPr>
          <w:rFonts w:asciiTheme="majorEastAsia" w:eastAsiaTheme="majorEastAsia" w:hAnsiTheme="majorEastAsia" w:hint="eastAsia"/>
          <w:sz w:val="24"/>
        </w:rPr>
        <w:t>（四）本协议</w:t>
      </w:r>
      <w:r w:rsidR="00242F44" w:rsidRPr="00F56F71">
        <w:rPr>
          <w:rFonts w:asciiTheme="majorEastAsia" w:eastAsiaTheme="majorEastAsia" w:hAnsiTheme="majorEastAsia" w:cs="Arial" w:hint="eastAsia"/>
          <w:sz w:val="24"/>
        </w:rPr>
        <w:t>一式六份</w:t>
      </w:r>
      <w:r w:rsidR="0028206A" w:rsidRPr="00F56F71">
        <w:rPr>
          <w:rFonts w:asciiTheme="majorEastAsia" w:eastAsiaTheme="majorEastAsia" w:hAnsiTheme="majorEastAsia" w:hint="eastAsia"/>
          <w:sz w:val="24"/>
        </w:rPr>
        <w:t>，协议双方各持</w:t>
      </w:r>
      <w:r w:rsidR="00242F44" w:rsidRPr="00F56F71">
        <w:rPr>
          <w:rFonts w:asciiTheme="majorEastAsia" w:eastAsiaTheme="majorEastAsia" w:hAnsiTheme="majorEastAsia" w:cs="Arial" w:hint="eastAsia"/>
          <w:sz w:val="24"/>
        </w:rPr>
        <w:t>二</w:t>
      </w:r>
      <w:r w:rsidRPr="00F56F71">
        <w:rPr>
          <w:rFonts w:asciiTheme="majorEastAsia" w:eastAsiaTheme="majorEastAsia" w:hAnsiTheme="majorEastAsia" w:hint="eastAsia"/>
          <w:sz w:val="24"/>
        </w:rPr>
        <w:t>份，上报监管机构</w:t>
      </w:r>
      <w:r w:rsidR="00242F44" w:rsidRPr="00F56F71">
        <w:rPr>
          <w:rFonts w:asciiTheme="majorEastAsia" w:eastAsiaTheme="majorEastAsia" w:hAnsiTheme="majorEastAsia" w:cs="Arial" w:hint="eastAsia"/>
          <w:sz w:val="24"/>
        </w:rPr>
        <w:t>二</w:t>
      </w:r>
      <w:r w:rsidRPr="00F56F71">
        <w:rPr>
          <w:rFonts w:asciiTheme="majorEastAsia" w:eastAsiaTheme="majorEastAsia" w:hAnsiTheme="majorEastAsia" w:hint="eastAsia"/>
          <w:sz w:val="24"/>
        </w:rPr>
        <w:t>份，每份具有同等的法律效力。</w:t>
      </w:r>
    </w:p>
    <w:p w14:paraId="7450184C" w14:textId="77777777" w:rsidR="003A5994" w:rsidRPr="00F56F71" w:rsidRDefault="003A5994" w:rsidP="000A02E9">
      <w:pPr>
        <w:adjustRightInd w:val="0"/>
        <w:snapToGrid w:val="0"/>
        <w:spacing w:line="360" w:lineRule="auto"/>
        <w:rPr>
          <w:rFonts w:asciiTheme="majorEastAsia" w:eastAsiaTheme="majorEastAsia" w:hAnsiTheme="majorEastAsia"/>
          <w:sz w:val="24"/>
        </w:rPr>
      </w:pPr>
    </w:p>
    <w:p w14:paraId="731B357C" w14:textId="77777777" w:rsidR="00E25922" w:rsidRPr="00F56F71" w:rsidRDefault="00E25922" w:rsidP="000A02E9">
      <w:pPr>
        <w:pStyle w:val="2"/>
        <w:spacing w:line="360" w:lineRule="auto"/>
        <w:jc w:val="center"/>
        <w:rPr>
          <w:rFonts w:asciiTheme="majorEastAsia" w:eastAsiaTheme="majorEastAsia" w:hAnsiTheme="majorEastAsia"/>
          <w:sz w:val="30"/>
        </w:rPr>
        <w:sectPr w:rsidR="00E25922" w:rsidRPr="00F56F71" w:rsidSect="00E25922">
          <w:footerReference w:type="default" r:id="rId30"/>
          <w:pgSz w:w="11906" w:h="16838" w:code="9"/>
          <w:pgMar w:top="1418" w:right="1701" w:bottom="1418" w:left="1701" w:header="851" w:footer="992" w:gutter="0"/>
          <w:pgNumType w:start="1"/>
          <w:cols w:space="425"/>
          <w:docGrid w:type="lines" w:linePitch="312"/>
        </w:sectPr>
      </w:pPr>
      <w:bookmarkStart w:id="97" w:name="_Toc124325904"/>
    </w:p>
    <w:p w14:paraId="3FC11CC9" w14:textId="3C6112CE" w:rsidR="003A5994" w:rsidRPr="00F56F71" w:rsidRDefault="003A5994" w:rsidP="000A02E9">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二十、其他事项</w:t>
      </w:r>
      <w:bookmarkEnd w:id="97"/>
    </w:p>
    <w:p w14:paraId="6E7A2A8D" w14:textId="77777777" w:rsidR="003A5994" w:rsidRPr="00F56F71" w:rsidRDefault="003A5994" w:rsidP="000A02E9">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如发生有权司法机关依法冻结基金份额持有人的基金份额时，基金管理人应予以配合，承担司法协助义务。</w:t>
      </w:r>
    </w:p>
    <w:p w14:paraId="5FBF53C3" w14:textId="77777777" w:rsidR="003A5994" w:rsidRPr="00F56F71" w:rsidRDefault="003A5994" w:rsidP="000A02E9">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除本协议有明确定义外，本协议的用语定义适用《基金合同》的约定。本协议未尽事宜，当事人依据《基金合同》、有关法律法规等规定协商办理。</w:t>
      </w:r>
    </w:p>
    <w:p w14:paraId="49FD5973" w14:textId="77777777" w:rsidR="003A5994" w:rsidRPr="00F56F71" w:rsidRDefault="003A5994" w:rsidP="000A02E9">
      <w:pPr>
        <w:adjustRightInd w:val="0"/>
        <w:snapToGrid w:val="0"/>
        <w:spacing w:line="360" w:lineRule="auto"/>
        <w:rPr>
          <w:rFonts w:asciiTheme="majorEastAsia" w:eastAsiaTheme="majorEastAsia" w:hAnsiTheme="majorEastAsia"/>
          <w:b/>
        </w:rPr>
      </w:pPr>
    </w:p>
    <w:p w14:paraId="261FD2F3" w14:textId="77777777" w:rsidR="00E25922" w:rsidRPr="00F56F71" w:rsidRDefault="00E25922" w:rsidP="00EA5F2B">
      <w:pPr>
        <w:pStyle w:val="2"/>
        <w:spacing w:line="360" w:lineRule="auto"/>
        <w:jc w:val="center"/>
        <w:rPr>
          <w:rFonts w:asciiTheme="majorEastAsia" w:eastAsiaTheme="majorEastAsia" w:hAnsiTheme="majorEastAsia"/>
          <w:sz w:val="30"/>
        </w:rPr>
        <w:sectPr w:rsidR="00E25922" w:rsidRPr="00F56F71" w:rsidSect="00016DF8">
          <w:footerReference w:type="default" r:id="rId31"/>
          <w:pgSz w:w="11906" w:h="16838" w:code="9"/>
          <w:pgMar w:top="1418" w:right="1701" w:bottom="1418" w:left="1701" w:header="851" w:footer="992" w:gutter="0"/>
          <w:pgNumType w:start="1"/>
          <w:cols w:space="425"/>
          <w:docGrid w:type="lines" w:linePitch="312"/>
        </w:sectPr>
      </w:pPr>
      <w:bookmarkStart w:id="98" w:name="_Toc124325905"/>
    </w:p>
    <w:p w14:paraId="175D630D" w14:textId="75DFCF47" w:rsidR="003A5994" w:rsidRPr="00F56F71" w:rsidRDefault="003A5994" w:rsidP="00EA5F2B">
      <w:pPr>
        <w:pStyle w:val="2"/>
        <w:spacing w:line="360" w:lineRule="auto"/>
        <w:jc w:val="center"/>
        <w:rPr>
          <w:rFonts w:asciiTheme="majorEastAsia" w:eastAsiaTheme="majorEastAsia" w:hAnsiTheme="majorEastAsia"/>
          <w:sz w:val="30"/>
        </w:rPr>
      </w:pPr>
      <w:r w:rsidRPr="00F56F71">
        <w:rPr>
          <w:rFonts w:asciiTheme="majorEastAsia" w:eastAsiaTheme="majorEastAsia" w:hAnsiTheme="majorEastAsia" w:hint="eastAsia"/>
          <w:sz w:val="30"/>
        </w:rPr>
        <w:lastRenderedPageBreak/>
        <w:t>二十一、托管协议的签订</w:t>
      </w:r>
      <w:bookmarkEnd w:id="98"/>
    </w:p>
    <w:p w14:paraId="6F7F2FE2" w14:textId="3B31D961" w:rsidR="003A4EB4" w:rsidRPr="00712088" w:rsidRDefault="003A5994" w:rsidP="00712088">
      <w:pPr>
        <w:adjustRightInd w:val="0"/>
        <w:snapToGrid w:val="0"/>
        <w:spacing w:line="360" w:lineRule="auto"/>
        <w:ind w:firstLineChars="200" w:firstLine="480"/>
        <w:rPr>
          <w:rFonts w:asciiTheme="majorEastAsia" w:eastAsiaTheme="majorEastAsia" w:hAnsiTheme="majorEastAsia"/>
          <w:sz w:val="24"/>
        </w:rPr>
      </w:pPr>
      <w:r w:rsidRPr="00F56F71">
        <w:rPr>
          <w:rFonts w:asciiTheme="majorEastAsia" w:eastAsiaTheme="majorEastAsia" w:hAnsiTheme="majorEastAsia" w:hint="eastAsia"/>
          <w:sz w:val="24"/>
        </w:rPr>
        <w:t>本协议双方法定代表人或授权代表签章、签订地、签订日</w:t>
      </w:r>
      <w:bookmarkStart w:id="99" w:name="_GoBack"/>
      <w:bookmarkEnd w:id="99"/>
    </w:p>
    <w:sectPr w:rsidR="003A4EB4" w:rsidRPr="00712088" w:rsidSect="00284321">
      <w:headerReference w:type="default" r:id="rId32"/>
      <w:footerReference w:type="default" r:id="rId3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2A844" w14:textId="77777777" w:rsidR="00284A00" w:rsidRDefault="00284A00" w:rsidP="003A5994">
      <w:r>
        <w:separator/>
      </w:r>
    </w:p>
  </w:endnote>
  <w:endnote w:type="continuationSeparator" w:id="0">
    <w:p w14:paraId="588D2AFE" w14:textId="77777777" w:rsidR="00284A00" w:rsidRDefault="00284A00" w:rsidP="003A5994">
      <w:r>
        <w:continuationSeparator/>
      </w:r>
    </w:p>
  </w:endnote>
  <w:endnote w:type="continuationNotice" w:id="1">
    <w:p w14:paraId="241DB86D" w14:textId="77777777" w:rsidR="00284A00" w:rsidRDefault="0028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52B8B" w14:textId="77777777" w:rsidR="003F5E82" w:rsidRDefault="003F5E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F4411F" w14:textId="77777777" w:rsidR="003F5E82" w:rsidRDefault="003F5E82">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3BBB" w14:textId="39F5C339" w:rsidR="003F5E82" w:rsidRDefault="003F5E82">
    <w:pPr>
      <w:pStyle w:val="a5"/>
      <w:framePr w:wrap="around" w:vAnchor="text" w:hAnchor="margin" w:xAlign="center" w:y="1"/>
      <w:rPr>
        <w:rStyle w:val="a6"/>
      </w:rPr>
    </w:pPr>
    <w:r>
      <w:rPr>
        <w:rStyle w:val="a6"/>
        <w:rFonts w:hint="eastAsia"/>
      </w:rPr>
      <w:t>8-</w:t>
    </w:r>
    <w:r>
      <w:rPr>
        <w:rStyle w:val="a6"/>
      </w:rPr>
      <w:fldChar w:fldCharType="begin"/>
    </w:r>
    <w:r>
      <w:rPr>
        <w:rStyle w:val="a6"/>
      </w:rPr>
      <w:instrText xml:space="preserve">PAGE  </w:instrText>
    </w:r>
    <w:r>
      <w:rPr>
        <w:rStyle w:val="a6"/>
      </w:rPr>
      <w:fldChar w:fldCharType="separate"/>
    </w:r>
    <w:r w:rsidR="00A41261">
      <w:rPr>
        <w:rStyle w:val="a6"/>
        <w:noProof/>
      </w:rPr>
      <w:t>4</w:t>
    </w:r>
    <w:r>
      <w:rPr>
        <w:rStyle w:val="a6"/>
      </w:rPr>
      <w:fldChar w:fldCharType="end"/>
    </w:r>
  </w:p>
  <w:p w14:paraId="331D7057" w14:textId="77777777" w:rsidR="003F5E82" w:rsidRDefault="003F5E82">
    <w:pPr>
      <w:pStyle w:val="a5"/>
    </w:pPr>
  </w:p>
  <w:p w14:paraId="2E90FFCB" w14:textId="77777777" w:rsidR="003F5E82" w:rsidRDefault="003F5E82" w:rsidP="00C925D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521AF" w14:textId="70381622" w:rsidR="003F5E82" w:rsidRDefault="003F5E82">
    <w:pPr>
      <w:pStyle w:val="a5"/>
      <w:framePr w:wrap="around" w:vAnchor="text" w:hAnchor="margin" w:xAlign="center" w:y="1"/>
      <w:rPr>
        <w:rStyle w:val="a6"/>
      </w:rPr>
    </w:pPr>
    <w:r>
      <w:rPr>
        <w:rStyle w:val="a6"/>
        <w:rFonts w:hint="eastAsia"/>
      </w:rPr>
      <w:t>9-</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062A1B5B" w14:textId="77777777" w:rsidR="003F5E82" w:rsidRDefault="003F5E82">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C5926" w14:textId="3BCFE5D8" w:rsidR="003F5E82" w:rsidRDefault="003F5E82">
    <w:pPr>
      <w:pStyle w:val="a5"/>
      <w:framePr w:wrap="around" w:vAnchor="text" w:hAnchor="margin" w:xAlign="center" w:y="1"/>
      <w:rPr>
        <w:rStyle w:val="a6"/>
      </w:rPr>
    </w:pPr>
    <w:r>
      <w:rPr>
        <w:rStyle w:val="a6"/>
        <w:rFonts w:hint="eastAsia"/>
      </w:rPr>
      <w:t>10-</w:t>
    </w:r>
    <w:r>
      <w:rPr>
        <w:rStyle w:val="a6"/>
      </w:rPr>
      <w:fldChar w:fldCharType="begin"/>
    </w:r>
    <w:r>
      <w:rPr>
        <w:rStyle w:val="a6"/>
      </w:rPr>
      <w:instrText xml:space="preserve">PAGE  </w:instrText>
    </w:r>
    <w:r>
      <w:rPr>
        <w:rStyle w:val="a6"/>
      </w:rPr>
      <w:fldChar w:fldCharType="separate"/>
    </w:r>
    <w:r w:rsidR="00A41261">
      <w:rPr>
        <w:rStyle w:val="a6"/>
        <w:noProof/>
      </w:rPr>
      <w:t>2</w:t>
    </w:r>
    <w:r>
      <w:rPr>
        <w:rStyle w:val="a6"/>
      </w:rPr>
      <w:fldChar w:fldCharType="end"/>
    </w:r>
  </w:p>
  <w:p w14:paraId="5464DAE0" w14:textId="77777777" w:rsidR="003F5E82" w:rsidRDefault="003F5E82">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3C8B" w14:textId="4C671F68" w:rsidR="003F5E82" w:rsidRDefault="003F5E82">
    <w:pPr>
      <w:pStyle w:val="a5"/>
      <w:framePr w:wrap="around" w:vAnchor="text" w:hAnchor="margin" w:xAlign="center" w:y="1"/>
      <w:rPr>
        <w:rStyle w:val="a6"/>
      </w:rPr>
    </w:pPr>
    <w:r>
      <w:rPr>
        <w:rStyle w:val="a6"/>
        <w:rFonts w:hint="eastAsia"/>
      </w:rPr>
      <w:t>11-</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135562BC" w14:textId="77777777" w:rsidR="003F5E82" w:rsidRDefault="003F5E82">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9F9AE" w14:textId="7D66ED89" w:rsidR="003F5E82" w:rsidRDefault="003F5E82">
    <w:pPr>
      <w:pStyle w:val="a5"/>
      <w:framePr w:wrap="around" w:vAnchor="text" w:hAnchor="margin" w:xAlign="center" w:y="1"/>
      <w:rPr>
        <w:rStyle w:val="a6"/>
      </w:rPr>
    </w:pPr>
    <w:r>
      <w:rPr>
        <w:rStyle w:val="a6"/>
        <w:rFonts w:hint="eastAsia"/>
      </w:rPr>
      <w:t>12-</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2D9C8232" w14:textId="77777777" w:rsidR="003F5E82" w:rsidRDefault="003F5E82">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F065" w14:textId="5D2BDF0C" w:rsidR="003F5E82" w:rsidRDefault="003F5E82">
    <w:pPr>
      <w:pStyle w:val="a5"/>
      <w:framePr w:wrap="around" w:vAnchor="text" w:hAnchor="margin" w:xAlign="center" w:y="1"/>
      <w:rPr>
        <w:rStyle w:val="a6"/>
      </w:rPr>
    </w:pPr>
    <w:r>
      <w:rPr>
        <w:rStyle w:val="a6"/>
        <w:rFonts w:hint="eastAsia"/>
      </w:rPr>
      <w:t>13-</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323B16A7" w14:textId="77777777" w:rsidR="003F5E82" w:rsidRDefault="003F5E82">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8F05" w14:textId="145C20D4" w:rsidR="003F5E82" w:rsidRDefault="003F5E82">
    <w:pPr>
      <w:pStyle w:val="a5"/>
      <w:framePr w:wrap="around" w:vAnchor="text" w:hAnchor="margin" w:xAlign="center" w:y="1"/>
      <w:rPr>
        <w:rStyle w:val="a6"/>
      </w:rPr>
    </w:pPr>
    <w:r>
      <w:rPr>
        <w:rStyle w:val="a6"/>
        <w:rFonts w:hint="eastAsia"/>
      </w:rPr>
      <w:t>14-</w:t>
    </w:r>
    <w:r>
      <w:rPr>
        <w:rStyle w:val="a6"/>
      </w:rPr>
      <w:fldChar w:fldCharType="begin"/>
    </w:r>
    <w:r>
      <w:rPr>
        <w:rStyle w:val="a6"/>
      </w:rPr>
      <w:instrText xml:space="preserve">PAGE  </w:instrText>
    </w:r>
    <w:r>
      <w:rPr>
        <w:rStyle w:val="a6"/>
      </w:rPr>
      <w:fldChar w:fldCharType="separate"/>
    </w:r>
    <w:r w:rsidR="00A41261">
      <w:rPr>
        <w:rStyle w:val="a6"/>
        <w:noProof/>
      </w:rPr>
      <w:t>3</w:t>
    </w:r>
    <w:r>
      <w:rPr>
        <w:rStyle w:val="a6"/>
      </w:rPr>
      <w:fldChar w:fldCharType="end"/>
    </w:r>
  </w:p>
  <w:p w14:paraId="1C2668FE" w14:textId="77777777" w:rsidR="003F5E82" w:rsidRDefault="003F5E82">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FB21" w14:textId="14FC906A" w:rsidR="003F5E82" w:rsidRDefault="003F5E82">
    <w:pPr>
      <w:pStyle w:val="a5"/>
      <w:framePr w:wrap="around" w:vAnchor="text" w:hAnchor="margin" w:xAlign="center" w:y="1"/>
      <w:rPr>
        <w:rStyle w:val="a6"/>
      </w:rPr>
    </w:pPr>
    <w:r>
      <w:rPr>
        <w:rStyle w:val="a6"/>
        <w:rFonts w:hint="eastAsia"/>
      </w:rPr>
      <w:t>15-</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395C07CA" w14:textId="77777777" w:rsidR="003F5E82" w:rsidRDefault="003F5E82">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A1AB" w14:textId="229DBC4F" w:rsidR="003F5E82" w:rsidRDefault="003F5E82">
    <w:pPr>
      <w:pStyle w:val="a5"/>
      <w:framePr w:wrap="around" w:vAnchor="text" w:hAnchor="margin" w:xAlign="center" w:y="1"/>
      <w:rPr>
        <w:rStyle w:val="a6"/>
      </w:rPr>
    </w:pPr>
    <w:r>
      <w:rPr>
        <w:rStyle w:val="a6"/>
        <w:rFonts w:hint="eastAsia"/>
      </w:rPr>
      <w:t>16-</w:t>
    </w:r>
    <w:r>
      <w:rPr>
        <w:rStyle w:val="a6"/>
      </w:rPr>
      <w:fldChar w:fldCharType="begin"/>
    </w:r>
    <w:r>
      <w:rPr>
        <w:rStyle w:val="a6"/>
      </w:rPr>
      <w:instrText xml:space="preserve">PAGE  </w:instrText>
    </w:r>
    <w:r>
      <w:rPr>
        <w:rStyle w:val="a6"/>
      </w:rPr>
      <w:fldChar w:fldCharType="separate"/>
    </w:r>
    <w:r w:rsidR="00A41261">
      <w:rPr>
        <w:rStyle w:val="a6"/>
        <w:noProof/>
      </w:rPr>
      <w:t>2</w:t>
    </w:r>
    <w:r>
      <w:rPr>
        <w:rStyle w:val="a6"/>
      </w:rPr>
      <w:fldChar w:fldCharType="end"/>
    </w:r>
  </w:p>
  <w:p w14:paraId="087B087F" w14:textId="77777777" w:rsidR="003F5E82" w:rsidRDefault="003F5E82">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ED53" w14:textId="7FCAF70A" w:rsidR="003F5E82" w:rsidRDefault="003F5E82">
    <w:pPr>
      <w:pStyle w:val="a5"/>
      <w:framePr w:wrap="around" w:vAnchor="text" w:hAnchor="margin" w:xAlign="center" w:y="1"/>
      <w:rPr>
        <w:rStyle w:val="a6"/>
      </w:rPr>
    </w:pPr>
    <w:r>
      <w:rPr>
        <w:rStyle w:val="a6"/>
        <w:rFonts w:hint="eastAsia"/>
      </w:rPr>
      <w:t>17-</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76A540BD" w14:textId="77777777" w:rsidR="003F5E82" w:rsidRDefault="003F5E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5739" w14:textId="77777777" w:rsidR="003F5E82" w:rsidRDefault="003F5E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41261">
      <w:rPr>
        <w:rStyle w:val="a6"/>
        <w:noProof/>
      </w:rPr>
      <w:t>3</w:t>
    </w:r>
    <w:r>
      <w:rPr>
        <w:rStyle w:val="a6"/>
      </w:rPr>
      <w:fldChar w:fldCharType="end"/>
    </w:r>
  </w:p>
  <w:p w14:paraId="28A8DD3B" w14:textId="77777777" w:rsidR="003F5E82" w:rsidRDefault="003F5E82">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48F5D" w14:textId="5E96F191" w:rsidR="003F5E82" w:rsidRDefault="003F5E82">
    <w:pPr>
      <w:pStyle w:val="a5"/>
      <w:framePr w:wrap="around" w:vAnchor="text" w:hAnchor="margin" w:xAlign="center" w:y="1"/>
      <w:rPr>
        <w:rStyle w:val="a6"/>
      </w:rPr>
    </w:pPr>
    <w:r>
      <w:rPr>
        <w:rStyle w:val="a6"/>
        <w:rFonts w:hint="eastAsia"/>
      </w:rPr>
      <w:t>18-</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7CBCCF21" w14:textId="77777777" w:rsidR="003F5E82" w:rsidRDefault="003F5E82">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60197" w14:textId="385F0540" w:rsidR="003F5E82" w:rsidRDefault="003F5E82">
    <w:pPr>
      <w:pStyle w:val="a5"/>
      <w:framePr w:wrap="around" w:vAnchor="text" w:hAnchor="margin" w:xAlign="center" w:y="1"/>
      <w:rPr>
        <w:rStyle w:val="a6"/>
      </w:rPr>
    </w:pPr>
    <w:r>
      <w:rPr>
        <w:rStyle w:val="a6"/>
        <w:rFonts w:hint="eastAsia"/>
      </w:rPr>
      <w:t>19-</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7EC7F8CF" w14:textId="77777777" w:rsidR="003F5E82" w:rsidRDefault="003F5E82">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DD603" w14:textId="5764365B" w:rsidR="003F5E82" w:rsidRDefault="003F5E82">
    <w:pPr>
      <w:pStyle w:val="a5"/>
      <w:framePr w:wrap="around" w:vAnchor="text" w:hAnchor="margin" w:xAlign="center" w:y="1"/>
      <w:rPr>
        <w:rStyle w:val="a6"/>
      </w:rPr>
    </w:pPr>
    <w:r>
      <w:rPr>
        <w:rStyle w:val="a6"/>
        <w:rFonts w:hint="eastAsia"/>
      </w:rPr>
      <w:t>20-</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4D97FBB8" w14:textId="77777777" w:rsidR="003F5E82" w:rsidRDefault="003F5E82">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061F" w14:textId="77777777" w:rsidR="003F5E82" w:rsidRDefault="003F5E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535C" w14:textId="45195E1B" w:rsidR="003F5E82" w:rsidRDefault="003F5E82">
    <w:pPr>
      <w:pStyle w:val="a5"/>
      <w:framePr w:wrap="around" w:vAnchor="text" w:hAnchor="margin" w:xAlign="center" w:y="1"/>
      <w:rPr>
        <w:rStyle w:val="a6"/>
      </w:rPr>
    </w:pPr>
    <w:r>
      <w:rPr>
        <w:rStyle w:val="a6"/>
        <w:rFonts w:hint="eastAsia"/>
      </w:rPr>
      <w:t>1-</w:t>
    </w:r>
    <w:r>
      <w:rPr>
        <w:rStyle w:val="a6"/>
      </w:rPr>
      <w:fldChar w:fldCharType="begin"/>
    </w:r>
    <w:r>
      <w:rPr>
        <w:rStyle w:val="a6"/>
      </w:rPr>
      <w:instrText xml:space="preserve">PAGE  </w:instrText>
    </w:r>
    <w:r>
      <w:rPr>
        <w:rStyle w:val="a6"/>
      </w:rPr>
      <w:fldChar w:fldCharType="separate"/>
    </w:r>
    <w:r w:rsidR="00A41261">
      <w:rPr>
        <w:rStyle w:val="a6"/>
        <w:noProof/>
      </w:rPr>
      <w:t>2</w:t>
    </w:r>
    <w:r>
      <w:rPr>
        <w:rStyle w:val="a6"/>
      </w:rPr>
      <w:fldChar w:fldCharType="end"/>
    </w:r>
  </w:p>
  <w:p w14:paraId="332DCD42" w14:textId="77777777" w:rsidR="003F5E82" w:rsidRDefault="003F5E8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8F2C" w14:textId="3F1F9290" w:rsidR="003F5E82" w:rsidRDefault="003F5E82">
    <w:pPr>
      <w:pStyle w:val="a5"/>
      <w:framePr w:wrap="around" w:vAnchor="text" w:hAnchor="margin" w:xAlign="center" w:y="1"/>
      <w:rPr>
        <w:rStyle w:val="a6"/>
      </w:rPr>
    </w:pPr>
    <w:r>
      <w:rPr>
        <w:rStyle w:val="a6"/>
        <w:rFonts w:hint="eastAsia"/>
      </w:rPr>
      <w:t>2-</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4BB04E32" w14:textId="77777777" w:rsidR="003F5E82" w:rsidRDefault="003F5E8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CA235" w14:textId="0022A022" w:rsidR="003F5E82" w:rsidRDefault="003F5E82">
    <w:pPr>
      <w:pStyle w:val="a5"/>
      <w:framePr w:wrap="around" w:vAnchor="text" w:hAnchor="margin" w:xAlign="center" w:y="1"/>
      <w:rPr>
        <w:rStyle w:val="a6"/>
      </w:rPr>
    </w:pPr>
    <w:r>
      <w:rPr>
        <w:rStyle w:val="a6"/>
        <w:rFonts w:hint="eastAsia"/>
      </w:rPr>
      <w:t>3-</w:t>
    </w:r>
    <w:r>
      <w:rPr>
        <w:rStyle w:val="a6"/>
      </w:rPr>
      <w:fldChar w:fldCharType="begin"/>
    </w:r>
    <w:r>
      <w:rPr>
        <w:rStyle w:val="a6"/>
      </w:rPr>
      <w:instrText xml:space="preserve">PAGE  </w:instrText>
    </w:r>
    <w:r>
      <w:rPr>
        <w:rStyle w:val="a6"/>
      </w:rPr>
      <w:fldChar w:fldCharType="separate"/>
    </w:r>
    <w:r w:rsidR="00A41261">
      <w:rPr>
        <w:rStyle w:val="a6"/>
        <w:noProof/>
      </w:rPr>
      <w:t>7</w:t>
    </w:r>
    <w:r>
      <w:rPr>
        <w:rStyle w:val="a6"/>
      </w:rPr>
      <w:fldChar w:fldCharType="end"/>
    </w:r>
  </w:p>
  <w:p w14:paraId="268790F0" w14:textId="77777777" w:rsidR="003F5E82" w:rsidRDefault="003F5E8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7A536" w14:textId="1513DC5C" w:rsidR="003F5E82" w:rsidRDefault="003F5E82">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A41261">
      <w:rPr>
        <w:rStyle w:val="a6"/>
        <w:noProof/>
      </w:rPr>
      <w:t>1</w:t>
    </w:r>
    <w:r>
      <w:rPr>
        <w:rStyle w:val="a6"/>
      </w:rPr>
      <w:fldChar w:fldCharType="end"/>
    </w:r>
  </w:p>
  <w:p w14:paraId="1859D712" w14:textId="77777777" w:rsidR="003F5E82" w:rsidRDefault="003F5E8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01E31" w14:textId="45BCF79E" w:rsidR="003F5E82" w:rsidRDefault="003F5E82">
    <w:pPr>
      <w:pStyle w:val="a5"/>
      <w:framePr w:wrap="around" w:vAnchor="text" w:hAnchor="margin" w:xAlign="center" w:y="1"/>
      <w:rPr>
        <w:rStyle w:val="a6"/>
      </w:rPr>
    </w:pPr>
    <w:r>
      <w:rPr>
        <w:rStyle w:val="a6"/>
        <w:rFonts w:hint="eastAsia"/>
      </w:rPr>
      <w:t>5-</w:t>
    </w:r>
    <w:r>
      <w:rPr>
        <w:rStyle w:val="a6"/>
      </w:rPr>
      <w:fldChar w:fldCharType="begin"/>
    </w:r>
    <w:r>
      <w:rPr>
        <w:rStyle w:val="a6"/>
      </w:rPr>
      <w:instrText xml:space="preserve">PAGE  </w:instrText>
    </w:r>
    <w:r>
      <w:rPr>
        <w:rStyle w:val="a6"/>
      </w:rPr>
      <w:fldChar w:fldCharType="separate"/>
    </w:r>
    <w:r w:rsidR="00A41261">
      <w:rPr>
        <w:rStyle w:val="a6"/>
        <w:noProof/>
      </w:rPr>
      <w:t>4</w:t>
    </w:r>
    <w:r>
      <w:rPr>
        <w:rStyle w:val="a6"/>
      </w:rPr>
      <w:fldChar w:fldCharType="end"/>
    </w:r>
  </w:p>
  <w:p w14:paraId="7C632FB0" w14:textId="77777777" w:rsidR="003F5E82" w:rsidRDefault="003F5E82">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4029" w14:textId="4F2E78DB" w:rsidR="003F5E82" w:rsidRDefault="003F5E82">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A41261">
      <w:rPr>
        <w:rStyle w:val="a6"/>
        <w:noProof/>
      </w:rPr>
      <w:t>3</w:t>
    </w:r>
    <w:r>
      <w:rPr>
        <w:rStyle w:val="a6"/>
      </w:rPr>
      <w:fldChar w:fldCharType="end"/>
    </w:r>
  </w:p>
  <w:p w14:paraId="0DB41AD9" w14:textId="77777777" w:rsidR="003F5E82" w:rsidRDefault="003F5E82">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5EA0" w14:textId="6730FEC0" w:rsidR="003F5E82" w:rsidRDefault="003F5E82">
    <w:pPr>
      <w:pStyle w:val="a5"/>
      <w:framePr w:wrap="around" w:vAnchor="text" w:hAnchor="margin" w:xAlign="center" w:y="1"/>
      <w:rPr>
        <w:rStyle w:val="a6"/>
      </w:rPr>
    </w:pPr>
    <w:r>
      <w:rPr>
        <w:rStyle w:val="a6"/>
        <w:rFonts w:hint="eastAsia"/>
      </w:rPr>
      <w:t>7-</w:t>
    </w:r>
    <w:r>
      <w:rPr>
        <w:rStyle w:val="a6"/>
      </w:rPr>
      <w:fldChar w:fldCharType="begin"/>
    </w:r>
    <w:r>
      <w:rPr>
        <w:rStyle w:val="a6"/>
      </w:rPr>
      <w:instrText xml:space="preserve">PAGE  </w:instrText>
    </w:r>
    <w:r>
      <w:rPr>
        <w:rStyle w:val="a6"/>
      </w:rPr>
      <w:fldChar w:fldCharType="separate"/>
    </w:r>
    <w:r w:rsidR="00A41261">
      <w:rPr>
        <w:rStyle w:val="a6"/>
        <w:noProof/>
      </w:rPr>
      <w:t>5</w:t>
    </w:r>
    <w:r>
      <w:rPr>
        <w:rStyle w:val="a6"/>
      </w:rPr>
      <w:fldChar w:fldCharType="end"/>
    </w:r>
  </w:p>
  <w:p w14:paraId="20C0C8AA" w14:textId="77777777" w:rsidR="003F5E82" w:rsidRDefault="003F5E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5A930" w14:textId="77777777" w:rsidR="00284A00" w:rsidRDefault="00284A00" w:rsidP="003A5994">
      <w:r>
        <w:separator/>
      </w:r>
    </w:p>
  </w:footnote>
  <w:footnote w:type="continuationSeparator" w:id="0">
    <w:p w14:paraId="2F5AFAEF" w14:textId="77777777" w:rsidR="00284A00" w:rsidRDefault="00284A00" w:rsidP="003A5994">
      <w:r>
        <w:continuationSeparator/>
      </w:r>
    </w:p>
  </w:footnote>
  <w:footnote w:type="continuationNotice" w:id="1">
    <w:p w14:paraId="1307E355" w14:textId="77777777" w:rsidR="00284A00" w:rsidRDefault="00284A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1BE0" w14:textId="77777777" w:rsidR="003F5E82" w:rsidRDefault="003F5E82">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D4DD" w14:textId="77777777" w:rsidR="003F5E82" w:rsidRDefault="003F5E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d">
    <w15:presenceInfo w15:providerId="None" w15:userId="yuantai-d"/>
  </w15:person>
  <w15:person w15:author="YuanTai WZD 信披更新">
    <w15:presenceInfo w15:providerId="None" w15:userId="YuanTai WZD 信披更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3A"/>
    <w:rsid w:val="0000669B"/>
    <w:rsid w:val="00016DF8"/>
    <w:rsid w:val="000318C7"/>
    <w:rsid w:val="000329AE"/>
    <w:rsid w:val="00056780"/>
    <w:rsid w:val="0006122E"/>
    <w:rsid w:val="00067130"/>
    <w:rsid w:val="00067701"/>
    <w:rsid w:val="0007198B"/>
    <w:rsid w:val="00071C97"/>
    <w:rsid w:val="00075C37"/>
    <w:rsid w:val="0009399D"/>
    <w:rsid w:val="000969F4"/>
    <w:rsid w:val="000A02E9"/>
    <w:rsid w:val="000A090B"/>
    <w:rsid w:val="000A717E"/>
    <w:rsid w:val="000B38A0"/>
    <w:rsid w:val="000C7F5F"/>
    <w:rsid w:val="000D39A4"/>
    <w:rsid w:val="000D66FD"/>
    <w:rsid w:val="000F76FF"/>
    <w:rsid w:val="001078A5"/>
    <w:rsid w:val="0015519F"/>
    <w:rsid w:val="001773BB"/>
    <w:rsid w:val="00183515"/>
    <w:rsid w:val="00195059"/>
    <w:rsid w:val="00197A9B"/>
    <w:rsid w:val="001A0F8D"/>
    <w:rsid w:val="001B2F53"/>
    <w:rsid w:val="001B41F1"/>
    <w:rsid w:val="001B6242"/>
    <w:rsid w:val="001D60C9"/>
    <w:rsid w:val="001E16A4"/>
    <w:rsid w:val="001E3F88"/>
    <w:rsid w:val="001F1226"/>
    <w:rsid w:val="001F1CAC"/>
    <w:rsid w:val="001F23AD"/>
    <w:rsid w:val="001F7C0D"/>
    <w:rsid w:val="00202180"/>
    <w:rsid w:val="0020300D"/>
    <w:rsid w:val="00210813"/>
    <w:rsid w:val="00216249"/>
    <w:rsid w:val="00224A1D"/>
    <w:rsid w:val="00242F44"/>
    <w:rsid w:val="0028206A"/>
    <w:rsid w:val="00284321"/>
    <w:rsid w:val="00284A00"/>
    <w:rsid w:val="00286789"/>
    <w:rsid w:val="002A0626"/>
    <w:rsid w:val="002A3FCC"/>
    <w:rsid w:val="002A67D3"/>
    <w:rsid w:val="002C1558"/>
    <w:rsid w:val="002C1C3C"/>
    <w:rsid w:val="002C56BB"/>
    <w:rsid w:val="002C683F"/>
    <w:rsid w:val="002D703A"/>
    <w:rsid w:val="002F0DA6"/>
    <w:rsid w:val="00300313"/>
    <w:rsid w:val="003030FC"/>
    <w:rsid w:val="00303D30"/>
    <w:rsid w:val="003207D7"/>
    <w:rsid w:val="00325BAB"/>
    <w:rsid w:val="003308DF"/>
    <w:rsid w:val="0033479F"/>
    <w:rsid w:val="0035042F"/>
    <w:rsid w:val="00395840"/>
    <w:rsid w:val="003A4EB4"/>
    <w:rsid w:val="003A5994"/>
    <w:rsid w:val="003B7F40"/>
    <w:rsid w:val="003C3E18"/>
    <w:rsid w:val="003C48D3"/>
    <w:rsid w:val="003E526B"/>
    <w:rsid w:val="003F5E82"/>
    <w:rsid w:val="00407C84"/>
    <w:rsid w:val="004164BA"/>
    <w:rsid w:val="0042162A"/>
    <w:rsid w:val="004226FF"/>
    <w:rsid w:val="00432E91"/>
    <w:rsid w:val="0043760C"/>
    <w:rsid w:val="00444DC7"/>
    <w:rsid w:val="00445D50"/>
    <w:rsid w:val="004506F7"/>
    <w:rsid w:val="00450DA0"/>
    <w:rsid w:val="0046272E"/>
    <w:rsid w:val="00475E17"/>
    <w:rsid w:val="004833CB"/>
    <w:rsid w:val="00490708"/>
    <w:rsid w:val="004A2231"/>
    <w:rsid w:val="004A5C65"/>
    <w:rsid w:val="004C69C2"/>
    <w:rsid w:val="004D0441"/>
    <w:rsid w:val="004E2784"/>
    <w:rsid w:val="004E5C3E"/>
    <w:rsid w:val="004F3A40"/>
    <w:rsid w:val="00502A39"/>
    <w:rsid w:val="00507226"/>
    <w:rsid w:val="005128AA"/>
    <w:rsid w:val="0051290C"/>
    <w:rsid w:val="005130AD"/>
    <w:rsid w:val="00513BCC"/>
    <w:rsid w:val="00520003"/>
    <w:rsid w:val="00520A14"/>
    <w:rsid w:val="00524D76"/>
    <w:rsid w:val="0053301F"/>
    <w:rsid w:val="00540263"/>
    <w:rsid w:val="00547B05"/>
    <w:rsid w:val="00555F26"/>
    <w:rsid w:val="00565058"/>
    <w:rsid w:val="00571F5E"/>
    <w:rsid w:val="00575C6B"/>
    <w:rsid w:val="005864D9"/>
    <w:rsid w:val="005A14EC"/>
    <w:rsid w:val="005B5979"/>
    <w:rsid w:val="005D5658"/>
    <w:rsid w:val="005D5ED6"/>
    <w:rsid w:val="005F00CF"/>
    <w:rsid w:val="00607426"/>
    <w:rsid w:val="0060753A"/>
    <w:rsid w:val="00620D96"/>
    <w:rsid w:val="00642C8D"/>
    <w:rsid w:val="00647306"/>
    <w:rsid w:val="00652B8D"/>
    <w:rsid w:val="00652DCE"/>
    <w:rsid w:val="006569D4"/>
    <w:rsid w:val="00665679"/>
    <w:rsid w:val="006806EA"/>
    <w:rsid w:val="00685F15"/>
    <w:rsid w:val="00690D77"/>
    <w:rsid w:val="006A29A4"/>
    <w:rsid w:val="006A6F65"/>
    <w:rsid w:val="006B6006"/>
    <w:rsid w:val="006C11BB"/>
    <w:rsid w:val="006C45A0"/>
    <w:rsid w:val="006D70BF"/>
    <w:rsid w:val="006E49BD"/>
    <w:rsid w:val="006F07B0"/>
    <w:rsid w:val="00704AE4"/>
    <w:rsid w:val="007055F1"/>
    <w:rsid w:val="00705EF4"/>
    <w:rsid w:val="0071005D"/>
    <w:rsid w:val="0071098C"/>
    <w:rsid w:val="00712088"/>
    <w:rsid w:val="00712FFB"/>
    <w:rsid w:val="0071704F"/>
    <w:rsid w:val="0071768F"/>
    <w:rsid w:val="0072718F"/>
    <w:rsid w:val="00730BDA"/>
    <w:rsid w:val="00736902"/>
    <w:rsid w:val="00737093"/>
    <w:rsid w:val="0073783B"/>
    <w:rsid w:val="00740803"/>
    <w:rsid w:val="007458D8"/>
    <w:rsid w:val="00753843"/>
    <w:rsid w:val="00754D91"/>
    <w:rsid w:val="00772B93"/>
    <w:rsid w:val="00784F91"/>
    <w:rsid w:val="00790F09"/>
    <w:rsid w:val="00793302"/>
    <w:rsid w:val="007C30DE"/>
    <w:rsid w:val="007D7E8D"/>
    <w:rsid w:val="007E6EE2"/>
    <w:rsid w:val="00805A2C"/>
    <w:rsid w:val="0083104B"/>
    <w:rsid w:val="00833E93"/>
    <w:rsid w:val="00850D86"/>
    <w:rsid w:val="00855880"/>
    <w:rsid w:val="00882AAF"/>
    <w:rsid w:val="00886EDF"/>
    <w:rsid w:val="00897465"/>
    <w:rsid w:val="008A3CA3"/>
    <w:rsid w:val="008A52B4"/>
    <w:rsid w:val="008B1452"/>
    <w:rsid w:val="008B4100"/>
    <w:rsid w:val="008B483D"/>
    <w:rsid w:val="008C14E8"/>
    <w:rsid w:val="008E3C0D"/>
    <w:rsid w:val="008E3C99"/>
    <w:rsid w:val="008F63C7"/>
    <w:rsid w:val="008F6B85"/>
    <w:rsid w:val="00914AB9"/>
    <w:rsid w:val="00916114"/>
    <w:rsid w:val="009224E0"/>
    <w:rsid w:val="009332B6"/>
    <w:rsid w:val="0093604F"/>
    <w:rsid w:val="00936915"/>
    <w:rsid w:val="009715C5"/>
    <w:rsid w:val="00971C42"/>
    <w:rsid w:val="009902DE"/>
    <w:rsid w:val="009946A8"/>
    <w:rsid w:val="009A0E78"/>
    <w:rsid w:val="009A6184"/>
    <w:rsid w:val="009E1B69"/>
    <w:rsid w:val="009E35C3"/>
    <w:rsid w:val="00A00024"/>
    <w:rsid w:val="00A010B6"/>
    <w:rsid w:val="00A057CB"/>
    <w:rsid w:val="00A07A9F"/>
    <w:rsid w:val="00A166AC"/>
    <w:rsid w:val="00A21496"/>
    <w:rsid w:val="00A41261"/>
    <w:rsid w:val="00A436AD"/>
    <w:rsid w:val="00A5038B"/>
    <w:rsid w:val="00A61866"/>
    <w:rsid w:val="00A6346E"/>
    <w:rsid w:val="00A733EE"/>
    <w:rsid w:val="00A7573D"/>
    <w:rsid w:val="00A81614"/>
    <w:rsid w:val="00A90A06"/>
    <w:rsid w:val="00A94A3F"/>
    <w:rsid w:val="00A94CDB"/>
    <w:rsid w:val="00AB4500"/>
    <w:rsid w:val="00AC09D0"/>
    <w:rsid w:val="00AC34E3"/>
    <w:rsid w:val="00AC4F48"/>
    <w:rsid w:val="00AD1C1A"/>
    <w:rsid w:val="00AD61F7"/>
    <w:rsid w:val="00AE474D"/>
    <w:rsid w:val="00AE5DE6"/>
    <w:rsid w:val="00AF76AE"/>
    <w:rsid w:val="00B011CF"/>
    <w:rsid w:val="00B11077"/>
    <w:rsid w:val="00B113AE"/>
    <w:rsid w:val="00B1367A"/>
    <w:rsid w:val="00B22504"/>
    <w:rsid w:val="00B239D3"/>
    <w:rsid w:val="00B26B15"/>
    <w:rsid w:val="00B410E1"/>
    <w:rsid w:val="00B47796"/>
    <w:rsid w:val="00B50002"/>
    <w:rsid w:val="00B52FBE"/>
    <w:rsid w:val="00B54352"/>
    <w:rsid w:val="00B81E05"/>
    <w:rsid w:val="00B840F1"/>
    <w:rsid w:val="00B94FA0"/>
    <w:rsid w:val="00BA0C3A"/>
    <w:rsid w:val="00BA515F"/>
    <w:rsid w:val="00BB7956"/>
    <w:rsid w:val="00BF7426"/>
    <w:rsid w:val="00C02DDA"/>
    <w:rsid w:val="00C1244B"/>
    <w:rsid w:val="00C45F8A"/>
    <w:rsid w:val="00C55AF5"/>
    <w:rsid w:val="00C563FB"/>
    <w:rsid w:val="00C62988"/>
    <w:rsid w:val="00C63A12"/>
    <w:rsid w:val="00C6437A"/>
    <w:rsid w:val="00C83771"/>
    <w:rsid w:val="00C925D6"/>
    <w:rsid w:val="00C94EC5"/>
    <w:rsid w:val="00CA0896"/>
    <w:rsid w:val="00CA6468"/>
    <w:rsid w:val="00CA69F3"/>
    <w:rsid w:val="00CB0B03"/>
    <w:rsid w:val="00CB16A8"/>
    <w:rsid w:val="00CB7091"/>
    <w:rsid w:val="00CC3535"/>
    <w:rsid w:val="00CC647E"/>
    <w:rsid w:val="00CC700B"/>
    <w:rsid w:val="00CD2487"/>
    <w:rsid w:val="00CE64ED"/>
    <w:rsid w:val="00D0539A"/>
    <w:rsid w:val="00D07DBF"/>
    <w:rsid w:val="00D07E4C"/>
    <w:rsid w:val="00D1083E"/>
    <w:rsid w:val="00D1738E"/>
    <w:rsid w:val="00D23A94"/>
    <w:rsid w:val="00D242DD"/>
    <w:rsid w:val="00D32A13"/>
    <w:rsid w:val="00D7362D"/>
    <w:rsid w:val="00D823E8"/>
    <w:rsid w:val="00D82C0D"/>
    <w:rsid w:val="00DA61F8"/>
    <w:rsid w:val="00DA6440"/>
    <w:rsid w:val="00DB5936"/>
    <w:rsid w:val="00DC5E60"/>
    <w:rsid w:val="00DD0F44"/>
    <w:rsid w:val="00DE6980"/>
    <w:rsid w:val="00E1042C"/>
    <w:rsid w:val="00E114CE"/>
    <w:rsid w:val="00E1301A"/>
    <w:rsid w:val="00E13E7E"/>
    <w:rsid w:val="00E23589"/>
    <w:rsid w:val="00E25922"/>
    <w:rsid w:val="00E5572C"/>
    <w:rsid w:val="00E62AE3"/>
    <w:rsid w:val="00E70D54"/>
    <w:rsid w:val="00E902B2"/>
    <w:rsid w:val="00E92668"/>
    <w:rsid w:val="00EA10EB"/>
    <w:rsid w:val="00EA2275"/>
    <w:rsid w:val="00EA5F2B"/>
    <w:rsid w:val="00EB3A4E"/>
    <w:rsid w:val="00EB4F11"/>
    <w:rsid w:val="00EB7C5B"/>
    <w:rsid w:val="00EE1E3E"/>
    <w:rsid w:val="00EE4563"/>
    <w:rsid w:val="00EE4683"/>
    <w:rsid w:val="00EF75FD"/>
    <w:rsid w:val="00F02045"/>
    <w:rsid w:val="00F044EC"/>
    <w:rsid w:val="00F121BD"/>
    <w:rsid w:val="00F20813"/>
    <w:rsid w:val="00F33181"/>
    <w:rsid w:val="00F36C78"/>
    <w:rsid w:val="00F375FC"/>
    <w:rsid w:val="00F45D3E"/>
    <w:rsid w:val="00F47913"/>
    <w:rsid w:val="00F56F71"/>
    <w:rsid w:val="00F74765"/>
    <w:rsid w:val="00F805D1"/>
    <w:rsid w:val="00F92DE9"/>
    <w:rsid w:val="00FC4498"/>
    <w:rsid w:val="00FC4ECB"/>
    <w:rsid w:val="00FE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DA4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D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2000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3A599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2">
    <w:name w:val="Colorful List Accent 2"/>
    <w:basedOn w:val="10"/>
    <w:uiPriority w:val="72"/>
    <w:rsid w:val="000B38A0"/>
    <w:rPr>
      <w:rFonts w:eastAsia="微软雅黑"/>
      <w:color w:val="000000" w:themeColor="text1"/>
      <w:kern w:val="0"/>
      <w:sz w:val="16"/>
      <w:szCs w:val="20"/>
    </w:rPr>
    <w:tblPr>
      <w:tblStyleColBandSize w:val="1"/>
    </w:tblPr>
    <w:tcPr>
      <w:shd w:val="clear" w:color="auto" w:fill="F8EDED" w:themeFill="accent2" w:themeFillTint="19"/>
    </w:tcPr>
    <w:tblStylePr w:type="firstRow">
      <w:rPr>
        <w:rFonts w:eastAsia="微软雅黑"/>
        <w:b/>
        <w:bCs/>
        <w:color w:val="FFFFFF" w:themeColor="background1"/>
      </w:rPr>
      <w:tblPr/>
      <w:tcPr>
        <w:tcBorders>
          <w:top w:val="nil"/>
          <w:left w:val="nil"/>
          <w:bottom w:val="nil"/>
          <w:right w:val="nil"/>
          <w:insideH w:val="nil"/>
          <w:insideV w:val="nil"/>
          <w:tl2br w:val="nil"/>
          <w:tr2bl w:val="nil"/>
        </w:tcBorders>
        <w:shd w:val="clear" w:color="auto" w:fill="C00000"/>
      </w:tcPr>
    </w:tblStylePr>
    <w:tblStylePr w:type="lastRow">
      <w:rPr>
        <w:b/>
        <w:bCs/>
        <w:color w:val="auto"/>
      </w:rPr>
      <w:tblPr/>
      <w:tcPr>
        <w:tcBorders>
          <w:top w:val="nil"/>
          <w:left w:val="nil"/>
          <w:bottom w:val="nil"/>
          <w:right w:val="nil"/>
          <w:insideH w:val="nil"/>
          <w:insideV w:val="nil"/>
          <w:tl2br w:val="nil"/>
          <w:tr2bl w:val="nil"/>
        </w:tcBorders>
        <w:shd w:val="clear" w:color="auto" w:fill="D9D9D9" w:themeFill="background1" w:themeFillShade="D9"/>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FFFFF" w:themeFill="background1"/>
      </w:tcPr>
    </w:tblStylePr>
    <w:tblStylePr w:type="band2Horz">
      <w:tblPr/>
      <w:tcPr>
        <w:tcBorders>
          <w:top w:val="nil"/>
          <w:bottom w:val="nil"/>
        </w:tcBorders>
        <w:shd w:val="clear" w:color="auto" w:fill="F2F2F2" w:themeFill="background1" w:themeFillShade="F2"/>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Subtle 1"/>
    <w:basedOn w:val="a2"/>
    <w:uiPriority w:val="99"/>
    <w:semiHidden/>
    <w:unhideWhenUsed/>
    <w:rsid w:val="00882AAF"/>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header"/>
    <w:basedOn w:val="a"/>
    <w:link w:val="Char"/>
    <w:unhideWhenUsed/>
    <w:rsid w:val="003A5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A5994"/>
    <w:rPr>
      <w:sz w:val="18"/>
      <w:szCs w:val="18"/>
    </w:rPr>
  </w:style>
  <w:style w:type="paragraph" w:styleId="a5">
    <w:name w:val="footer"/>
    <w:basedOn w:val="a"/>
    <w:link w:val="Char0"/>
    <w:unhideWhenUsed/>
    <w:rsid w:val="003A5994"/>
    <w:pPr>
      <w:tabs>
        <w:tab w:val="center" w:pos="4153"/>
        <w:tab w:val="right" w:pos="8306"/>
      </w:tabs>
      <w:snapToGrid w:val="0"/>
      <w:jc w:val="left"/>
    </w:pPr>
    <w:rPr>
      <w:sz w:val="18"/>
      <w:szCs w:val="18"/>
    </w:rPr>
  </w:style>
  <w:style w:type="character" w:customStyle="1" w:styleId="Char0">
    <w:name w:val="页脚 Char"/>
    <w:basedOn w:val="a1"/>
    <w:link w:val="a5"/>
    <w:rsid w:val="003A5994"/>
    <w:rPr>
      <w:sz w:val="18"/>
      <w:szCs w:val="18"/>
    </w:rPr>
  </w:style>
  <w:style w:type="character" w:customStyle="1" w:styleId="2Char">
    <w:name w:val="标题 2 Char"/>
    <w:basedOn w:val="a1"/>
    <w:link w:val="2"/>
    <w:rsid w:val="003A5994"/>
    <w:rPr>
      <w:rFonts w:ascii="Arial" w:eastAsia="黑体" w:hAnsi="Arial" w:cs="Times New Roman"/>
      <w:b/>
      <w:sz w:val="32"/>
      <w:szCs w:val="20"/>
    </w:rPr>
  </w:style>
  <w:style w:type="character" w:styleId="a6">
    <w:name w:val="page number"/>
    <w:basedOn w:val="a1"/>
    <w:rsid w:val="003A5994"/>
  </w:style>
  <w:style w:type="paragraph" w:styleId="a7">
    <w:name w:val="Normal (Web)"/>
    <w:basedOn w:val="a"/>
    <w:rsid w:val="003A599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A5994"/>
    <w:rPr>
      <w:b/>
      <w:bCs/>
    </w:rPr>
  </w:style>
  <w:style w:type="character" w:styleId="a9">
    <w:name w:val="Hyperlink"/>
    <w:uiPriority w:val="99"/>
    <w:rsid w:val="003A5994"/>
    <w:rPr>
      <w:color w:val="0000FF"/>
      <w:u w:val="single"/>
    </w:rPr>
  </w:style>
  <w:style w:type="paragraph" w:customStyle="1" w:styleId="wz1">
    <w:name w:val="wz1"/>
    <w:basedOn w:val="a"/>
    <w:rsid w:val="003A599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A599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A5994"/>
    <w:rPr>
      <w:rFonts w:ascii="仿宋_GB2312" w:eastAsia="仿宋_GB2312" w:hAnsi="Times New Roman" w:cs="Times New Roman"/>
      <w:color w:val="000000"/>
      <w:kern w:val="0"/>
      <w:sz w:val="24"/>
      <w:szCs w:val="28"/>
    </w:rPr>
  </w:style>
  <w:style w:type="character" w:customStyle="1" w:styleId="read">
    <w:name w:val="read"/>
    <w:basedOn w:val="a1"/>
    <w:rsid w:val="003A5994"/>
  </w:style>
  <w:style w:type="paragraph" w:styleId="a0">
    <w:name w:val="Normal Indent"/>
    <w:basedOn w:val="a"/>
    <w:rsid w:val="003A5994"/>
    <w:pPr>
      <w:ind w:firstLineChars="200" w:firstLine="420"/>
    </w:pPr>
  </w:style>
  <w:style w:type="paragraph" w:styleId="ab">
    <w:name w:val="Body Text Indent"/>
    <w:basedOn w:val="a"/>
    <w:link w:val="Char2"/>
    <w:rsid w:val="003A599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A5994"/>
    <w:rPr>
      <w:rFonts w:ascii="Times New Roman" w:eastAsia="方正仿宋简体" w:hAnsi="Times New Roman" w:cs="Times New Roman"/>
      <w:sz w:val="24"/>
      <w:szCs w:val="30"/>
    </w:rPr>
  </w:style>
  <w:style w:type="paragraph" w:styleId="20">
    <w:name w:val="Body Text Indent 2"/>
    <w:basedOn w:val="a"/>
    <w:link w:val="2Char0"/>
    <w:rsid w:val="003A5994"/>
    <w:pPr>
      <w:spacing w:line="360" w:lineRule="auto"/>
      <w:ind w:firstLine="525"/>
    </w:pPr>
    <w:rPr>
      <w:rFonts w:ascii="宋体" w:hAnsi="宋体"/>
      <w:sz w:val="28"/>
      <w:szCs w:val="20"/>
    </w:rPr>
  </w:style>
  <w:style w:type="character" w:customStyle="1" w:styleId="2Char0">
    <w:name w:val="正文文本缩进 2 Char"/>
    <w:basedOn w:val="a1"/>
    <w:link w:val="20"/>
    <w:rsid w:val="003A5994"/>
    <w:rPr>
      <w:rFonts w:ascii="宋体" w:eastAsia="宋体" w:hAnsi="宋体" w:cs="Times New Roman"/>
      <w:sz w:val="28"/>
      <w:szCs w:val="20"/>
    </w:rPr>
  </w:style>
  <w:style w:type="paragraph" w:styleId="3">
    <w:name w:val="Body Text Indent 3"/>
    <w:basedOn w:val="a"/>
    <w:link w:val="3Char"/>
    <w:rsid w:val="003A599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A5994"/>
    <w:rPr>
      <w:rFonts w:ascii="仿宋_GB2312" w:eastAsia="仿宋_GB2312" w:hAnsi="宋体" w:cs="Arial"/>
      <w:color w:val="000000"/>
      <w:sz w:val="24"/>
      <w:szCs w:val="24"/>
    </w:rPr>
  </w:style>
  <w:style w:type="paragraph" w:styleId="11">
    <w:name w:val="toc 1"/>
    <w:basedOn w:val="a"/>
    <w:next w:val="a"/>
    <w:autoRedefine/>
    <w:semiHidden/>
    <w:rsid w:val="003A5994"/>
  </w:style>
  <w:style w:type="paragraph" w:styleId="21">
    <w:name w:val="toc 2"/>
    <w:basedOn w:val="a"/>
    <w:next w:val="a"/>
    <w:autoRedefine/>
    <w:uiPriority w:val="39"/>
    <w:rsid w:val="003A5994"/>
    <w:pPr>
      <w:ind w:leftChars="200" w:left="420"/>
    </w:pPr>
  </w:style>
  <w:style w:type="paragraph" w:styleId="30">
    <w:name w:val="toc 3"/>
    <w:basedOn w:val="a"/>
    <w:next w:val="a"/>
    <w:autoRedefine/>
    <w:semiHidden/>
    <w:rsid w:val="003A5994"/>
    <w:pPr>
      <w:ind w:leftChars="400" w:left="840"/>
    </w:pPr>
  </w:style>
  <w:style w:type="paragraph" w:styleId="4">
    <w:name w:val="toc 4"/>
    <w:basedOn w:val="a"/>
    <w:next w:val="a"/>
    <w:autoRedefine/>
    <w:semiHidden/>
    <w:rsid w:val="003A5994"/>
    <w:pPr>
      <w:ind w:leftChars="600" w:left="1260"/>
    </w:pPr>
  </w:style>
  <w:style w:type="paragraph" w:styleId="5">
    <w:name w:val="toc 5"/>
    <w:basedOn w:val="a"/>
    <w:next w:val="a"/>
    <w:autoRedefine/>
    <w:semiHidden/>
    <w:rsid w:val="003A5994"/>
    <w:pPr>
      <w:ind w:leftChars="800" w:left="1680"/>
    </w:pPr>
  </w:style>
  <w:style w:type="paragraph" w:styleId="6">
    <w:name w:val="toc 6"/>
    <w:basedOn w:val="a"/>
    <w:next w:val="a"/>
    <w:autoRedefine/>
    <w:semiHidden/>
    <w:rsid w:val="003A5994"/>
    <w:pPr>
      <w:ind w:leftChars="1000" w:left="2100"/>
    </w:pPr>
  </w:style>
  <w:style w:type="paragraph" w:styleId="7">
    <w:name w:val="toc 7"/>
    <w:basedOn w:val="a"/>
    <w:next w:val="a"/>
    <w:autoRedefine/>
    <w:semiHidden/>
    <w:rsid w:val="003A5994"/>
    <w:pPr>
      <w:ind w:leftChars="1200" w:left="2520"/>
    </w:pPr>
  </w:style>
  <w:style w:type="paragraph" w:styleId="8">
    <w:name w:val="toc 8"/>
    <w:basedOn w:val="a"/>
    <w:next w:val="a"/>
    <w:autoRedefine/>
    <w:semiHidden/>
    <w:rsid w:val="003A5994"/>
    <w:pPr>
      <w:ind w:leftChars="1400" w:left="2940"/>
    </w:pPr>
  </w:style>
  <w:style w:type="paragraph" w:styleId="9">
    <w:name w:val="toc 9"/>
    <w:basedOn w:val="a"/>
    <w:next w:val="a"/>
    <w:autoRedefine/>
    <w:semiHidden/>
    <w:rsid w:val="003A5994"/>
    <w:pPr>
      <w:ind w:leftChars="1600" w:left="3360"/>
    </w:pPr>
  </w:style>
  <w:style w:type="paragraph" w:styleId="ac">
    <w:name w:val="Balloon Text"/>
    <w:basedOn w:val="a"/>
    <w:link w:val="Char3"/>
    <w:semiHidden/>
    <w:rsid w:val="003A5994"/>
    <w:rPr>
      <w:sz w:val="18"/>
      <w:szCs w:val="18"/>
    </w:rPr>
  </w:style>
  <w:style w:type="character" w:customStyle="1" w:styleId="Char3">
    <w:name w:val="批注框文本 Char"/>
    <w:basedOn w:val="a1"/>
    <w:link w:val="ac"/>
    <w:semiHidden/>
    <w:rsid w:val="003A5994"/>
    <w:rPr>
      <w:rFonts w:ascii="Times New Roman" w:eastAsia="宋体" w:hAnsi="Times New Roman" w:cs="Times New Roman"/>
      <w:sz w:val="18"/>
      <w:szCs w:val="18"/>
    </w:rPr>
  </w:style>
  <w:style w:type="paragraph" w:customStyle="1" w:styleId="Char4">
    <w:name w:val="Char"/>
    <w:basedOn w:val="a"/>
    <w:rsid w:val="003A5994"/>
  </w:style>
  <w:style w:type="paragraph" w:customStyle="1" w:styleId="Char10">
    <w:name w:val="Char1"/>
    <w:basedOn w:val="a"/>
    <w:autoRedefine/>
    <w:rsid w:val="003A599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A5994"/>
  </w:style>
  <w:style w:type="character" w:styleId="ad">
    <w:name w:val="annotation reference"/>
    <w:qFormat/>
    <w:rsid w:val="003A5994"/>
    <w:rPr>
      <w:sz w:val="21"/>
      <w:szCs w:val="21"/>
    </w:rPr>
  </w:style>
  <w:style w:type="paragraph" w:styleId="ae">
    <w:name w:val="annotation text"/>
    <w:basedOn w:val="a"/>
    <w:link w:val="Char5"/>
    <w:qFormat/>
    <w:rsid w:val="00547B05"/>
    <w:pPr>
      <w:jc w:val="left"/>
    </w:pPr>
  </w:style>
  <w:style w:type="character" w:customStyle="1" w:styleId="Char5">
    <w:name w:val="批注文字 Char"/>
    <w:basedOn w:val="a1"/>
    <w:link w:val="ae"/>
    <w:qFormat/>
    <w:rsid w:val="003A599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A5994"/>
  </w:style>
  <w:style w:type="paragraph" w:customStyle="1" w:styleId="CharChar">
    <w:name w:val="Char Char"/>
    <w:basedOn w:val="a"/>
    <w:rsid w:val="003A5994"/>
    <w:rPr>
      <w:szCs w:val="20"/>
    </w:rPr>
  </w:style>
  <w:style w:type="paragraph" w:styleId="HTML">
    <w:name w:val="HTML Preformatted"/>
    <w:basedOn w:val="a"/>
    <w:link w:val="HTMLChar"/>
    <w:uiPriority w:val="99"/>
    <w:unhideWhenUsed/>
    <w:rsid w:val="003A5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A5994"/>
    <w:rPr>
      <w:rFonts w:ascii="宋体" w:eastAsia="宋体" w:hAnsi="宋体" w:cs="宋体"/>
      <w:kern w:val="0"/>
      <w:sz w:val="24"/>
      <w:szCs w:val="24"/>
    </w:rPr>
  </w:style>
  <w:style w:type="paragraph" w:styleId="af">
    <w:name w:val="annotation subject"/>
    <w:basedOn w:val="ae"/>
    <w:next w:val="ae"/>
    <w:link w:val="Char6"/>
    <w:rsid w:val="003A5994"/>
    <w:rPr>
      <w:b/>
      <w:bCs/>
    </w:rPr>
  </w:style>
  <w:style w:type="character" w:customStyle="1" w:styleId="Char6">
    <w:name w:val="批注主题 Char"/>
    <w:basedOn w:val="Char5"/>
    <w:link w:val="af"/>
    <w:rsid w:val="003A5994"/>
    <w:rPr>
      <w:rFonts w:ascii="Times New Roman" w:eastAsia="宋体" w:hAnsi="Times New Roman" w:cs="Times New Roman"/>
      <w:b/>
      <w:bCs/>
      <w:szCs w:val="24"/>
    </w:rPr>
  </w:style>
  <w:style w:type="paragraph" w:customStyle="1" w:styleId="af0">
    <w:uiPriority w:val="99"/>
    <w:unhideWhenUsed/>
    <w:rsid w:val="003A5994"/>
    <w:pPr>
      <w:widowControl w:val="0"/>
      <w:jc w:val="both"/>
    </w:pPr>
    <w:rPr>
      <w:rFonts w:ascii="Times New Roman" w:eastAsia="宋体" w:hAnsi="Times New Roman" w:cs="Times New Roman"/>
      <w:szCs w:val="24"/>
    </w:rPr>
  </w:style>
  <w:style w:type="paragraph" w:styleId="af1">
    <w:name w:val="Revision"/>
    <w:hidden/>
    <w:uiPriority w:val="99"/>
    <w:semiHidden/>
    <w:rsid w:val="003A5994"/>
    <w:rPr>
      <w:rFonts w:ascii="Times New Roman" w:eastAsia="宋体" w:hAnsi="Times New Roman" w:cs="Times New Roman"/>
      <w:szCs w:val="24"/>
    </w:rPr>
  </w:style>
  <w:style w:type="character" w:styleId="af2">
    <w:name w:val="FollowedHyperlink"/>
    <w:basedOn w:val="a1"/>
    <w:uiPriority w:val="99"/>
    <w:semiHidden/>
    <w:unhideWhenUsed/>
    <w:rsid w:val="003A5994"/>
    <w:rPr>
      <w:color w:val="800080" w:themeColor="followedHyperlink"/>
      <w:u w:val="single"/>
    </w:rPr>
  </w:style>
  <w:style w:type="paragraph" w:customStyle="1" w:styleId="af3">
    <w:uiPriority w:val="99"/>
    <w:unhideWhenUsed/>
    <w:rsid w:val="00547B05"/>
    <w:pPr>
      <w:widowControl w:val="0"/>
      <w:jc w:val="both"/>
    </w:pPr>
    <w:rPr>
      <w:rFonts w:ascii="Times New Roman" w:eastAsia="宋体" w:hAnsi="Times New Roman" w:cs="Times New Roman"/>
      <w:szCs w:val="24"/>
    </w:rPr>
  </w:style>
  <w:style w:type="paragraph" w:styleId="af4">
    <w:name w:val="footnote text"/>
    <w:basedOn w:val="a"/>
    <w:link w:val="Char7"/>
    <w:uiPriority w:val="99"/>
    <w:semiHidden/>
    <w:unhideWhenUsed/>
    <w:rsid w:val="0073783B"/>
    <w:pPr>
      <w:snapToGrid w:val="0"/>
      <w:jc w:val="left"/>
    </w:pPr>
    <w:rPr>
      <w:sz w:val="18"/>
      <w:szCs w:val="18"/>
    </w:rPr>
  </w:style>
  <w:style w:type="character" w:customStyle="1" w:styleId="Char7">
    <w:name w:val="脚注文本 Char"/>
    <w:basedOn w:val="a1"/>
    <w:link w:val="af4"/>
    <w:uiPriority w:val="99"/>
    <w:semiHidden/>
    <w:rsid w:val="0073783B"/>
    <w:rPr>
      <w:rFonts w:ascii="Times New Roman" w:eastAsia="宋体" w:hAnsi="Times New Roman" w:cs="Times New Roman"/>
      <w:sz w:val="18"/>
      <w:szCs w:val="18"/>
    </w:rPr>
  </w:style>
  <w:style w:type="character" w:styleId="af5">
    <w:name w:val="footnote reference"/>
    <w:basedOn w:val="a1"/>
    <w:uiPriority w:val="99"/>
    <w:semiHidden/>
    <w:unhideWhenUsed/>
    <w:rsid w:val="0073783B"/>
    <w:rPr>
      <w:vertAlign w:val="superscript"/>
    </w:rPr>
  </w:style>
  <w:style w:type="character" w:customStyle="1" w:styleId="1Char">
    <w:name w:val="标题 1 Char"/>
    <w:basedOn w:val="a1"/>
    <w:link w:val="1"/>
    <w:uiPriority w:val="9"/>
    <w:rsid w:val="00520003"/>
    <w:rPr>
      <w:rFonts w:ascii="Times New Roman" w:eastAsia="宋体" w:hAnsi="Times New Roman" w:cs="Times New Roman"/>
      <w:b/>
      <w:bCs/>
      <w:kern w:val="44"/>
      <w:sz w:val="44"/>
      <w:szCs w:val="44"/>
    </w:rPr>
  </w:style>
  <w:style w:type="paragraph" w:styleId="22">
    <w:name w:val="Body Text 2"/>
    <w:basedOn w:val="a"/>
    <w:link w:val="2Char1"/>
    <w:uiPriority w:val="99"/>
    <w:semiHidden/>
    <w:unhideWhenUsed/>
    <w:rsid w:val="00520003"/>
    <w:pPr>
      <w:spacing w:after="120" w:line="480" w:lineRule="auto"/>
    </w:pPr>
  </w:style>
  <w:style w:type="character" w:customStyle="1" w:styleId="2Char1">
    <w:name w:val="正文文本 2 Char"/>
    <w:basedOn w:val="a1"/>
    <w:link w:val="22"/>
    <w:uiPriority w:val="99"/>
    <w:semiHidden/>
    <w:rsid w:val="0052000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D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2000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3A599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2">
    <w:name w:val="Colorful List Accent 2"/>
    <w:basedOn w:val="10"/>
    <w:uiPriority w:val="72"/>
    <w:rsid w:val="000B38A0"/>
    <w:rPr>
      <w:rFonts w:eastAsia="微软雅黑"/>
      <w:color w:val="000000" w:themeColor="text1"/>
      <w:kern w:val="0"/>
      <w:sz w:val="16"/>
      <w:szCs w:val="20"/>
    </w:rPr>
    <w:tblPr>
      <w:tblStyleColBandSize w:val="1"/>
    </w:tblPr>
    <w:tcPr>
      <w:shd w:val="clear" w:color="auto" w:fill="F8EDED" w:themeFill="accent2" w:themeFillTint="19"/>
    </w:tcPr>
    <w:tblStylePr w:type="firstRow">
      <w:rPr>
        <w:rFonts w:eastAsia="微软雅黑"/>
        <w:b/>
        <w:bCs/>
        <w:color w:val="FFFFFF" w:themeColor="background1"/>
      </w:rPr>
      <w:tblPr/>
      <w:tcPr>
        <w:tcBorders>
          <w:top w:val="nil"/>
          <w:left w:val="nil"/>
          <w:bottom w:val="nil"/>
          <w:right w:val="nil"/>
          <w:insideH w:val="nil"/>
          <w:insideV w:val="nil"/>
          <w:tl2br w:val="nil"/>
          <w:tr2bl w:val="nil"/>
        </w:tcBorders>
        <w:shd w:val="clear" w:color="auto" w:fill="C00000"/>
      </w:tcPr>
    </w:tblStylePr>
    <w:tblStylePr w:type="lastRow">
      <w:rPr>
        <w:b/>
        <w:bCs/>
        <w:color w:val="auto"/>
      </w:rPr>
      <w:tblPr/>
      <w:tcPr>
        <w:tcBorders>
          <w:top w:val="nil"/>
          <w:left w:val="nil"/>
          <w:bottom w:val="nil"/>
          <w:right w:val="nil"/>
          <w:insideH w:val="nil"/>
          <w:insideV w:val="nil"/>
          <w:tl2br w:val="nil"/>
          <w:tr2bl w:val="nil"/>
        </w:tcBorders>
        <w:shd w:val="clear" w:color="auto" w:fill="D9D9D9" w:themeFill="background1" w:themeFillShade="D9"/>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FFFFF" w:themeFill="background1"/>
      </w:tcPr>
    </w:tblStylePr>
    <w:tblStylePr w:type="band2Horz">
      <w:tblPr/>
      <w:tcPr>
        <w:tcBorders>
          <w:top w:val="nil"/>
          <w:bottom w:val="nil"/>
        </w:tcBorders>
        <w:shd w:val="clear" w:color="auto" w:fill="F2F2F2" w:themeFill="background1" w:themeFillShade="F2"/>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Subtle 1"/>
    <w:basedOn w:val="a2"/>
    <w:uiPriority w:val="99"/>
    <w:semiHidden/>
    <w:unhideWhenUsed/>
    <w:rsid w:val="00882AAF"/>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header"/>
    <w:basedOn w:val="a"/>
    <w:link w:val="Char"/>
    <w:unhideWhenUsed/>
    <w:rsid w:val="003A5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A5994"/>
    <w:rPr>
      <w:sz w:val="18"/>
      <w:szCs w:val="18"/>
    </w:rPr>
  </w:style>
  <w:style w:type="paragraph" w:styleId="a5">
    <w:name w:val="footer"/>
    <w:basedOn w:val="a"/>
    <w:link w:val="Char0"/>
    <w:unhideWhenUsed/>
    <w:rsid w:val="003A5994"/>
    <w:pPr>
      <w:tabs>
        <w:tab w:val="center" w:pos="4153"/>
        <w:tab w:val="right" w:pos="8306"/>
      </w:tabs>
      <w:snapToGrid w:val="0"/>
      <w:jc w:val="left"/>
    </w:pPr>
    <w:rPr>
      <w:sz w:val="18"/>
      <w:szCs w:val="18"/>
    </w:rPr>
  </w:style>
  <w:style w:type="character" w:customStyle="1" w:styleId="Char0">
    <w:name w:val="页脚 Char"/>
    <w:basedOn w:val="a1"/>
    <w:link w:val="a5"/>
    <w:rsid w:val="003A5994"/>
    <w:rPr>
      <w:sz w:val="18"/>
      <w:szCs w:val="18"/>
    </w:rPr>
  </w:style>
  <w:style w:type="character" w:customStyle="1" w:styleId="2Char">
    <w:name w:val="标题 2 Char"/>
    <w:basedOn w:val="a1"/>
    <w:link w:val="2"/>
    <w:rsid w:val="003A5994"/>
    <w:rPr>
      <w:rFonts w:ascii="Arial" w:eastAsia="黑体" w:hAnsi="Arial" w:cs="Times New Roman"/>
      <w:b/>
      <w:sz w:val="32"/>
      <w:szCs w:val="20"/>
    </w:rPr>
  </w:style>
  <w:style w:type="character" w:styleId="a6">
    <w:name w:val="page number"/>
    <w:basedOn w:val="a1"/>
    <w:rsid w:val="003A5994"/>
  </w:style>
  <w:style w:type="paragraph" w:styleId="a7">
    <w:name w:val="Normal (Web)"/>
    <w:basedOn w:val="a"/>
    <w:rsid w:val="003A599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A5994"/>
    <w:rPr>
      <w:b/>
      <w:bCs/>
    </w:rPr>
  </w:style>
  <w:style w:type="character" w:styleId="a9">
    <w:name w:val="Hyperlink"/>
    <w:uiPriority w:val="99"/>
    <w:rsid w:val="003A5994"/>
    <w:rPr>
      <w:color w:val="0000FF"/>
      <w:u w:val="single"/>
    </w:rPr>
  </w:style>
  <w:style w:type="paragraph" w:customStyle="1" w:styleId="wz1">
    <w:name w:val="wz1"/>
    <w:basedOn w:val="a"/>
    <w:rsid w:val="003A599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A599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A5994"/>
    <w:rPr>
      <w:rFonts w:ascii="仿宋_GB2312" w:eastAsia="仿宋_GB2312" w:hAnsi="Times New Roman" w:cs="Times New Roman"/>
      <w:color w:val="000000"/>
      <w:kern w:val="0"/>
      <w:sz w:val="24"/>
      <w:szCs w:val="28"/>
    </w:rPr>
  </w:style>
  <w:style w:type="character" w:customStyle="1" w:styleId="read">
    <w:name w:val="read"/>
    <w:basedOn w:val="a1"/>
    <w:rsid w:val="003A5994"/>
  </w:style>
  <w:style w:type="paragraph" w:styleId="a0">
    <w:name w:val="Normal Indent"/>
    <w:basedOn w:val="a"/>
    <w:rsid w:val="003A5994"/>
    <w:pPr>
      <w:ind w:firstLineChars="200" w:firstLine="420"/>
    </w:pPr>
  </w:style>
  <w:style w:type="paragraph" w:styleId="ab">
    <w:name w:val="Body Text Indent"/>
    <w:basedOn w:val="a"/>
    <w:link w:val="Char2"/>
    <w:rsid w:val="003A599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A5994"/>
    <w:rPr>
      <w:rFonts w:ascii="Times New Roman" w:eastAsia="方正仿宋简体" w:hAnsi="Times New Roman" w:cs="Times New Roman"/>
      <w:sz w:val="24"/>
      <w:szCs w:val="30"/>
    </w:rPr>
  </w:style>
  <w:style w:type="paragraph" w:styleId="20">
    <w:name w:val="Body Text Indent 2"/>
    <w:basedOn w:val="a"/>
    <w:link w:val="2Char0"/>
    <w:rsid w:val="003A5994"/>
    <w:pPr>
      <w:spacing w:line="360" w:lineRule="auto"/>
      <w:ind w:firstLine="525"/>
    </w:pPr>
    <w:rPr>
      <w:rFonts w:ascii="宋体" w:hAnsi="宋体"/>
      <w:sz w:val="28"/>
      <w:szCs w:val="20"/>
    </w:rPr>
  </w:style>
  <w:style w:type="character" w:customStyle="1" w:styleId="2Char0">
    <w:name w:val="正文文本缩进 2 Char"/>
    <w:basedOn w:val="a1"/>
    <w:link w:val="20"/>
    <w:rsid w:val="003A5994"/>
    <w:rPr>
      <w:rFonts w:ascii="宋体" w:eastAsia="宋体" w:hAnsi="宋体" w:cs="Times New Roman"/>
      <w:sz w:val="28"/>
      <w:szCs w:val="20"/>
    </w:rPr>
  </w:style>
  <w:style w:type="paragraph" w:styleId="3">
    <w:name w:val="Body Text Indent 3"/>
    <w:basedOn w:val="a"/>
    <w:link w:val="3Char"/>
    <w:rsid w:val="003A599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A5994"/>
    <w:rPr>
      <w:rFonts w:ascii="仿宋_GB2312" w:eastAsia="仿宋_GB2312" w:hAnsi="宋体" w:cs="Arial"/>
      <w:color w:val="000000"/>
      <w:sz w:val="24"/>
      <w:szCs w:val="24"/>
    </w:rPr>
  </w:style>
  <w:style w:type="paragraph" w:styleId="11">
    <w:name w:val="toc 1"/>
    <w:basedOn w:val="a"/>
    <w:next w:val="a"/>
    <w:autoRedefine/>
    <w:semiHidden/>
    <w:rsid w:val="003A5994"/>
  </w:style>
  <w:style w:type="paragraph" w:styleId="21">
    <w:name w:val="toc 2"/>
    <w:basedOn w:val="a"/>
    <w:next w:val="a"/>
    <w:autoRedefine/>
    <w:uiPriority w:val="39"/>
    <w:rsid w:val="003A5994"/>
    <w:pPr>
      <w:ind w:leftChars="200" w:left="420"/>
    </w:pPr>
  </w:style>
  <w:style w:type="paragraph" w:styleId="30">
    <w:name w:val="toc 3"/>
    <w:basedOn w:val="a"/>
    <w:next w:val="a"/>
    <w:autoRedefine/>
    <w:semiHidden/>
    <w:rsid w:val="003A5994"/>
    <w:pPr>
      <w:ind w:leftChars="400" w:left="840"/>
    </w:pPr>
  </w:style>
  <w:style w:type="paragraph" w:styleId="4">
    <w:name w:val="toc 4"/>
    <w:basedOn w:val="a"/>
    <w:next w:val="a"/>
    <w:autoRedefine/>
    <w:semiHidden/>
    <w:rsid w:val="003A5994"/>
    <w:pPr>
      <w:ind w:leftChars="600" w:left="1260"/>
    </w:pPr>
  </w:style>
  <w:style w:type="paragraph" w:styleId="5">
    <w:name w:val="toc 5"/>
    <w:basedOn w:val="a"/>
    <w:next w:val="a"/>
    <w:autoRedefine/>
    <w:semiHidden/>
    <w:rsid w:val="003A5994"/>
    <w:pPr>
      <w:ind w:leftChars="800" w:left="1680"/>
    </w:pPr>
  </w:style>
  <w:style w:type="paragraph" w:styleId="6">
    <w:name w:val="toc 6"/>
    <w:basedOn w:val="a"/>
    <w:next w:val="a"/>
    <w:autoRedefine/>
    <w:semiHidden/>
    <w:rsid w:val="003A5994"/>
    <w:pPr>
      <w:ind w:leftChars="1000" w:left="2100"/>
    </w:pPr>
  </w:style>
  <w:style w:type="paragraph" w:styleId="7">
    <w:name w:val="toc 7"/>
    <w:basedOn w:val="a"/>
    <w:next w:val="a"/>
    <w:autoRedefine/>
    <w:semiHidden/>
    <w:rsid w:val="003A5994"/>
    <w:pPr>
      <w:ind w:leftChars="1200" w:left="2520"/>
    </w:pPr>
  </w:style>
  <w:style w:type="paragraph" w:styleId="8">
    <w:name w:val="toc 8"/>
    <w:basedOn w:val="a"/>
    <w:next w:val="a"/>
    <w:autoRedefine/>
    <w:semiHidden/>
    <w:rsid w:val="003A5994"/>
    <w:pPr>
      <w:ind w:leftChars="1400" w:left="2940"/>
    </w:pPr>
  </w:style>
  <w:style w:type="paragraph" w:styleId="9">
    <w:name w:val="toc 9"/>
    <w:basedOn w:val="a"/>
    <w:next w:val="a"/>
    <w:autoRedefine/>
    <w:semiHidden/>
    <w:rsid w:val="003A5994"/>
    <w:pPr>
      <w:ind w:leftChars="1600" w:left="3360"/>
    </w:pPr>
  </w:style>
  <w:style w:type="paragraph" w:styleId="ac">
    <w:name w:val="Balloon Text"/>
    <w:basedOn w:val="a"/>
    <w:link w:val="Char3"/>
    <w:semiHidden/>
    <w:rsid w:val="003A5994"/>
    <w:rPr>
      <w:sz w:val="18"/>
      <w:szCs w:val="18"/>
    </w:rPr>
  </w:style>
  <w:style w:type="character" w:customStyle="1" w:styleId="Char3">
    <w:name w:val="批注框文本 Char"/>
    <w:basedOn w:val="a1"/>
    <w:link w:val="ac"/>
    <w:semiHidden/>
    <w:rsid w:val="003A5994"/>
    <w:rPr>
      <w:rFonts w:ascii="Times New Roman" w:eastAsia="宋体" w:hAnsi="Times New Roman" w:cs="Times New Roman"/>
      <w:sz w:val="18"/>
      <w:szCs w:val="18"/>
    </w:rPr>
  </w:style>
  <w:style w:type="paragraph" w:customStyle="1" w:styleId="Char4">
    <w:name w:val="Char"/>
    <w:basedOn w:val="a"/>
    <w:rsid w:val="003A5994"/>
  </w:style>
  <w:style w:type="paragraph" w:customStyle="1" w:styleId="Char10">
    <w:name w:val="Char1"/>
    <w:basedOn w:val="a"/>
    <w:autoRedefine/>
    <w:rsid w:val="003A599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A5994"/>
  </w:style>
  <w:style w:type="character" w:styleId="ad">
    <w:name w:val="annotation reference"/>
    <w:qFormat/>
    <w:rsid w:val="003A5994"/>
    <w:rPr>
      <w:sz w:val="21"/>
      <w:szCs w:val="21"/>
    </w:rPr>
  </w:style>
  <w:style w:type="paragraph" w:styleId="ae">
    <w:name w:val="annotation text"/>
    <w:basedOn w:val="a"/>
    <w:link w:val="Char5"/>
    <w:qFormat/>
    <w:rsid w:val="00547B05"/>
    <w:pPr>
      <w:jc w:val="left"/>
    </w:pPr>
  </w:style>
  <w:style w:type="character" w:customStyle="1" w:styleId="Char5">
    <w:name w:val="批注文字 Char"/>
    <w:basedOn w:val="a1"/>
    <w:link w:val="ae"/>
    <w:qFormat/>
    <w:rsid w:val="003A599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A5994"/>
  </w:style>
  <w:style w:type="paragraph" w:customStyle="1" w:styleId="CharChar">
    <w:name w:val="Char Char"/>
    <w:basedOn w:val="a"/>
    <w:rsid w:val="003A5994"/>
    <w:rPr>
      <w:szCs w:val="20"/>
    </w:rPr>
  </w:style>
  <w:style w:type="paragraph" w:styleId="HTML">
    <w:name w:val="HTML Preformatted"/>
    <w:basedOn w:val="a"/>
    <w:link w:val="HTMLChar"/>
    <w:uiPriority w:val="99"/>
    <w:unhideWhenUsed/>
    <w:rsid w:val="003A5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A5994"/>
    <w:rPr>
      <w:rFonts w:ascii="宋体" w:eastAsia="宋体" w:hAnsi="宋体" w:cs="宋体"/>
      <w:kern w:val="0"/>
      <w:sz w:val="24"/>
      <w:szCs w:val="24"/>
    </w:rPr>
  </w:style>
  <w:style w:type="paragraph" w:styleId="af">
    <w:name w:val="annotation subject"/>
    <w:basedOn w:val="ae"/>
    <w:next w:val="ae"/>
    <w:link w:val="Char6"/>
    <w:rsid w:val="003A5994"/>
    <w:rPr>
      <w:b/>
      <w:bCs/>
    </w:rPr>
  </w:style>
  <w:style w:type="character" w:customStyle="1" w:styleId="Char6">
    <w:name w:val="批注主题 Char"/>
    <w:basedOn w:val="Char5"/>
    <w:link w:val="af"/>
    <w:rsid w:val="003A5994"/>
    <w:rPr>
      <w:rFonts w:ascii="Times New Roman" w:eastAsia="宋体" w:hAnsi="Times New Roman" w:cs="Times New Roman"/>
      <w:b/>
      <w:bCs/>
      <w:szCs w:val="24"/>
    </w:rPr>
  </w:style>
  <w:style w:type="paragraph" w:customStyle="1" w:styleId="af0">
    <w:uiPriority w:val="99"/>
    <w:unhideWhenUsed/>
    <w:rsid w:val="003A5994"/>
    <w:pPr>
      <w:widowControl w:val="0"/>
      <w:jc w:val="both"/>
    </w:pPr>
    <w:rPr>
      <w:rFonts w:ascii="Times New Roman" w:eastAsia="宋体" w:hAnsi="Times New Roman" w:cs="Times New Roman"/>
      <w:szCs w:val="24"/>
    </w:rPr>
  </w:style>
  <w:style w:type="paragraph" w:styleId="af1">
    <w:name w:val="Revision"/>
    <w:hidden/>
    <w:uiPriority w:val="99"/>
    <w:semiHidden/>
    <w:rsid w:val="003A5994"/>
    <w:rPr>
      <w:rFonts w:ascii="Times New Roman" w:eastAsia="宋体" w:hAnsi="Times New Roman" w:cs="Times New Roman"/>
      <w:szCs w:val="24"/>
    </w:rPr>
  </w:style>
  <w:style w:type="character" w:styleId="af2">
    <w:name w:val="FollowedHyperlink"/>
    <w:basedOn w:val="a1"/>
    <w:uiPriority w:val="99"/>
    <w:semiHidden/>
    <w:unhideWhenUsed/>
    <w:rsid w:val="003A5994"/>
    <w:rPr>
      <w:color w:val="800080" w:themeColor="followedHyperlink"/>
      <w:u w:val="single"/>
    </w:rPr>
  </w:style>
  <w:style w:type="paragraph" w:customStyle="1" w:styleId="af3">
    <w:uiPriority w:val="99"/>
    <w:unhideWhenUsed/>
    <w:rsid w:val="00547B05"/>
    <w:pPr>
      <w:widowControl w:val="0"/>
      <w:jc w:val="both"/>
    </w:pPr>
    <w:rPr>
      <w:rFonts w:ascii="Times New Roman" w:eastAsia="宋体" w:hAnsi="Times New Roman" w:cs="Times New Roman"/>
      <w:szCs w:val="24"/>
    </w:rPr>
  </w:style>
  <w:style w:type="paragraph" w:styleId="af4">
    <w:name w:val="footnote text"/>
    <w:basedOn w:val="a"/>
    <w:link w:val="Char7"/>
    <w:uiPriority w:val="99"/>
    <w:semiHidden/>
    <w:unhideWhenUsed/>
    <w:rsid w:val="0073783B"/>
    <w:pPr>
      <w:snapToGrid w:val="0"/>
      <w:jc w:val="left"/>
    </w:pPr>
    <w:rPr>
      <w:sz w:val="18"/>
      <w:szCs w:val="18"/>
    </w:rPr>
  </w:style>
  <w:style w:type="character" w:customStyle="1" w:styleId="Char7">
    <w:name w:val="脚注文本 Char"/>
    <w:basedOn w:val="a1"/>
    <w:link w:val="af4"/>
    <w:uiPriority w:val="99"/>
    <w:semiHidden/>
    <w:rsid w:val="0073783B"/>
    <w:rPr>
      <w:rFonts w:ascii="Times New Roman" w:eastAsia="宋体" w:hAnsi="Times New Roman" w:cs="Times New Roman"/>
      <w:sz w:val="18"/>
      <w:szCs w:val="18"/>
    </w:rPr>
  </w:style>
  <w:style w:type="character" w:styleId="af5">
    <w:name w:val="footnote reference"/>
    <w:basedOn w:val="a1"/>
    <w:uiPriority w:val="99"/>
    <w:semiHidden/>
    <w:unhideWhenUsed/>
    <w:rsid w:val="0073783B"/>
    <w:rPr>
      <w:vertAlign w:val="superscript"/>
    </w:rPr>
  </w:style>
  <w:style w:type="character" w:customStyle="1" w:styleId="1Char">
    <w:name w:val="标题 1 Char"/>
    <w:basedOn w:val="a1"/>
    <w:link w:val="1"/>
    <w:uiPriority w:val="9"/>
    <w:rsid w:val="00520003"/>
    <w:rPr>
      <w:rFonts w:ascii="Times New Roman" w:eastAsia="宋体" w:hAnsi="Times New Roman" w:cs="Times New Roman"/>
      <w:b/>
      <w:bCs/>
      <w:kern w:val="44"/>
      <w:sz w:val="44"/>
      <w:szCs w:val="44"/>
    </w:rPr>
  </w:style>
  <w:style w:type="paragraph" w:styleId="22">
    <w:name w:val="Body Text 2"/>
    <w:basedOn w:val="a"/>
    <w:link w:val="2Char1"/>
    <w:uiPriority w:val="99"/>
    <w:semiHidden/>
    <w:unhideWhenUsed/>
    <w:rsid w:val="00520003"/>
    <w:pPr>
      <w:spacing w:after="120" w:line="480" w:lineRule="auto"/>
    </w:pPr>
  </w:style>
  <w:style w:type="character" w:customStyle="1" w:styleId="2Char1">
    <w:name w:val="正文文本 2 Char"/>
    <w:basedOn w:val="a1"/>
    <w:link w:val="22"/>
    <w:uiPriority w:val="99"/>
    <w:semiHidden/>
    <w:rsid w:val="0052000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95720">
      <w:bodyDiv w:val="1"/>
      <w:marLeft w:val="0"/>
      <w:marRight w:val="0"/>
      <w:marTop w:val="0"/>
      <w:marBottom w:val="0"/>
      <w:divBdr>
        <w:top w:val="none" w:sz="0" w:space="0" w:color="auto"/>
        <w:left w:val="none" w:sz="0" w:space="0" w:color="auto"/>
        <w:bottom w:val="none" w:sz="0" w:space="0" w:color="auto"/>
        <w:right w:val="none" w:sz="0" w:space="0" w:color="auto"/>
      </w:divBdr>
      <w:divsChild>
        <w:div w:id="451947174">
          <w:marLeft w:val="0"/>
          <w:marRight w:val="0"/>
          <w:marTop w:val="0"/>
          <w:marBottom w:val="0"/>
          <w:divBdr>
            <w:top w:val="none" w:sz="0" w:space="0" w:color="auto"/>
            <w:left w:val="none" w:sz="0" w:space="0" w:color="auto"/>
            <w:bottom w:val="none" w:sz="0" w:space="0" w:color="auto"/>
            <w:right w:val="none" w:sz="0" w:space="0" w:color="auto"/>
          </w:divBdr>
        </w:div>
      </w:divsChild>
    </w:div>
    <w:div w:id="2002005265">
      <w:bodyDiv w:val="1"/>
      <w:marLeft w:val="0"/>
      <w:marRight w:val="0"/>
      <w:marTop w:val="0"/>
      <w:marBottom w:val="0"/>
      <w:divBdr>
        <w:top w:val="none" w:sz="0" w:space="0" w:color="auto"/>
        <w:left w:val="none" w:sz="0" w:space="0" w:color="auto"/>
        <w:bottom w:val="none" w:sz="0" w:space="0" w:color="auto"/>
        <w:right w:val="none" w:sz="0" w:space="0" w:color="auto"/>
      </w:divBdr>
      <w:divsChild>
        <w:div w:id="2077778900">
          <w:marLeft w:val="0"/>
          <w:marRight w:val="0"/>
          <w:marTop w:val="0"/>
          <w:marBottom w:val="0"/>
          <w:divBdr>
            <w:top w:val="none" w:sz="0" w:space="0" w:color="auto"/>
            <w:left w:val="none" w:sz="0" w:space="0" w:color="auto"/>
            <w:bottom w:val="none" w:sz="0" w:space="0" w:color="auto"/>
            <w:right w:val="none" w:sz="0" w:space="0" w:color="auto"/>
          </w:divBdr>
          <w:divsChild>
            <w:div w:id="7663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5.xm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8A3E14-495F-439C-8FF8-1AC9B048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50</Pages>
  <Words>4712</Words>
  <Characters>26860</Characters>
  <Application>Microsoft Office Word</Application>
  <DocSecurity>0</DocSecurity>
  <Lines>223</Lines>
  <Paragraphs>63</Paragraphs>
  <ScaleCrop>false</ScaleCrop>
  <Company/>
  <LinksUpToDate>false</LinksUpToDate>
  <CharactersWithSpaces>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符筱</dc:creator>
  <cp:lastModifiedBy>zhaiq1</cp:lastModifiedBy>
  <cp:revision>6</cp:revision>
  <cp:lastPrinted>2019-10-15T02:37:00Z</cp:lastPrinted>
  <dcterms:created xsi:type="dcterms:W3CDTF">2019-05-06T07:47:00Z</dcterms:created>
  <dcterms:modified xsi:type="dcterms:W3CDTF">2020-02-13T03:47:00Z</dcterms:modified>
</cp:coreProperties>
</file>