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0B" w:rsidRPr="002D1330" w:rsidRDefault="000C660B" w:rsidP="002D1330">
      <w:pPr>
        <w:adjustRightInd w:val="0"/>
        <w:snapToGrid w:val="0"/>
        <w:spacing w:line="360" w:lineRule="auto"/>
        <w:jc w:val="center"/>
        <w:rPr>
          <w:rFonts w:asciiTheme="minorEastAsia" w:hAnsiTheme="minorEastAsia" w:cs="Arial"/>
          <w:sz w:val="24"/>
          <w:szCs w:val="24"/>
        </w:rPr>
      </w:pPr>
    </w:p>
    <w:p w:rsidR="000C660B" w:rsidRPr="002D1330" w:rsidRDefault="000C660B" w:rsidP="002D1330">
      <w:pPr>
        <w:adjustRightInd w:val="0"/>
        <w:snapToGrid w:val="0"/>
        <w:spacing w:line="360" w:lineRule="auto"/>
        <w:jc w:val="center"/>
        <w:rPr>
          <w:rFonts w:asciiTheme="minorEastAsia" w:hAnsiTheme="minorEastAsia" w:cs="Arial"/>
          <w:sz w:val="24"/>
          <w:szCs w:val="24"/>
        </w:rPr>
      </w:pPr>
    </w:p>
    <w:p w:rsidR="000C660B" w:rsidRPr="002D1330" w:rsidRDefault="000C660B" w:rsidP="002D1330">
      <w:pPr>
        <w:adjustRightInd w:val="0"/>
        <w:snapToGrid w:val="0"/>
        <w:spacing w:line="360" w:lineRule="auto"/>
        <w:jc w:val="center"/>
        <w:rPr>
          <w:rFonts w:asciiTheme="minorEastAsia" w:hAnsiTheme="minorEastAsia" w:cs="Arial"/>
          <w:sz w:val="24"/>
          <w:szCs w:val="24"/>
        </w:rPr>
      </w:pPr>
    </w:p>
    <w:p w:rsidR="000C660B" w:rsidRPr="002D1330" w:rsidRDefault="000C660B" w:rsidP="002D1330">
      <w:pPr>
        <w:adjustRightInd w:val="0"/>
        <w:snapToGrid w:val="0"/>
        <w:spacing w:line="360" w:lineRule="auto"/>
        <w:jc w:val="center"/>
        <w:rPr>
          <w:rFonts w:asciiTheme="minorEastAsia" w:hAnsiTheme="minorEastAsia" w:cs="Arial"/>
          <w:sz w:val="24"/>
          <w:szCs w:val="24"/>
        </w:rPr>
      </w:pPr>
    </w:p>
    <w:p w:rsidR="000C660B" w:rsidRPr="002D1330" w:rsidRDefault="000C660B" w:rsidP="002D1330">
      <w:pPr>
        <w:adjustRightInd w:val="0"/>
        <w:snapToGrid w:val="0"/>
        <w:spacing w:line="360" w:lineRule="auto"/>
        <w:jc w:val="center"/>
        <w:rPr>
          <w:rFonts w:asciiTheme="minorEastAsia" w:hAnsiTheme="minorEastAsia" w:cs="Arial"/>
          <w:sz w:val="24"/>
          <w:szCs w:val="24"/>
        </w:rPr>
      </w:pPr>
    </w:p>
    <w:p w:rsidR="002D1330" w:rsidRDefault="004358DF" w:rsidP="002D1330">
      <w:pPr>
        <w:adjustRightInd w:val="0"/>
        <w:snapToGrid w:val="0"/>
        <w:spacing w:line="360" w:lineRule="auto"/>
        <w:jc w:val="center"/>
        <w:rPr>
          <w:rFonts w:asciiTheme="minorEastAsia" w:hAnsiTheme="minorEastAsia" w:cs="Arial"/>
          <w:b/>
          <w:sz w:val="44"/>
          <w:szCs w:val="24"/>
        </w:rPr>
      </w:pPr>
      <w:r w:rsidRPr="002D1330">
        <w:rPr>
          <w:rFonts w:asciiTheme="minorEastAsia" w:hAnsiTheme="minorEastAsia" w:cs="Arial" w:hint="eastAsia"/>
          <w:b/>
          <w:sz w:val="44"/>
          <w:szCs w:val="24"/>
        </w:rPr>
        <w:t>汇添富鑫泽定期开放债券型发起式</w:t>
      </w:r>
    </w:p>
    <w:p w:rsidR="000C660B" w:rsidRPr="002D1330" w:rsidRDefault="004358DF" w:rsidP="002D1330">
      <w:pPr>
        <w:adjustRightInd w:val="0"/>
        <w:snapToGrid w:val="0"/>
        <w:spacing w:line="360" w:lineRule="auto"/>
        <w:jc w:val="center"/>
        <w:rPr>
          <w:rFonts w:asciiTheme="minorEastAsia" w:hAnsiTheme="minorEastAsia" w:cs="Arial"/>
          <w:b/>
          <w:sz w:val="44"/>
          <w:szCs w:val="24"/>
        </w:rPr>
      </w:pPr>
      <w:r w:rsidRPr="002D1330">
        <w:rPr>
          <w:rFonts w:asciiTheme="minorEastAsia" w:hAnsiTheme="minorEastAsia" w:cs="Arial" w:hint="eastAsia"/>
          <w:b/>
          <w:sz w:val="44"/>
          <w:szCs w:val="24"/>
        </w:rPr>
        <w:t>证券投资基金</w:t>
      </w:r>
      <w:r w:rsidR="000C660B" w:rsidRPr="002D1330">
        <w:rPr>
          <w:rFonts w:asciiTheme="minorEastAsia" w:hAnsiTheme="minorEastAsia" w:cs="Arial" w:hint="eastAsia"/>
          <w:b/>
          <w:sz w:val="44"/>
          <w:szCs w:val="24"/>
        </w:rPr>
        <w:t>托管协议</w:t>
      </w:r>
    </w:p>
    <w:p w:rsidR="000C660B" w:rsidRPr="002D1330" w:rsidRDefault="000C660B"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Default="002D1330" w:rsidP="002D1330">
      <w:pPr>
        <w:spacing w:line="360" w:lineRule="auto"/>
        <w:rPr>
          <w:rFonts w:asciiTheme="minorEastAsia" w:hAnsiTheme="minorEastAsia" w:cs="Arial"/>
          <w:sz w:val="24"/>
          <w:szCs w:val="24"/>
        </w:rPr>
      </w:pPr>
    </w:p>
    <w:p w:rsidR="002D1330" w:rsidRPr="002D1330" w:rsidRDefault="002D1330" w:rsidP="002D1330">
      <w:pPr>
        <w:spacing w:line="360" w:lineRule="auto"/>
        <w:rPr>
          <w:rFonts w:asciiTheme="minorEastAsia" w:hAnsiTheme="minorEastAsia" w:cs="Arial"/>
          <w:sz w:val="24"/>
          <w:szCs w:val="24"/>
        </w:rPr>
      </w:pPr>
    </w:p>
    <w:p w:rsidR="00453694" w:rsidRPr="002D1330" w:rsidRDefault="00453694" w:rsidP="002D1330">
      <w:pPr>
        <w:spacing w:line="360" w:lineRule="auto"/>
        <w:rPr>
          <w:rFonts w:asciiTheme="minorEastAsia" w:hAnsiTheme="minorEastAsia" w:cs="Arial"/>
          <w:sz w:val="24"/>
          <w:szCs w:val="24"/>
        </w:rPr>
      </w:pPr>
    </w:p>
    <w:p w:rsidR="000C660B" w:rsidRPr="002D1330" w:rsidRDefault="000C660B" w:rsidP="002D1330">
      <w:pPr>
        <w:spacing w:line="360" w:lineRule="auto"/>
        <w:rPr>
          <w:rFonts w:asciiTheme="minorEastAsia" w:hAnsiTheme="minorEastAsia" w:cs="Arial"/>
          <w:sz w:val="24"/>
          <w:szCs w:val="24"/>
        </w:rPr>
      </w:pPr>
    </w:p>
    <w:p w:rsidR="000C660B" w:rsidRPr="002D1330" w:rsidRDefault="000C660B" w:rsidP="002D1330">
      <w:pPr>
        <w:adjustRightInd w:val="0"/>
        <w:snapToGrid w:val="0"/>
        <w:spacing w:line="360" w:lineRule="auto"/>
        <w:jc w:val="center"/>
        <w:outlineLvl w:val="0"/>
        <w:rPr>
          <w:rFonts w:asciiTheme="minorEastAsia" w:hAnsiTheme="minorEastAsia" w:cs="Arial"/>
          <w:b/>
          <w:bCs/>
          <w:sz w:val="36"/>
          <w:szCs w:val="24"/>
        </w:rPr>
      </w:pPr>
      <w:r w:rsidRPr="002D1330">
        <w:rPr>
          <w:rFonts w:asciiTheme="minorEastAsia" w:hAnsiTheme="minorEastAsia" w:cs="Arial" w:hint="eastAsia"/>
          <w:b/>
          <w:bCs/>
          <w:sz w:val="36"/>
          <w:szCs w:val="24"/>
        </w:rPr>
        <w:t>基金管理人：汇添富基金管理股份有限公司</w:t>
      </w:r>
    </w:p>
    <w:p w:rsidR="000C660B" w:rsidRPr="002D1330" w:rsidRDefault="000C660B" w:rsidP="002D1330">
      <w:pPr>
        <w:adjustRightInd w:val="0"/>
        <w:snapToGrid w:val="0"/>
        <w:spacing w:line="360" w:lineRule="auto"/>
        <w:jc w:val="center"/>
        <w:outlineLvl w:val="0"/>
        <w:rPr>
          <w:rFonts w:asciiTheme="minorEastAsia" w:hAnsiTheme="minorEastAsia" w:cs="Arial"/>
          <w:b/>
          <w:bCs/>
          <w:sz w:val="36"/>
          <w:szCs w:val="24"/>
        </w:rPr>
      </w:pPr>
      <w:r w:rsidRPr="002D1330">
        <w:rPr>
          <w:rFonts w:asciiTheme="minorEastAsia" w:hAnsiTheme="minorEastAsia" w:cs="Arial" w:hint="eastAsia"/>
          <w:b/>
          <w:bCs/>
          <w:sz w:val="36"/>
          <w:szCs w:val="24"/>
        </w:rPr>
        <w:t>基金托管人：中国建设银行股份有限公司</w:t>
      </w:r>
    </w:p>
    <w:p w:rsidR="000C660B" w:rsidRPr="002D1330" w:rsidRDefault="000C660B" w:rsidP="002D1330">
      <w:pPr>
        <w:spacing w:line="360" w:lineRule="auto"/>
        <w:rPr>
          <w:rFonts w:asciiTheme="minorEastAsia" w:hAnsiTheme="minorEastAsia" w:cs="Arial"/>
          <w:sz w:val="32"/>
          <w:szCs w:val="24"/>
        </w:rPr>
      </w:pPr>
    </w:p>
    <w:p w:rsidR="000C660B" w:rsidRPr="002D1330" w:rsidRDefault="000C660B" w:rsidP="002D1330">
      <w:pPr>
        <w:adjustRightInd w:val="0"/>
        <w:snapToGrid w:val="0"/>
        <w:spacing w:line="360" w:lineRule="auto"/>
        <w:jc w:val="center"/>
        <w:rPr>
          <w:rFonts w:asciiTheme="minorEastAsia" w:hAnsiTheme="minorEastAsia" w:cs="Arial"/>
          <w:bCs/>
          <w:sz w:val="24"/>
          <w:szCs w:val="24"/>
        </w:rPr>
        <w:sectPr w:rsidR="000C660B" w:rsidRPr="002D1330">
          <w:footerReference w:type="even" r:id="rId8"/>
          <w:footerReference w:type="default" r:id="rId9"/>
          <w:pgSz w:w="11906" w:h="16838" w:code="9"/>
          <w:pgMar w:top="1418" w:right="1701" w:bottom="1418" w:left="1701" w:header="851" w:footer="992" w:gutter="0"/>
          <w:cols w:space="425"/>
          <w:docGrid w:type="lines" w:linePitch="312"/>
        </w:sectPr>
      </w:pPr>
    </w:p>
    <w:p w:rsidR="000C660B" w:rsidRPr="002D1330" w:rsidRDefault="000C660B" w:rsidP="002D1330">
      <w:pPr>
        <w:spacing w:line="360" w:lineRule="auto"/>
        <w:jc w:val="center"/>
        <w:rPr>
          <w:rFonts w:asciiTheme="minorEastAsia" w:hAnsiTheme="minorEastAsia" w:cs="Times New Roman"/>
          <w:b/>
          <w:bCs/>
          <w:sz w:val="24"/>
          <w:szCs w:val="21"/>
        </w:rPr>
      </w:pPr>
      <w:r w:rsidRPr="002D1330">
        <w:rPr>
          <w:rFonts w:asciiTheme="minorEastAsia" w:hAnsiTheme="minorEastAsia" w:cs="Times New Roman" w:hint="eastAsia"/>
          <w:b/>
          <w:bCs/>
          <w:sz w:val="24"/>
          <w:szCs w:val="21"/>
        </w:rPr>
        <w:lastRenderedPageBreak/>
        <w:t>目    录</w:t>
      </w:r>
    </w:p>
    <w:p w:rsidR="000C660B" w:rsidRPr="002D1330" w:rsidRDefault="000C660B" w:rsidP="002D1330">
      <w:pPr>
        <w:tabs>
          <w:tab w:val="right" w:leader="dot" w:pos="8494"/>
        </w:tabs>
        <w:spacing w:line="360" w:lineRule="auto"/>
        <w:ind w:leftChars="200" w:left="420"/>
        <w:rPr>
          <w:rFonts w:asciiTheme="minorEastAsia" w:hAnsiTheme="minorEastAsia" w:cs="Times New Roman"/>
          <w:noProof/>
          <w:sz w:val="24"/>
          <w:szCs w:val="21"/>
        </w:rPr>
      </w:pPr>
      <w:r w:rsidRPr="002D1330">
        <w:rPr>
          <w:rFonts w:asciiTheme="minorEastAsia" w:hAnsiTheme="minorEastAsia" w:cs="Times New Roman" w:hint="eastAsia"/>
          <w:sz w:val="24"/>
          <w:szCs w:val="21"/>
        </w:rPr>
        <w:fldChar w:fldCharType="begin"/>
      </w:r>
      <w:r w:rsidRPr="002D1330">
        <w:rPr>
          <w:rFonts w:asciiTheme="minorEastAsia" w:hAnsiTheme="minorEastAsia" w:cs="Times New Roman" w:hint="eastAsia"/>
          <w:sz w:val="24"/>
          <w:szCs w:val="21"/>
        </w:rPr>
        <w:instrText xml:space="preserve"> TOC \o "1-2" \h \z </w:instrText>
      </w:r>
      <w:r w:rsidRPr="002D1330">
        <w:rPr>
          <w:rFonts w:asciiTheme="minorEastAsia" w:hAnsiTheme="minorEastAsia" w:cs="Times New Roman" w:hint="eastAsia"/>
          <w:sz w:val="24"/>
          <w:szCs w:val="21"/>
        </w:rPr>
        <w:fldChar w:fldCharType="separate"/>
      </w:r>
      <w:hyperlink w:anchor="_Toc124325885" w:history="1">
        <w:r w:rsidRPr="002D1330">
          <w:rPr>
            <w:rFonts w:asciiTheme="minorEastAsia" w:hAnsiTheme="minorEastAsia" w:cs="Times New Roman" w:hint="eastAsia"/>
            <w:noProof/>
            <w:sz w:val="24"/>
            <w:szCs w:val="21"/>
          </w:rPr>
          <w:t>一、基金托管协议当事人</w:t>
        </w:r>
        <w:r w:rsidRPr="002D1330">
          <w:rPr>
            <w:rFonts w:asciiTheme="minorEastAsia" w:hAnsiTheme="minorEastAsia" w:cs="Times New Roman" w:hint="eastAsia"/>
            <w:noProof/>
            <w:webHidden/>
            <w:sz w:val="24"/>
            <w:szCs w:val="21"/>
          </w:rPr>
          <w:tab/>
        </w:r>
        <w:r w:rsidRPr="002D1330">
          <w:rPr>
            <w:rFonts w:asciiTheme="minorEastAsia" w:hAnsiTheme="minorEastAsia" w:cs="Times New Roman" w:hint="eastAsia"/>
            <w:noProof/>
            <w:webHidden/>
            <w:sz w:val="24"/>
            <w:szCs w:val="21"/>
          </w:rPr>
          <w:fldChar w:fldCharType="begin"/>
        </w:r>
        <w:r w:rsidRPr="002D1330">
          <w:rPr>
            <w:rFonts w:asciiTheme="minorEastAsia" w:hAnsiTheme="minorEastAsia" w:cs="Times New Roman" w:hint="eastAsia"/>
            <w:noProof/>
            <w:webHidden/>
            <w:sz w:val="24"/>
            <w:szCs w:val="21"/>
          </w:rPr>
          <w:instrText xml:space="preserve"> PAGEREF _Toc124325885 \h </w:instrText>
        </w:r>
        <w:r w:rsidRPr="002D1330">
          <w:rPr>
            <w:rFonts w:asciiTheme="minorEastAsia" w:hAnsiTheme="minorEastAsia" w:cs="Times New Roman" w:hint="eastAsia"/>
            <w:noProof/>
            <w:webHidden/>
            <w:sz w:val="24"/>
            <w:szCs w:val="21"/>
          </w:rPr>
        </w:r>
        <w:r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1</w:t>
        </w:r>
        <w:r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86" w:history="1">
        <w:r w:rsidR="000C660B" w:rsidRPr="002D1330">
          <w:rPr>
            <w:rFonts w:asciiTheme="minorEastAsia" w:hAnsiTheme="minorEastAsia" w:cs="Times New Roman" w:hint="eastAsia"/>
            <w:noProof/>
            <w:sz w:val="24"/>
            <w:szCs w:val="21"/>
          </w:rPr>
          <w:t>二、基金托管协议的依据、目的和原则</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_Toc124325886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2</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87" w:history="1">
        <w:r w:rsidR="000C660B" w:rsidRPr="002D1330">
          <w:rPr>
            <w:rFonts w:asciiTheme="minorEastAsia" w:hAnsiTheme="minorEastAsia" w:cs="Times New Roman" w:hint="eastAsia"/>
            <w:noProof/>
            <w:sz w:val="24"/>
            <w:szCs w:val="21"/>
          </w:rPr>
          <w:t>三、基金托管人对基金管理人的业务监督和核查</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_Toc124325887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88" w:history="1">
        <w:r w:rsidR="000C660B" w:rsidRPr="002D1330">
          <w:rPr>
            <w:rFonts w:asciiTheme="minorEastAsia" w:hAnsiTheme="minorEastAsia" w:cs="Times New Roman" w:hint="eastAsia"/>
            <w:noProof/>
            <w:sz w:val="24"/>
            <w:szCs w:val="21"/>
          </w:rPr>
          <w:t>四、基金管理人对基金托管人的业务核查</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_Toc124325888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8</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89" w:history="1">
        <w:r w:rsidR="000C660B" w:rsidRPr="002D1330">
          <w:rPr>
            <w:rFonts w:asciiTheme="minorEastAsia" w:hAnsiTheme="minorEastAsia" w:cs="Times New Roman" w:hint="eastAsia"/>
            <w:noProof/>
            <w:sz w:val="24"/>
            <w:szCs w:val="21"/>
          </w:rPr>
          <w:t>五、基金财产的保管</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_Toc124325889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9</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0" w:history="1">
        <w:r w:rsidR="000C660B" w:rsidRPr="002D1330">
          <w:rPr>
            <w:rFonts w:asciiTheme="minorEastAsia" w:hAnsiTheme="minorEastAsia" w:cs="Times New Roman" w:hint="eastAsia"/>
            <w:noProof/>
            <w:sz w:val="24"/>
            <w:szCs w:val="21"/>
          </w:rPr>
          <w:t>六、指令的发送、确认及执行</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_Toc124325890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12</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1" w:history="1">
        <w:r w:rsidR="000C660B" w:rsidRPr="002D1330">
          <w:rPr>
            <w:rFonts w:asciiTheme="minorEastAsia" w:hAnsiTheme="minorEastAsia" w:cs="Times New Roman" w:hint="eastAsia"/>
            <w:noProof/>
            <w:sz w:val="24"/>
            <w:szCs w:val="21"/>
          </w:rPr>
          <w:t>七、交易及清算交收安排</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_Toc124325891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15</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2" w:history="1">
        <w:r w:rsidR="000C660B" w:rsidRPr="002D1330">
          <w:rPr>
            <w:rFonts w:asciiTheme="minorEastAsia" w:hAnsiTheme="minorEastAsia" w:cs="Times New Roman" w:hint="eastAsia"/>
            <w:noProof/>
            <w:sz w:val="24"/>
            <w:szCs w:val="21"/>
          </w:rPr>
          <w:t>八、基金资产净值计算和会计核算</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_Toc124325892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19</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3" w:history="1">
        <w:r w:rsidR="000C660B" w:rsidRPr="002D1330">
          <w:rPr>
            <w:rFonts w:asciiTheme="minorEastAsia" w:hAnsiTheme="minorEastAsia" w:cs="Times New Roman" w:hint="eastAsia"/>
            <w:noProof/>
            <w:sz w:val="24"/>
            <w:szCs w:val="21"/>
          </w:rPr>
          <w:t>九、基金收益分配</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_Toc124325893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25</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4" w:history="1">
        <w:r w:rsidR="000C660B" w:rsidRPr="002D1330">
          <w:rPr>
            <w:rFonts w:asciiTheme="minorEastAsia" w:hAnsiTheme="minorEastAsia" w:cs="Times New Roman" w:hint="eastAsia"/>
            <w:noProof/>
            <w:sz w:val="24"/>
            <w:szCs w:val="21"/>
          </w:rPr>
          <w:t>十、基金信息披露</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_Toc124325894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26</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5" w:history="1">
        <w:r w:rsidR="000C660B" w:rsidRPr="002D1330">
          <w:rPr>
            <w:rFonts w:asciiTheme="minorEastAsia" w:hAnsiTheme="minorEastAsia" w:cs="Times New Roman" w:hint="eastAsia"/>
            <w:noProof/>
            <w:sz w:val="24"/>
            <w:szCs w:val="21"/>
          </w:rPr>
          <w:t>十一、基金费用</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_Toc124325895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27</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6" w:history="1">
        <w:r w:rsidR="000C660B" w:rsidRPr="002D1330">
          <w:rPr>
            <w:rFonts w:asciiTheme="minorEastAsia" w:hAnsiTheme="minorEastAsia" w:cs="Times New Roman" w:hint="eastAsia"/>
            <w:noProof/>
            <w:sz w:val="24"/>
            <w:szCs w:val="21"/>
          </w:rPr>
          <w:t>十二、基金份额持有人名册的保管</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_Toc124325896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29</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7" w:history="1">
        <w:r w:rsidR="000C660B" w:rsidRPr="002D1330">
          <w:rPr>
            <w:rFonts w:asciiTheme="minorEastAsia" w:hAnsiTheme="minorEastAsia" w:cs="Times New Roman" w:hint="eastAsia"/>
            <w:noProof/>
            <w:sz w:val="24"/>
            <w:szCs w:val="21"/>
          </w:rPr>
          <w:t>十三、基金有关文件档案的保存</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_Toc124325897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30</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8" w:history="1">
        <w:r w:rsidR="000C660B" w:rsidRPr="002D1330">
          <w:rPr>
            <w:rFonts w:asciiTheme="minorEastAsia" w:hAnsiTheme="minorEastAsia" w:cs="Times New Roman" w:hint="eastAsia"/>
            <w:noProof/>
            <w:sz w:val="24"/>
            <w:szCs w:val="21"/>
          </w:rPr>
          <w:t>十四、基金管理人和基金托管人的更换</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_Toc124325898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30</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899" w:history="1">
        <w:r w:rsidR="000C660B" w:rsidRPr="002D1330">
          <w:rPr>
            <w:rFonts w:asciiTheme="minorEastAsia" w:hAnsiTheme="minorEastAsia" w:cs="Times New Roman" w:hint="eastAsia"/>
            <w:noProof/>
            <w:sz w:val="24"/>
            <w:szCs w:val="21"/>
          </w:rPr>
          <w:t>十五、禁止行为</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_Toc124325899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32</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900" w:history="1">
        <w:r w:rsidR="000C660B" w:rsidRPr="002D1330">
          <w:rPr>
            <w:rFonts w:asciiTheme="minorEastAsia" w:hAnsiTheme="minorEastAsia" w:cs="Times New Roman" w:hint="eastAsia"/>
            <w:noProof/>
            <w:sz w:val="24"/>
            <w:szCs w:val="21"/>
          </w:rPr>
          <w:t>十六、托管协议的变更、终止与基金财产的清算</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_Toc124325900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33</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901" w:history="1">
        <w:r w:rsidR="000C660B" w:rsidRPr="002D1330">
          <w:rPr>
            <w:rFonts w:asciiTheme="minorEastAsia" w:hAnsiTheme="minorEastAsia" w:cs="Times New Roman" w:hint="eastAsia"/>
            <w:noProof/>
            <w:sz w:val="24"/>
            <w:szCs w:val="21"/>
          </w:rPr>
          <w:t>十七、违约责任</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_Toc124325901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35</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902" w:history="1">
        <w:r w:rsidR="000C660B" w:rsidRPr="002D1330">
          <w:rPr>
            <w:rFonts w:asciiTheme="minorEastAsia" w:hAnsiTheme="minorEastAsia" w:cs="Times New Roman" w:hint="eastAsia"/>
            <w:noProof/>
            <w:sz w:val="24"/>
            <w:szCs w:val="21"/>
          </w:rPr>
          <w:t>十八、争议解决方式</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_Toc124325902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36</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903" w:history="1">
        <w:r w:rsidR="000C660B" w:rsidRPr="002D1330">
          <w:rPr>
            <w:rFonts w:asciiTheme="minorEastAsia" w:hAnsiTheme="minorEastAsia" w:cs="Times New Roman" w:hint="eastAsia"/>
            <w:noProof/>
            <w:sz w:val="24"/>
            <w:szCs w:val="21"/>
          </w:rPr>
          <w:t>十九、托管协议的效力</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_Toc124325903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36</w:t>
        </w:r>
        <w:r w:rsidR="000C660B" w:rsidRPr="002D1330">
          <w:rPr>
            <w:rFonts w:asciiTheme="minorEastAsia" w:hAnsiTheme="minorEastAsia" w:cs="Times New Roman" w:hint="eastAsia"/>
            <w:noProof/>
            <w:webHidden/>
            <w:sz w:val="24"/>
            <w:szCs w:val="21"/>
          </w:rPr>
          <w:fldChar w:fldCharType="end"/>
        </w:r>
      </w:hyperlink>
    </w:p>
    <w:p w:rsidR="000C660B"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pPr>
      <w:hyperlink w:anchor="_Toc124325904" w:history="1">
        <w:r w:rsidR="000C660B" w:rsidRPr="002D1330">
          <w:rPr>
            <w:rFonts w:asciiTheme="minorEastAsia" w:hAnsiTheme="minorEastAsia" w:cs="Times New Roman" w:hint="eastAsia"/>
            <w:noProof/>
            <w:sz w:val="24"/>
            <w:szCs w:val="21"/>
          </w:rPr>
          <w:t>二十、其他事项</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_Toc124325904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37</w:t>
        </w:r>
        <w:r w:rsidR="000C660B" w:rsidRPr="002D1330">
          <w:rPr>
            <w:rFonts w:asciiTheme="minorEastAsia" w:hAnsiTheme="minorEastAsia" w:cs="Times New Roman" w:hint="eastAsia"/>
            <w:noProof/>
            <w:webHidden/>
            <w:sz w:val="24"/>
            <w:szCs w:val="21"/>
          </w:rPr>
          <w:fldChar w:fldCharType="end"/>
        </w:r>
      </w:hyperlink>
    </w:p>
    <w:p w:rsidR="000F2074" w:rsidRPr="002D1330" w:rsidRDefault="00C0082A" w:rsidP="002D1330">
      <w:pPr>
        <w:tabs>
          <w:tab w:val="right" w:leader="dot" w:pos="8494"/>
        </w:tabs>
        <w:spacing w:line="360" w:lineRule="auto"/>
        <w:ind w:leftChars="200" w:left="420"/>
        <w:rPr>
          <w:rFonts w:asciiTheme="minorEastAsia" w:hAnsiTheme="minorEastAsia" w:cs="Times New Roman"/>
          <w:noProof/>
          <w:sz w:val="24"/>
          <w:szCs w:val="21"/>
        </w:rPr>
        <w:sectPr w:rsidR="000F2074" w:rsidRPr="002D1330" w:rsidSect="000F2074">
          <w:headerReference w:type="default" r:id="rId10"/>
          <w:footerReference w:type="default" r:id="rId11"/>
          <w:pgSz w:w="11906" w:h="16838" w:code="9"/>
          <w:pgMar w:top="1418" w:right="1701" w:bottom="1418" w:left="1701" w:header="851" w:footer="992" w:gutter="0"/>
          <w:pgNumType w:start="1"/>
          <w:cols w:space="425"/>
          <w:docGrid w:type="lines" w:linePitch="312"/>
        </w:sectPr>
      </w:pPr>
      <w:hyperlink w:anchor="_Toc124325905" w:history="1">
        <w:r w:rsidR="000C660B" w:rsidRPr="002D1330">
          <w:rPr>
            <w:rFonts w:asciiTheme="minorEastAsia" w:hAnsiTheme="minorEastAsia" w:cs="Times New Roman" w:hint="eastAsia"/>
            <w:noProof/>
            <w:sz w:val="24"/>
            <w:szCs w:val="21"/>
          </w:rPr>
          <w:t>二十一、托管协议的签订</w:t>
        </w:r>
        <w:r w:rsidR="000C660B" w:rsidRPr="002D1330">
          <w:rPr>
            <w:rFonts w:asciiTheme="minorEastAsia" w:hAnsiTheme="minorEastAsia" w:cs="Times New Roman" w:hint="eastAsia"/>
            <w:noProof/>
            <w:webHidden/>
            <w:sz w:val="24"/>
            <w:szCs w:val="21"/>
          </w:rPr>
          <w:tab/>
        </w:r>
        <w:r w:rsidR="000C660B" w:rsidRPr="002D1330">
          <w:rPr>
            <w:rFonts w:asciiTheme="minorEastAsia" w:hAnsiTheme="minorEastAsia" w:cs="Times New Roman" w:hint="eastAsia"/>
            <w:noProof/>
            <w:webHidden/>
            <w:sz w:val="24"/>
            <w:szCs w:val="21"/>
          </w:rPr>
          <w:fldChar w:fldCharType="begin"/>
        </w:r>
        <w:r w:rsidR="000C660B" w:rsidRPr="002D1330">
          <w:rPr>
            <w:rFonts w:asciiTheme="minorEastAsia" w:hAnsiTheme="minorEastAsia" w:cs="Times New Roman" w:hint="eastAsia"/>
            <w:noProof/>
            <w:webHidden/>
            <w:sz w:val="24"/>
            <w:szCs w:val="21"/>
          </w:rPr>
          <w:instrText xml:space="preserve"> PAGEREF _Toc124325905 \h </w:instrText>
        </w:r>
        <w:r w:rsidR="000C660B" w:rsidRPr="002D1330">
          <w:rPr>
            <w:rFonts w:asciiTheme="minorEastAsia" w:hAnsiTheme="minorEastAsia" w:cs="Times New Roman" w:hint="eastAsia"/>
            <w:noProof/>
            <w:webHidden/>
            <w:sz w:val="24"/>
            <w:szCs w:val="21"/>
          </w:rPr>
        </w:r>
        <w:r w:rsidR="000C660B" w:rsidRPr="002D1330">
          <w:rPr>
            <w:rFonts w:asciiTheme="minorEastAsia" w:hAnsiTheme="minorEastAsia" w:cs="Times New Roman" w:hint="eastAsia"/>
            <w:noProof/>
            <w:webHidden/>
            <w:sz w:val="24"/>
            <w:szCs w:val="21"/>
          </w:rPr>
          <w:fldChar w:fldCharType="separate"/>
        </w:r>
        <w:r w:rsidR="002D1330">
          <w:rPr>
            <w:rFonts w:asciiTheme="minorEastAsia" w:hAnsiTheme="minorEastAsia" w:cs="Times New Roman"/>
            <w:noProof/>
            <w:webHidden/>
            <w:sz w:val="24"/>
            <w:szCs w:val="21"/>
          </w:rPr>
          <w:t>37</w:t>
        </w:r>
        <w:r w:rsidR="000C660B" w:rsidRPr="002D1330">
          <w:rPr>
            <w:rFonts w:asciiTheme="minorEastAsia" w:hAnsiTheme="minorEastAsia" w:cs="Times New Roman" w:hint="eastAsia"/>
            <w:noProof/>
            <w:webHidden/>
            <w:sz w:val="24"/>
            <w:szCs w:val="21"/>
          </w:rPr>
          <w:fldChar w:fldCharType="end"/>
        </w:r>
      </w:hyperlink>
    </w:p>
    <w:p w:rsidR="000C660B" w:rsidRPr="002D1330" w:rsidRDefault="000C660B" w:rsidP="002D1330">
      <w:pPr>
        <w:spacing w:line="360" w:lineRule="auto"/>
        <w:rPr>
          <w:rFonts w:asciiTheme="minorEastAsia" w:hAnsiTheme="minorEastAsia" w:cs="Times New Roman"/>
          <w:sz w:val="24"/>
          <w:szCs w:val="24"/>
        </w:rPr>
      </w:pPr>
      <w:r w:rsidRPr="002D1330">
        <w:rPr>
          <w:rFonts w:asciiTheme="minorEastAsia" w:hAnsiTheme="minorEastAsia" w:cs="Times New Roman" w:hint="eastAsia"/>
          <w:sz w:val="24"/>
          <w:szCs w:val="21"/>
        </w:rPr>
        <w:lastRenderedPageBreak/>
        <w:fldChar w:fldCharType="end"/>
      </w:r>
    </w:p>
    <w:p w:rsidR="000C660B" w:rsidRPr="002D1330" w:rsidRDefault="000C660B" w:rsidP="002D1330">
      <w:pPr>
        <w:widowControl/>
        <w:adjustRightInd w:val="0"/>
        <w:snapToGrid w:val="0"/>
        <w:spacing w:line="360" w:lineRule="auto"/>
        <w:ind w:firstLineChars="200" w:firstLine="480"/>
        <w:rPr>
          <w:rFonts w:asciiTheme="minorEastAsia" w:hAnsiTheme="minorEastAsia" w:cs="Arial"/>
          <w:kern w:val="0"/>
          <w:sz w:val="24"/>
          <w:szCs w:val="24"/>
        </w:rPr>
      </w:pPr>
      <w:r w:rsidRPr="002D1330">
        <w:rPr>
          <w:rFonts w:asciiTheme="minorEastAsia" w:hAnsiTheme="minorEastAsia" w:cs="Arial" w:hint="eastAsia"/>
          <w:kern w:val="0"/>
          <w:sz w:val="24"/>
          <w:szCs w:val="24"/>
        </w:rPr>
        <w:t>鉴于汇添富基金管理股份有限公司系一家依照中国法律合法成立并有效存续的股份有限公司，按照相关法律法规的规定具备担任基金管理人的资格和能力，拟募集发行</w:t>
      </w:r>
      <w:r w:rsidR="004358DF" w:rsidRPr="002D1330">
        <w:rPr>
          <w:rFonts w:asciiTheme="minorEastAsia" w:hAnsiTheme="minorEastAsia" w:cs="Arial" w:hint="eastAsia"/>
          <w:kern w:val="0"/>
          <w:sz w:val="24"/>
          <w:szCs w:val="24"/>
        </w:rPr>
        <w:t>汇添富鑫泽定期开放债券型发起式证券投资基金</w:t>
      </w:r>
      <w:r w:rsidRPr="002D1330">
        <w:rPr>
          <w:rFonts w:asciiTheme="minorEastAsia" w:hAnsiTheme="minorEastAsia" w:cs="Arial" w:hint="eastAsia"/>
          <w:kern w:val="0"/>
          <w:sz w:val="24"/>
          <w:szCs w:val="24"/>
        </w:rPr>
        <w:t>；</w:t>
      </w:r>
    </w:p>
    <w:p w:rsidR="000C660B" w:rsidRPr="002D1330" w:rsidRDefault="000C660B" w:rsidP="002D1330">
      <w:pPr>
        <w:widowControl/>
        <w:adjustRightInd w:val="0"/>
        <w:snapToGrid w:val="0"/>
        <w:spacing w:line="360" w:lineRule="auto"/>
        <w:ind w:firstLineChars="200" w:firstLine="480"/>
        <w:rPr>
          <w:rFonts w:asciiTheme="minorEastAsia" w:hAnsiTheme="minorEastAsia" w:cs="Arial"/>
          <w:kern w:val="0"/>
          <w:sz w:val="24"/>
          <w:szCs w:val="24"/>
        </w:rPr>
      </w:pPr>
      <w:r w:rsidRPr="002D1330">
        <w:rPr>
          <w:rFonts w:asciiTheme="minorEastAsia" w:hAnsiTheme="minorEastAsia" w:cs="Arial" w:hint="eastAsia"/>
          <w:kern w:val="0"/>
          <w:sz w:val="24"/>
          <w:szCs w:val="24"/>
        </w:rPr>
        <w:t>鉴于中国建设银行股份有限公司系一家依照中国法律合法成立并有效存续的银行，按照相关法律法规的规定具备担任基金托管人的资格和能力；</w:t>
      </w:r>
    </w:p>
    <w:p w:rsidR="000C660B" w:rsidRPr="002D1330" w:rsidRDefault="000C660B" w:rsidP="002D1330">
      <w:pPr>
        <w:widowControl/>
        <w:adjustRightInd w:val="0"/>
        <w:snapToGrid w:val="0"/>
        <w:spacing w:line="360" w:lineRule="auto"/>
        <w:ind w:firstLineChars="200" w:firstLine="480"/>
        <w:rPr>
          <w:rFonts w:asciiTheme="minorEastAsia" w:hAnsiTheme="minorEastAsia" w:cs="Arial"/>
          <w:kern w:val="0"/>
          <w:sz w:val="24"/>
          <w:szCs w:val="24"/>
        </w:rPr>
      </w:pPr>
      <w:r w:rsidRPr="002D1330">
        <w:rPr>
          <w:rFonts w:asciiTheme="minorEastAsia" w:hAnsiTheme="minorEastAsia" w:cs="Arial" w:hint="eastAsia"/>
          <w:kern w:val="0"/>
          <w:sz w:val="24"/>
          <w:szCs w:val="24"/>
        </w:rPr>
        <w:t>鉴于汇添富基金管理股份有限公司拟担任</w:t>
      </w:r>
      <w:r w:rsidR="004358DF" w:rsidRPr="002D1330">
        <w:rPr>
          <w:rFonts w:asciiTheme="minorEastAsia" w:hAnsiTheme="minorEastAsia" w:cs="Arial" w:hint="eastAsia"/>
          <w:kern w:val="0"/>
          <w:sz w:val="24"/>
          <w:szCs w:val="24"/>
        </w:rPr>
        <w:t>汇添富鑫泽定期开放债券型发起式证券投资基金</w:t>
      </w:r>
      <w:r w:rsidRPr="002D1330">
        <w:rPr>
          <w:rFonts w:asciiTheme="minorEastAsia" w:hAnsiTheme="minorEastAsia" w:cs="Arial" w:hint="eastAsia"/>
          <w:kern w:val="0"/>
          <w:sz w:val="24"/>
          <w:szCs w:val="24"/>
        </w:rPr>
        <w:t>的基金管理人，中国建设银行股份有限公司拟担任</w:t>
      </w:r>
      <w:r w:rsidR="004358DF" w:rsidRPr="002D1330">
        <w:rPr>
          <w:rFonts w:asciiTheme="minorEastAsia" w:hAnsiTheme="minorEastAsia" w:cs="Arial" w:hint="eastAsia"/>
          <w:kern w:val="0"/>
          <w:sz w:val="24"/>
          <w:szCs w:val="24"/>
        </w:rPr>
        <w:t>汇添富鑫泽定期开放债券型发起式证券投资基金</w:t>
      </w:r>
      <w:r w:rsidRPr="002D1330">
        <w:rPr>
          <w:rFonts w:asciiTheme="minorEastAsia" w:hAnsiTheme="minorEastAsia" w:cs="Arial" w:hint="eastAsia"/>
          <w:kern w:val="0"/>
          <w:sz w:val="24"/>
          <w:szCs w:val="24"/>
        </w:rPr>
        <w:t>的基金托管人；</w:t>
      </w:r>
    </w:p>
    <w:p w:rsidR="000C660B" w:rsidRPr="002D1330" w:rsidRDefault="000C660B" w:rsidP="002D1330">
      <w:pPr>
        <w:widowControl/>
        <w:adjustRightInd w:val="0"/>
        <w:snapToGrid w:val="0"/>
        <w:spacing w:line="360" w:lineRule="auto"/>
        <w:ind w:firstLineChars="200" w:firstLine="480"/>
        <w:rPr>
          <w:rFonts w:asciiTheme="minorEastAsia" w:hAnsiTheme="minorEastAsia" w:cs="Arial"/>
          <w:kern w:val="0"/>
          <w:sz w:val="24"/>
          <w:szCs w:val="24"/>
        </w:rPr>
      </w:pPr>
      <w:r w:rsidRPr="002D1330">
        <w:rPr>
          <w:rFonts w:asciiTheme="minorEastAsia" w:hAnsiTheme="minorEastAsia" w:cs="Arial" w:hint="eastAsia"/>
          <w:kern w:val="0"/>
          <w:sz w:val="24"/>
          <w:szCs w:val="24"/>
        </w:rPr>
        <w:t>为明确</w:t>
      </w:r>
      <w:r w:rsidR="004358DF" w:rsidRPr="002D1330">
        <w:rPr>
          <w:rFonts w:asciiTheme="minorEastAsia" w:hAnsiTheme="minorEastAsia" w:cs="Arial" w:hint="eastAsia"/>
          <w:kern w:val="0"/>
          <w:sz w:val="24"/>
          <w:szCs w:val="24"/>
        </w:rPr>
        <w:t>汇添富鑫泽定期开放债券型发起式证券投资基金</w:t>
      </w:r>
      <w:r w:rsidRPr="002D1330">
        <w:rPr>
          <w:rFonts w:asciiTheme="minorEastAsia" w:hAnsiTheme="minorEastAsia" w:cs="Arial" w:hint="eastAsia"/>
          <w:kern w:val="0"/>
          <w:sz w:val="24"/>
          <w:szCs w:val="24"/>
        </w:rPr>
        <w:t>的基金管理人和基金托管人之间的权利义务关系，特制订本托管协议；</w:t>
      </w:r>
    </w:p>
    <w:p w:rsidR="000C660B" w:rsidRPr="002D1330" w:rsidRDefault="000C660B" w:rsidP="002D1330">
      <w:pPr>
        <w:widowControl/>
        <w:adjustRightInd w:val="0"/>
        <w:snapToGrid w:val="0"/>
        <w:spacing w:line="360" w:lineRule="auto"/>
        <w:ind w:firstLineChars="200" w:firstLine="480"/>
        <w:rPr>
          <w:rFonts w:asciiTheme="minorEastAsia" w:hAnsiTheme="minorEastAsia" w:cs="Arial"/>
          <w:kern w:val="0"/>
          <w:sz w:val="24"/>
          <w:szCs w:val="24"/>
          <w:lang w:val="en-GB"/>
        </w:rPr>
      </w:pPr>
      <w:r w:rsidRPr="002D1330">
        <w:rPr>
          <w:rFonts w:asciiTheme="minorEastAsia" w:hAnsiTheme="minorEastAsia" w:cs="Arial" w:hint="eastAsia"/>
          <w:kern w:val="0"/>
          <w:sz w:val="24"/>
          <w:szCs w:val="24"/>
          <w:lang w:val="en-GB"/>
        </w:rPr>
        <w:t>除非另有约定，《</w:t>
      </w:r>
      <w:r w:rsidR="004358DF" w:rsidRPr="002D1330">
        <w:rPr>
          <w:rFonts w:asciiTheme="minorEastAsia" w:hAnsiTheme="minorEastAsia" w:cs="Arial" w:hint="eastAsia"/>
          <w:kern w:val="0"/>
          <w:sz w:val="24"/>
          <w:szCs w:val="24"/>
        </w:rPr>
        <w:t>汇添富鑫泽定期开放债券型发起式证券投资基金</w:t>
      </w:r>
      <w:r w:rsidRPr="002D1330">
        <w:rPr>
          <w:rFonts w:asciiTheme="minorEastAsia" w:hAnsiTheme="minorEastAsia" w:cs="Arial" w:hint="eastAsia"/>
          <w:kern w:val="0"/>
          <w:sz w:val="24"/>
          <w:szCs w:val="24"/>
          <w:lang w:val="en-GB"/>
        </w:rPr>
        <w:t>基金合同》(以下简称“基金合同”)中定义的术语在用于本托管协议时应具有相同的含义；若有抵触应以《基金合同》为准，并依其</w:t>
      </w:r>
      <w:r w:rsidRPr="002D1330">
        <w:rPr>
          <w:rFonts w:asciiTheme="minorEastAsia" w:hAnsiTheme="minorEastAsia" w:cs="Arial" w:hint="eastAsia"/>
          <w:kern w:val="0"/>
          <w:sz w:val="24"/>
          <w:szCs w:val="24"/>
        </w:rPr>
        <w:t>条款</w:t>
      </w:r>
      <w:r w:rsidRPr="002D1330">
        <w:rPr>
          <w:rFonts w:asciiTheme="minorEastAsia" w:hAnsiTheme="minorEastAsia" w:cs="Arial" w:hint="eastAsia"/>
          <w:kern w:val="0"/>
          <w:sz w:val="24"/>
          <w:szCs w:val="24"/>
          <w:lang w:val="en-GB"/>
        </w:rPr>
        <w:t>解释。</w:t>
      </w:r>
    </w:p>
    <w:p w:rsidR="000C660B" w:rsidRPr="002D1330" w:rsidRDefault="000C660B" w:rsidP="002D1330">
      <w:pPr>
        <w:spacing w:line="360" w:lineRule="auto"/>
        <w:rPr>
          <w:rFonts w:asciiTheme="minorEastAsia" w:hAnsiTheme="minorEastAsia" w:cs="Times New Roman"/>
          <w:sz w:val="24"/>
          <w:szCs w:val="24"/>
          <w:lang w:val="en-GB"/>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2"/>
          <w:szCs w:val="20"/>
        </w:rPr>
      </w:pPr>
      <w:bookmarkStart w:id="0" w:name="_Toc124325885"/>
      <w:r w:rsidRPr="002D1330">
        <w:rPr>
          <w:rFonts w:asciiTheme="minorEastAsia" w:hAnsiTheme="minorEastAsia" w:cs="Times New Roman" w:hint="eastAsia"/>
          <w:b/>
          <w:sz w:val="32"/>
          <w:szCs w:val="20"/>
        </w:rPr>
        <w:t>一、基金托管协议当事人</w:t>
      </w:r>
      <w:bookmarkEnd w:id="0"/>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（一）基金管理人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名称：汇添富基金管理股份有限公司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注册地址：上海市黄浦区大沽路288号6幢538室</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办公地址：上海市富城路99号震旦国际大楼</w:t>
      </w:r>
      <w:r w:rsidR="003E162B">
        <w:rPr>
          <w:rFonts w:asciiTheme="minorEastAsia" w:hAnsiTheme="minorEastAsia" w:cs="Arial"/>
          <w:sz w:val="24"/>
          <w:szCs w:val="24"/>
        </w:rPr>
        <w:t>21-23</w:t>
      </w:r>
      <w:bookmarkStart w:id="1" w:name="_GoBack"/>
      <w:bookmarkEnd w:id="1"/>
      <w:r w:rsidRPr="002D1330">
        <w:rPr>
          <w:rFonts w:asciiTheme="minorEastAsia" w:hAnsiTheme="minorEastAsia" w:cs="Arial" w:hint="eastAsia"/>
          <w:sz w:val="24"/>
          <w:szCs w:val="24"/>
        </w:rPr>
        <w:t>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邮政编码：</w:t>
      </w:r>
      <w:r w:rsidRPr="002D1330">
        <w:rPr>
          <w:rFonts w:asciiTheme="minorEastAsia" w:hAnsiTheme="minorEastAsia" w:cs="Arial"/>
          <w:sz w:val="24"/>
          <w:szCs w:val="24"/>
        </w:rPr>
        <w:t>200120</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法定代表人：李文</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成立日期：2005年2月3日</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批准设立机关及批准设立文号：中国证监会证监基金字[2005]5号</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组织形式：股份有限公司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注册资本：</w:t>
      </w:r>
      <w:r w:rsidR="004358DF" w:rsidRPr="002D1330">
        <w:rPr>
          <w:rFonts w:asciiTheme="minorEastAsia" w:hAnsiTheme="minorEastAsia" w:cs="Arial" w:hint="eastAsia"/>
          <w:sz w:val="24"/>
          <w:szCs w:val="24"/>
        </w:rPr>
        <w:t>人民币132,724,224元</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存续期间：持续经营</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经营范围：基金管理业务、发起设立基金及中国证券监督管理委员会批准的</w:t>
      </w:r>
      <w:r w:rsidRPr="002D1330">
        <w:rPr>
          <w:rFonts w:asciiTheme="minorEastAsia" w:hAnsiTheme="minorEastAsia" w:cs="Arial" w:hint="eastAsia"/>
          <w:sz w:val="24"/>
          <w:szCs w:val="24"/>
        </w:rPr>
        <w:lastRenderedPageBreak/>
        <w:t>其他业务</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（二）基金托管人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名称：中国建设银行股份有限公司(简称：中国建设银行)</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住所：北京市西城区金融大街25号</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办公地址：北京市西城区闹市口大街1号院1号楼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邮政编码：100033</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法定代表人：</w:t>
      </w:r>
      <w:r w:rsidR="005568B2" w:rsidRPr="002D1330">
        <w:rPr>
          <w:rFonts w:asciiTheme="minorEastAsia" w:hAnsiTheme="minorEastAsia" w:cs="Arial" w:hint="eastAsia"/>
          <w:sz w:val="24"/>
          <w:szCs w:val="24"/>
        </w:rPr>
        <w:t>田国立</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2D1330">
          <w:rPr>
            <w:rFonts w:asciiTheme="minorEastAsia" w:hAnsiTheme="minorEastAsia" w:cs="Arial" w:hint="eastAsia"/>
            <w:sz w:val="24"/>
            <w:szCs w:val="24"/>
          </w:rPr>
          <w:t>2004年09月17日</w:t>
        </w:r>
      </w:smartTag>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基金托管业务批准文号：</w:t>
      </w:r>
      <w:bookmarkStart w:id="2" w:name="OLE_LINK2"/>
      <w:bookmarkStart w:id="3" w:name="OLE_LINK4"/>
      <w:r w:rsidRPr="002D1330">
        <w:rPr>
          <w:rFonts w:asciiTheme="minorEastAsia" w:hAnsiTheme="minorEastAsia" w:cs="Arial" w:hint="eastAsia"/>
          <w:sz w:val="24"/>
          <w:szCs w:val="24"/>
        </w:rPr>
        <w:t>中国证监会证监基字[1998</w:t>
      </w:r>
      <w:bookmarkStart w:id="4" w:name="OLE_LINK3"/>
      <w:r w:rsidRPr="002D1330">
        <w:rPr>
          <w:rFonts w:asciiTheme="minorEastAsia" w:hAnsiTheme="minorEastAsia" w:cs="Arial" w:hint="eastAsia"/>
          <w:sz w:val="24"/>
          <w:szCs w:val="24"/>
        </w:rPr>
        <w:t>]</w:t>
      </w:r>
      <w:bookmarkEnd w:id="4"/>
      <w:r w:rsidRPr="002D1330">
        <w:rPr>
          <w:rFonts w:asciiTheme="minorEastAsia" w:hAnsiTheme="minorEastAsia" w:cs="Arial" w:hint="eastAsia"/>
          <w:sz w:val="24"/>
          <w:szCs w:val="24"/>
        </w:rPr>
        <w:t>12号</w:t>
      </w:r>
      <w:bookmarkEnd w:id="2"/>
      <w:bookmarkEnd w:id="3"/>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组织形式：股份有限公司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注册资本：</w:t>
      </w:r>
      <w:r w:rsidRPr="002D1330">
        <w:rPr>
          <w:rFonts w:asciiTheme="minorEastAsia" w:hAnsiTheme="minorEastAsia" w:cs="Times New Roman" w:hint="eastAsia"/>
          <w:sz w:val="24"/>
          <w:szCs w:val="24"/>
        </w:rPr>
        <w:t>贰仟伍佰亿壹仟零玖拾柒万柒仟肆佰捌拾陆元整</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存续期间：持续经营</w:t>
      </w:r>
    </w:p>
    <w:p w:rsidR="000C660B" w:rsidRPr="002D1330" w:rsidRDefault="000C660B" w:rsidP="002D1330">
      <w:pPr>
        <w:tabs>
          <w:tab w:val="left" w:pos="540"/>
        </w:tabs>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C660B" w:rsidRPr="002D1330" w:rsidRDefault="000C660B" w:rsidP="002D1330">
      <w:pPr>
        <w:spacing w:line="360" w:lineRule="auto"/>
        <w:rPr>
          <w:rFonts w:asciiTheme="minorEastAsia" w:hAnsiTheme="minorEastAsia" w:cs="Times New Roman"/>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5" w:name="_Toc124325886"/>
      <w:r w:rsidRPr="002D1330">
        <w:rPr>
          <w:rFonts w:asciiTheme="minorEastAsia" w:hAnsiTheme="minorEastAsia" w:cs="Times New Roman" w:hint="eastAsia"/>
          <w:b/>
          <w:sz w:val="30"/>
          <w:szCs w:val="20"/>
        </w:rPr>
        <w:t>二、基金托管协议的依据、目的和原则</w:t>
      </w:r>
      <w:bookmarkEnd w:id="5"/>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30"/>
        </w:rPr>
      </w:pPr>
      <w:r w:rsidRPr="002D1330">
        <w:rPr>
          <w:rFonts w:asciiTheme="minorEastAsia" w:hAnsiTheme="minorEastAsia" w:cs="Arial" w:hint="eastAsia"/>
          <w:sz w:val="24"/>
          <w:szCs w:val="24"/>
        </w:rPr>
        <w:t>（一）订立托管协议的依据</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本协议依据《中华人民共和国证券投资基金法》(以下简称“《基金法》”)等有关法律法规、《基金合同》及其他有关规定制订。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（二）订立托管协议的目的</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30"/>
        </w:rPr>
      </w:pPr>
      <w:r w:rsidRPr="002D1330">
        <w:rPr>
          <w:rFonts w:asciiTheme="minorEastAsia" w:hAnsiTheme="minorEastAsia"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（三）订立托管协议的原则</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基金管理人和基金托管人本着平等自愿、诚实信用、充分保护基金份额持有</w:t>
      </w:r>
      <w:r w:rsidRPr="002D1330">
        <w:rPr>
          <w:rFonts w:asciiTheme="minorEastAsia" w:hAnsiTheme="minorEastAsia" w:cs="Arial" w:hint="eastAsia"/>
          <w:sz w:val="24"/>
          <w:szCs w:val="24"/>
        </w:rPr>
        <w:lastRenderedPageBreak/>
        <w:t>人合法权益的原则，经协商一致，签订本协议。</w:t>
      </w:r>
    </w:p>
    <w:p w:rsidR="000C660B" w:rsidRPr="002D1330" w:rsidRDefault="000C660B" w:rsidP="002D1330">
      <w:pPr>
        <w:spacing w:line="360" w:lineRule="auto"/>
        <w:rPr>
          <w:rFonts w:asciiTheme="minorEastAsia" w:hAnsiTheme="minorEastAsia" w:cs="Times New Roman"/>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4"/>
        </w:rPr>
      </w:pPr>
      <w:bookmarkStart w:id="6" w:name="_Toc124325887"/>
      <w:r w:rsidRPr="002D1330">
        <w:rPr>
          <w:rFonts w:asciiTheme="minorEastAsia" w:hAnsiTheme="minorEastAsia" w:cs="Times New Roman" w:hint="eastAsia"/>
          <w:b/>
          <w:sz w:val="30"/>
          <w:szCs w:val="20"/>
        </w:rPr>
        <w:t>三、基金托管人对基金管理人的业务监督和核查</w:t>
      </w:r>
      <w:bookmarkEnd w:id="6"/>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本基金将投资于以下金融工具：</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投资于具有良好流动性的金融工具，包括国债、金融债、政府支持债券、政府支持机构债券、地方政府债、企业债、公司债、央行票据、中期票据、短期融资券、超短期融资券、资产支持证券、次级债、中小企业私募债券、可转换债券</w:t>
      </w:r>
      <w:r w:rsidR="00D43CEF" w:rsidRPr="002D1330">
        <w:rPr>
          <w:rFonts w:asciiTheme="minorEastAsia" w:hAnsiTheme="minorEastAsia" w:cs="Arial" w:hint="eastAsia"/>
          <w:sz w:val="24"/>
          <w:szCs w:val="24"/>
        </w:rPr>
        <w:t>、</w:t>
      </w:r>
      <w:r w:rsidR="001E601F" w:rsidRPr="002D1330">
        <w:rPr>
          <w:rFonts w:asciiTheme="minorEastAsia" w:hAnsiTheme="minorEastAsia" w:cs="Arial" w:hint="eastAsia"/>
          <w:sz w:val="24"/>
          <w:szCs w:val="24"/>
        </w:rPr>
        <w:t>可交换公司债券</w:t>
      </w:r>
      <w:r w:rsidRPr="002D1330">
        <w:rPr>
          <w:rFonts w:asciiTheme="minorEastAsia" w:hAnsiTheme="minorEastAsia" w:cs="Arial" w:hint="eastAsia"/>
          <w:sz w:val="24"/>
          <w:szCs w:val="24"/>
        </w:rPr>
        <w:t>、可分离交易债券、债券回购、同业存单、货币市场工具、银行存款等固定收益类品种，国债期货以及法律法规或中国证监会允许基金投资的其它金融工具，但须符合中国证监会的相关规定。</w:t>
      </w:r>
    </w:p>
    <w:p w:rsidR="000C660B" w:rsidRPr="002D1330" w:rsidRDefault="004358DF"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本基金不投资股票或权证，因持有可转换债券和可交换公司债券所得的股票、因所持股票派发的权证以及因投资可分离债券而产生的权证，应当在其可上市交易后10个交易日内卖出。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如法律法规或监管机构以后允许基金投资其他品种，基金管理人在履行适当程序后，可以将其纳入投资范围。</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本基金各类资产的投资比例为：本基金投资于债券资产的比例不低于基金资产的 80%</w:t>
      </w:r>
      <w:r w:rsidR="004358DF" w:rsidRPr="002D1330">
        <w:rPr>
          <w:rFonts w:asciiTheme="minorEastAsia" w:hAnsiTheme="minorEastAsia" w:cs="Arial" w:hint="eastAsia"/>
          <w:sz w:val="24"/>
          <w:szCs w:val="24"/>
        </w:rPr>
        <w:t>，在每个开放期的前1</w:t>
      </w:r>
      <w:r w:rsidR="003C569D" w:rsidRPr="002D1330">
        <w:rPr>
          <w:rFonts w:asciiTheme="minorEastAsia" w:hAnsiTheme="minorEastAsia" w:cs="Arial" w:hint="eastAsia"/>
          <w:sz w:val="24"/>
          <w:szCs w:val="24"/>
        </w:rPr>
        <w:t>0</w:t>
      </w:r>
      <w:r w:rsidR="004358DF" w:rsidRPr="002D1330">
        <w:rPr>
          <w:rFonts w:asciiTheme="minorEastAsia" w:hAnsiTheme="minorEastAsia" w:cs="Arial" w:hint="eastAsia"/>
          <w:sz w:val="24"/>
          <w:szCs w:val="24"/>
        </w:rPr>
        <w:t>个工作日和后1</w:t>
      </w:r>
      <w:r w:rsidR="003C569D" w:rsidRPr="002D1330">
        <w:rPr>
          <w:rFonts w:asciiTheme="minorEastAsia" w:hAnsiTheme="minorEastAsia" w:cs="Arial" w:hint="eastAsia"/>
          <w:sz w:val="24"/>
          <w:szCs w:val="24"/>
        </w:rPr>
        <w:t>0</w:t>
      </w:r>
      <w:r w:rsidR="004358DF" w:rsidRPr="002D1330">
        <w:rPr>
          <w:rFonts w:asciiTheme="minorEastAsia" w:hAnsiTheme="minorEastAsia" w:cs="Arial" w:hint="eastAsia"/>
          <w:sz w:val="24"/>
          <w:szCs w:val="24"/>
        </w:rPr>
        <w:t>个工作日以及开放期期间不受前述投资组合比例的限制。开放期每个交易日日终，在扣除国债期货合约需缴纳的交易保证金后，本基金持有的现金或到期日在一年以内的政府债券不低于基金资产净值的5%；封闭期内持有现金或者到期日在一年以内的政府债券占基金资产净值的比例不受</w:t>
      </w:r>
      <w:r w:rsidR="008D7418" w:rsidRPr="002D1330">
        <w:rPr>
          <w:rFonts w:asciiTheme="minorEastAsia" w:hAnsiTheme="minorEastAsia" w:cs="Arial" w:hint="eastAsia"/>
          <w:sz w:val="24"/>
          <w:szCs w:val="24"/>
        </w:rPr>
        <w:t>上述</w:t>
      </w:r>
      <w:r w:rsidR="004358DF" w:rsidRPr="002D1330">
        <w:rPr>
          <w:rFonts w:asciiTheme="minorEastAsia" w:hAnsiTheme="minorEastAsia" w:cs="Arial" w:hint="eastAsia"/>
          <w:sz w:val="24"/>
          <w:szCs w:val="24"/>
        </w:rPr>
        <w:t>限制，但每个交易日日终在扣除国债期货合约需缴纳的交易保证金后，应当保持不低于交易保证金一倍的现金</w:t>
      </w:r>
      <w:r w:rsidR="001B590B" w:rsidRPr="002D1330">
        <w:rPr>
          <w:rFonts w:asciiTheme="minorEastAsia" w:hAnsiTheme="minorEastAsia" w:cs="Arial" w:hint="eastAsia"/>
          <w:sz w:val="24"/>
          <w:szCs w:val="24"/>
        </w:rPr>
        <w:t>；</w:t>
      </w:r>
      <w:r w:rsidR="001B590B" w:rsidRPr="002D1330">
        <w:rPr>
          <w:rFonts w:asciiTheme="minorEastAsia" w:hAnsiTheme="minorEastAsia" w:cs="Arial" w:hint="eastAsia"/>
          <w:bCs/>
          <w:sz w:val="24"/>
          <w:szCs w:val="24"/>
        </w:rPr>
        <w:t>本基金所指的现金类资产范围不包括结算备付金、存出保证金、应收申购款等资金类别，法律法规另有规定</w:t>
      </w:r>
      <w:r w:rsidR="001B590B" w:rsidRPr="002D1330">
        <w:rPr>
          <w:rFonts w:asciiTheme="minorEastAsia" w:hAnsiTheme="minorEastAsia" w:cs="Arial" w:hint="eastAsia"/>
          <w:bCs/>
          <w:sz w:val="24"/>
          <w:szCs w:val="24"/>
        </w:rPr>
        <w:lastRenderedPageBreak/>
        <w:t>的从其规定</w:t>
      </w:r>
      <w:r w:rsidR="004358DF" w:rsidRPr="002D1330">
        <w:rPr>
          <w:rFonts w:asciiTheme="minorEastAsia" w:hAnsiTheme="minorEastAsia" w:cs="Arial" w:hint="eastAsia"/>
          <w:sz w:val="24"/>
          <w:szCs w:val="24"/>
        </w:rPr>
        <w:t>。</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（二）基金托管人根据有关法律法规的规定及《基金合同》的约定，对基金投资比例进行监督。基金托管人按下述比例和调整期限进行监督：</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1）本基金投资于债券资产的比例不低于基金资产的 80%</w:t>
      </w:r>
      <w:r w:rsidR="004358DF" w:rsidRPr="002D1330">
        <w:rPr>
          <w:rFonts w:asciiTheme="minorEastAsia" w:hAnsiTheme="minorEastAsia" w:cs="Times New Roman" w:hint="eastAsia"/>
          <w:sz w:val="24"/>
          <w:szCs w:val="24"/>
        </w:rPr>
        <w:t>，在每个开放期的前1</w:t>
      </w:r>
      <w:r w:rsidR="003C569D" w:rsidRPr="002D1330">
        <w:rPr>
          <w:rFonts w:asciiTheme="minorEastAsia" w:hAnsiTheme="minorEastAsia" w:cs="Times New Roman" w:hint="eastAsia"/>
          <w:sz w:val="24"/>
          <w:szCs w:val="24"/>
        </w:rPr>
        <w:t>0</w:t>
      </w:r>
      <w:r w:rsidR="004358DF" w:rsidRPr="002D1330">
        <w:rPr>
          <w:rFonts w:asciiTheme="minorEastAsia" w:hAnsiTheme="minorEastAsia" w:cs="Times New Roman" w:hint="eastAsia"/>
          <w:sz w:val="24"/>
          <w:szCs w:val="24"/>
        </w:rPr>
        <w:t>个工作日和后1</w:t>
      </w:r>
      <w:r w:rsidR="003C569D" w:rsidRPr="002D1330">
        <w:rPr>
          <w:rFonts w:asciiTheme="minorEastAsia" w:hAnsiTheme="minorEastAsia" w:cs="Times New Roman" w:hint="eastAsia"/>
          <w:sz w:val="24"/>
          <w:szCs w:val="24"/>
        </w:rPr>
        <w:t>0</w:t>
      </w:r>
      <w:r w:rsidR="004358DF" w:rsidRPr="002D1330">
        <w:rPr>
          <w:rFonts w:asciiTheme="minorEastAsia" w:hAnsiTheme="minorEastAsia" w:cs="Times New Roman" w:hint="eastAsia"/>
          <w:sz w:val="24"/>
          <w:szCs w:val="24"/>
        </w:rPr>
        <w:t>个工作日以及开放期期间不受前述投资组合比例的限制</w:t>
      </w:r>
      <w:r w:rsidRPr="002D1330">
        <w:rPr>
          <w:rFonts w:asciiTheme="minorEastAsia" w:hAnsiTheme="minorEastAsia" w:cs="Times New Roman" w:hint="eastAsia"/>
          <w:sz w:val="24"/>
          <w:szCs w:val="24"/>
        </w:rPr>
        <w:t>；</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2）</w:t>
      </w:r>
      <w:r w:rsidR="004358DF" w:rsidRPr="002D1330">
        <w:rPr>
          <w:rFonts w:asciiTheme="minorEastAsia" w:hAnsiTheme="minorEastAsia" w:cs="Times New Roman" w:hint="eastAsia"/>
          <w:sz w:val="24"/>
          <w:szCs w:val="24"/>
        </w:rPr>
        <w:t>开放期每个交易日日终，在扣除国债期货合约需缴纳的交易保证金后，本基金持有的现金或到期日在一年以内的政府债券不低于基金资产净值的5%；封闭期内持有现金或者到期日在一年以内的政府债券占基金资产净值的比例不受</w:t>
      </w:r>
      <w:r w:rsidR="008D7418" w:rsidRPr="002D1330">
        <w:rPr>
          <w:rFonts w:asciiTheme="minorEastAsia" w:hAnsiTheme="minorEastAsia" w:cs="Times New Roman" w:hint="eastAsia"/>
          <w:sz w:val="24"/>
          <w:szCs w:val="24"/>
        </w:rPr>
        <w:t>上述</w:t>
      </w:r>
      <w:r w:rsidR="004358DF" w:rsidRPr="002D1330">
        <w:rPr>
          <w:rFonts w:asciiTheme="minorEastAsia" w:hAnsiTheme="minorEastAsia" w:cs="Times New Roman" w:hint="eastAsia"/>
          <w:sz w:val="24"/>
          <w:szCs w:val="24"/>
        </w:rPr>
        <w:t>限制，但每个交易日日终在扣除国债期货合约需缴纳的交易保证金后，应当保持不低于交易保证金一倍的现金</w:t>
      </w:r>
      <w:r w:rsidR="009F7741" w:rsidRPr="002D1330">
        <w:rPr>
          <w:rFonts w:asciiTheme="minorEastAsia" w:hAnsiTheme="minorEastAsia" w:cs="Arial" w:hint="eastAsia"/>
          <w:sz w:val="24"/>
          <w:szCs w:val="24"/>
        </w:rPr>
        <w:t>；</w:t>
      </w:r>
      <w:r w:rsidR="009F7741" w:rsidRPr="002D1330">
        <w:rPr>
          <w:rFonts w:asciiTheme="minorEastAsia" w:hAnsiTheme="minorEastAsia" w:cs="Arial" w:hint="eastAsia"/>
          <w:bCs/>
          <w:sz w:val="24"/>
          <w:szCs w:val="24"/>
        </w:rPr>
        <w:t>本基金所指的现金类资产范围不包括结算备付金、存出保证金、应收申购款等资金类别，法律法规另有规定的从其规定</w:t>
      </w:r>
      <w:r w:rsidR="004358DF" w:rsidRPr="002D1330">
        <w:rPr>
          <w:rFonts w:asciiTheme="minorEastAsia" w:hAnsiTheme="minorEastAsia" w:cs="Times New Roman" w:hint="eastAsia"/>
          <w:sz w:val="24"/>
          <w:szCs w:val="24"/>
        </w:rPr>
        <w:t>；</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3）本基金持有一家公司发行的证券，其市值不超过基金资产净值的10％；</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4）本基金管理人管理且由本基金托管人托管的全部基金持有一家公司发行的证券，不超过该证券的10％；</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5）本基金持有的全部权证，其市值不得超过基金资产净值的3％；</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6）本基金管理人管理且由本基金托管人托管的全部基金持有的同一权证，不得超过该权证的10％；</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7）本基金投资于同一原始权益人的各类资产支持证券的比例，不得超过基金资产净值的10％；</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8）本基金持有的全部资产支持证券，其市值不得超过基金资产净值的20％；</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9）本基金持有的同一（指同一信用级别）资产支持证券的比例，不得超过该资产支持证券规模的10％；</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10）本基金管理人管理且由本基金托管人托管的全部基金投资于同一原始权益人的各类资产支持证券，不得超过其各类资产支持证券合计规模的10％；</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11）本基金应投资于信用级别评级为BBB以上（含BBB）的资产支持证券。基金持有资产支持证券期间，如果其信用等级下降、不再符合投资标准，应在评级报告发布之日起3个月内予以全部卖出；</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12）本基金持有单只中小企业私募债券，其市值不得超过本基金资产净值的10%</w:t>
      </w:r>
      <w:r w:rsidR="004358DF" w:rsidRPr="002D1330">
        <w:rPr>
          <w:rFonts w:asciiTheme="minorEastAsia" w:hAnsiTheme="minorEastAsia" w:cs="Times New Roman" w:hint="eastAsia"/>
          <w:sz w:val="24"/>
          <w:szCs w:val="24"/>
        </w:rPr>
        <w:t>，且其剩余期限不得超过本基金的剩余封闭运作期</w:t>
      </w:r>
      <w:r w:rsidRPr="002D1330">
        <w:rPr>
          <w:rFonts w:asciiTheme="minorEastAsia" w:hAnsiTheme="minorEastAsia" w:cs="Times New Roman" w:hint="eastAsia"/>
          <w:sz w:val="24"/>
          <w:szCs w:val="24"/>
        </w:rPr>
        <w:t>；</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13）本基金进入全国银行间同业市场进行债券回购的资金余额不得超过基金</w:t>
      </w:r>
      <w:r w:rsidRPr="002D1330">
        <w:rPr>
          <w:rFonts w:asciiTheme="minorEastAsia" w:hAnsiTheme="minorEastAsia" w:cs="Times New Roman" w:hint="eastAsia"/>
          <w:sz w:val="24"/>
          <w:szCs w:val="24"/>
        </w:rPr>
        <w:lastRenderedPageBreak/>
        <w:t>资产净值的40%；本基金进入全国银行间同业市场进行债券回购的最长期限为1年，债券回购到期后不得展期；</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14）</w:t>
      </w:r>
      <w:r w:rsidR="004358DF" w:rsidRPr="002D1330">
        <w:rPr>
          <w:rFonts w:asciiTheme="minorEastAsia" w:hAnsiTheme="minorEastAsia" w:cs="Times New Roman" w:hint="eastAsia"/>
          <w:sz w:val="24"/>
          <w:szCs w:val="24"/>
        </w:rPr>
        <w:t>封闭期内，本基金的基金资产总值不得超过基金资产净值的200%；开放期内，本基金的基金资产总值不得超过基金资产净值的140%</w:t>
      </w:r>
      <w:r w:rsidRPr="002D1330">
        <w:rPr>
          <w:rFonts w:asciiTheme="minorEastAsia" w:hAnsiTheme="minorEastAsia" w:cs="Times New Roman" w:hint="eastAsia"/>
          <w:sz w:val="24"/>
          <w:szCs w:val="24"/>
        </w:rPr>
        <w:t>；</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15）在任何交易日日终，本基金持有的买入国债期货合约价值，不得超过基金资产净值的15%；在任何交易日日终，本基金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F118F6" w:rsidRPr="002D1330" w:rsidRDefault="001738D5" w:rsidP="002D1330">
      <w:pPr>
        <w:adjustRightInd w:val="0"/>
        <w:snapToGrid w:val="0"/>
        <w:spacing w:line="360" w:lineRule="auto"/>
        <w:ind w:firstLineChars="200" w:firstLine="480"/>
        <w:rPr>
          <w:rFonts w:asciiTheme="minorEastAsia" w:hAnsiTheme="minorEastAsia" w:cs="Times New Roman"/>
          <w:bCs/>
          <w:sz w:val="24"/>
          <w:szCs w:val="24"/>
        </w:rPr>
      </w:pPr>
      <w:r w:rsidRPr="002D1330">
        <w:rPr>
          <w:rFonts w:asciiTheme="minorEastAsia" w:hAnsiTheme="minorEastAsia" w:cs="Times New Roman" w:hint="eastAsia"/>
          <w:bCs/>
          <w:sz w:val="24"/>
          <w:szCs w:val="24"/>
        </w:rPr>
        <w:t>16）</w:t>
      </w:r>
      <w:r w:rsidR="00F118F6" w:rsidRPr="002D1330">
        <w:rPr>
          <w:rFonts w:asciiTheme="minorEastAsia" w:hAnsiTheme="minorEastAsia" w:cs="Times New Roman" w:hint="eastAsia"/>
          <w:bCs/>
          <w:sz w:val="24"/>
          <w:szCs w:val="24"/>
        </w:rPr>
        <w:t>开放期内，本基金</w:t>
      </w:r>
      <w:r w:rsidR="00DD3EF4" w:rsidRPr="002D1330">
        <w:rPr>
          <w:rFonts w:asciiTheme="minorEastAsia" w:hAnsiTheme="minorEastAsia" w:cs="Times New Roman" w:hint="eastAsia"/>
          <w:bCs/>
          <w:sz w:val="24"/>
          <w:szCs w:val="24"/>
        </w:rPr>
        <w:t>主动</w:t>
      </w:r>
      <w:r w:rsidR="00F118F6" w:rsidRPr="002D1330">
        <w:rPr>
          <w:rFonts w:asciiTheme="minorEastAsia" w:hAnsiTheme="minorEastAsia" w:cs="Times New Roman" w:hint="eastAsia"/>
          <w:bCs/>
          <w:sz w:val="24"/>
          <w:szCs w:val="24"/>
        </w:rPr>
        <w:t>投资流动性受限资产的市值合计不得超过本基金基金资产净值的15%；因证券市场波动、上市公司停牌、基金规模变动等基金管理人之外的因素致使基金投资比例不符合上述投资比例限制的，基金管理人不得主动新增流动性受限资产的投资，法律法规另有规定的，从其规定；</w:t>
      </w:r>
    </w:p>
    <w:p w:rsidR="00534025" w:rsidRPr="002D1330" w:rsidRDefault="001738D5" w:rsidP="002D1330">
      <w:pPr>
        <w:adjustRightInd w:val="0"/>
        <w:snapToGrid w:val="0"/>
        <w:spacing w:line="360" w:lineRule="auto"/>
        <w:ind w:firstLineChars="200" w:firstLine="480"/>
        <w:rPr>
          <w:rFonts w:asciiTheme="minorEastAsia" w:hAnsiTheme="minorEastAsia" w:cs="Times New Roman"/>
          <w:bCs/>
          <w:sz w:val="24"/>
          <w:szCs w:val="24"/>
        </w:rPr>
      </w:pPr>
      <w:r w:rsidRPr="002D1330">
        <w:rPr>
          <w:rFonts w:asciiTheme="minorEastAsia" w:hAnsiTheme="minorEastAsia" w:cs="Times New Roman" w:hint="eastAsia"/>
          <w:bCs/>
          <w:sz w:val="24"/>
          <w:szCs w:val="24"/>
        </w:rPr>
        <w:t>17）</w:t>
      </w:r>
      <w:r w:rsidR="00DD3EF4" w:rsidRPr="002D1330">
        <w:rPr>
          <w:rFonts w:asciiTheme="minorEastAsia" w:hAnsiTheme="minorEastAsia" w:cs="Times New Roman" w:hint="eastAsia"/>
          <w:bCs/>
          <w:sz w:val="24"/>
          <w:szCs w:val="24"/>
        </w:rPr>
        <w:t>本基金管理人管理</w:t>
      </w:r>
      <w:r w:rsidR="00BA3B6E" w:rsidRPr="002D1330">
        <w:rPr>
          <w:rFonts w:asciiTheme="minorEastAsia" w:hAnsiTheme="minorEastAsia" w:cs="Times New Roman" w:hint="eastAsia"/>
          <w:sz w:val="24"/>
          <w:szCs w:val="24"/>
        </w:rPr>
        <w:t>且由本基金托管人托管</w:t>
      </w:r>
      <w:r w:rsidR="00DD3EF4" w:rsidRPr="002D1330">
        <w:rPr>
          <w:rFonts w:asciiTheme="minorEastAsia" w:hAnsiTheme="minorEastAsia" w:cs="Times New Roman" w:hint="eastAsia"/>
          <w:bCs/>
          <w:sz w:val="24"/>
          <w:szCs w:val="24"/>
        </w:rPr>
        <w:t>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w:t>
      </w:r>
      <w:r w:rsidR="00BA3B6E" w:rsidRPr="002D1330">
        <w:rPr>
          <w:rFonts w:asciiTheme="minorEastAsia" w:hAnsiTheme="minorEastAsia" w:cs="Times New Roman" w:hint="eastAsia"/>
          <w:sz w:val="24"/>
          <w:szCs w:val="24"/>
        </w:rPr>
        <w:t>且由同一基金托管人托管</w:t>
      </w:r>
      <w:r w:rsidR="00DD3EF4" w:rsidRPr="002D1330">
        <w:rPr>
          <w:rFonts w:asciiTheme="minorEastAsia" w:hAnsiTheme="minorEastAsia" w:cs="Times New Roman" w:hint="eastAsia"/>
          <w:bCs/>
          <w:sz w:val="24"/>
          <w:szCs w:val="24"/>
        </w:rPr>
        <w:t>的全部投资组合持有一家上市公司发行的可流通股票，不得超过该上市公司可流通股票的30%；</w:t>
      </w:r>
    </w:p>
    <w:p w:rsidR="00A33205" w:rsidRPr="002D1330" w:rsidRDefault="00A33205" w:rsidP="002D1330">
      <w:pPr>
        <w:adjustRightInd w:val="0"/>
        <w:snapToGrid w:val="0"/>
        <w:spacing w:line="360" w:lineRule="auto"/>
        <w:ind w:firstLineChars="200" w:firstLine="480"/>
        <w:rPr>
          <w:rFonts w:asciiTheme="minorEastAsia" w:hAnsiTheme="minorEastAsia" w:cs="Times New Roman"/>
          <w:bCs/>
          <w:sz w:val="24"/>
          <w:szCs w:val="24"/>
        </w:rPr>
      </w:pPr>
      <w:r w:rsidRPr="002D1330">
        <w:rPr>
          <w:rFonts w:asciiTheme="minorEastAsia" w:hAnsiTheme="minorEastAsia" w:cs="Times New Roman" w:hint="eastAsia"/>
          <w:bCs/>
          <w:sz w:val="24"/>
          <w:szCs w:val="24"/>
        </w:rPr>
        <w:t>18）本基金与私募类证券资管产品及中国证监会认定的其他主体为交易对手方开展逆回购交易的，可接受质押品的资质要求应当与本基金合同约定的投资范围保持一致；</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法律法规或监管部门取消或变更上述限制，如适用于本基金，基金管理人在履行适当程序后，则本基金投资不再受相关限制或以变更以后的规定为准。</w:t>
      </w:r>
    </w:p>
    <w:p w:rsidR="000C660B" w:rsidRPr="002D1330" w:rsidRDefault="000C660B" w:rsidP="002D1330">
      <w:pPr>
        <w:adjustRightInd w:val="0"/>
        <w:snapToGrid w:val="0"/>
        <w:spacing w:line="360" w:lineRule="auto"/>
        <w:ind w:firstLineChars="200" w:firstLine="480"/>
        <w:rPr>
          <w:rFonts w:asciiTheme="minorEastAsia" w:hAnsiTheme="minorEastAsia" w:cs="Times New Roman"/>
          <w:i/>
          <w:sz w:val="24"/>
          <w:szCs w:val="24"/>
        </w:rPr>
      </w:pPr>
      <w:r w:rsidRPr="002D1330">
        <w:rPr>
          <w:rFonts w:asciiTheme="minorEastAsia" w:hAnsiTheme="minorEastAsia" w:cs="Times New Roman" w:hint="eastAsia"/>
          <w:sz w:val="24"/>
          <w:szCs w:val="24"/>
        </w:rPr>
        <w:t>除上述第</w:t>
      </w:r>
      <w:r w:rsidR="00276662" w:rsidRPr="002D1330">
        <w:rPr>
          <w:rFonts w:asciiTheme="minorEastAsia" w:hAnsiTheme="minorEastAsia" w:cs="Times New Roman" w:hint="eastAsia"/>
          <w:sz w:val="24"/>
          <w:szCs w:val="24"/>
        </w:rPr>
        <w:t>2）、</w:t>
      </w:r>
      <w:r w:rsidRPr="002D1330">
        <w:rPr>
          <w:rFonts w:asciiTheme="minorEastAsia" w:hAnsiTheme="minorEastAsia" w:cs="Times New Roman" w:hint="eastAsia"/>
          <w:sz w:val="24"/>
          <w:szCs w:val="24"/>
        </w:rPr>
        <w:t>11）</w:t>
      </w:r>
      <w:r w:rsidR="00276662" w:rsidRPr="002D1330">
        <w:rPr>
          <w:rFonts w:asciiTheme="minorEastAsia" w:hAnsiTheme="minorEastAsia" w:cs="Times New Roman" w:hint="eastAsia"/>
          <w:sz w:val="24"/>
          <w:szCs w:val="24"/>
        </w:rPr>
        <w:t>、16）</w:t>
      </w:r>
      <w:r w:rsidR="000D57EE" w:rsidRPr="002D1330">
        <w:rPr>
          <w:rFonts w:asciiTheme="minorEastAsia" w:hAnsiTheme="minorEastAsia" w:cs="Times New Roman" w:hint="eastAsia"/>
          <w:sz w:val="24"/>
          <w:szCs w:val="24"/>
        </w:rPr>
        <w:t>、18）</w:t>
      </w:r>
      <w:r w:rsidRPr="002D1330">
        <w:rPr>
          <w:rFonts w:asciiTheme="minorEastAsia" w:hAnsiTheme="minorEastAsia" w:cs="Times New Roman" w:hint="eastAsia"/>
          <w:sz w:val="24"/>
          <w:szCs w:val="24"/>
        </w:rPr>
        <w:t>条以外，由于证券/期货市场波动、证券发行人合并或基金规模变动等基金管理人之外的原因导致投资组合不符合上述约定的比例，基金管理人应在10个交易日内进行调整，但中国证监会规定的特殊情形除外。法律法规另有规定的从其规定。</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本基金在开始进行国债期货投资之前，基金管理人应与基金托管人、期货公</w:t>
      </w:r>
      <w:r w:rsidRPr="002D1330">
        <w:rPr>
          <w:rFonts w:asciiTheme="minorEastAsia" w:hAnsiTheme="minorEastAsia" w:cs="Times New Roman" w:hint="eastAsia"/>
          <w:sz w:val="24"/>
          <w:szCs w:val="24"/>
        </w:rPr>
        <w:lastRenderedPageBreak/>
        <w:t>司三方共同就国债期货开户、清算、估值、交收等事宜另行签署《期货投资托管操作三方备忘录》。</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（三）基金托管人</w:t>
      </w:r>
      <w:bookmarkStart w:id="7" w:name="OLE_LINK1"/>
      <w:r w:rsidRPr="002D1330">
        <w:rPr>
          <w:rFonts w:asciiTheme="minorEastAsia" w:hAnsiTheme="minorEastAsia" w:cs="Arial" w:hint="eastAsia"/>
          <w:sz w:val="24"/>
          <w:szCs w:val="24"/>
        </w:rPr>
        <w:t>根据有关法律法规的规定及《基金合同》的约定，</w:t>
      </w:r>
      <w:bookmarkEnd w:id="7"/>
      <w:r w:rsidRPr="002D1330">
        <w:rPr>
          <w:rFonts w:asciiTheme="minorEastAsia" w:hAnsiTheme="minorEastAsia" w:cs="Arial" w:hint="eastAsia"/>
          <w:sz w:val="24"/>
          <w:szCs w:val="24"/>
        </w:rPr>
        <w:t>对本托管协议第十五条第九款基金投资禁止行为通过事后监督方式进行监督。</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rsidR="000C660B" w:rsidRPr="002D1330" w:rsidRDefault="000C660B" w:rsidP="002D1330">
      <w:pPr>
        <w:adjustRightInd w:val="0"/>
        <w:snapToGrid w:val="0"/>
        <w:spacing w:line="360" w:lineRule="auto"/>
        <w:ind w:firstLineChars="200" w:firstLine="480"/>
        <w:rPr>
          <w:rFonts w:asciiTheme="minorEastAsia" w:hAnsiTheme="minorEastAsia" w:cs="Arial"/>
          <w:szCs w:val="24"/>
        </w:rPr>
      </w:pPr>
      <w:r w:rsidRPr="002D1330">
        <w:rPr>
          <w:rFonts w:asciiTheme="minorEastAsia" w:hAnsiTheme="minorEastAsia"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C660B" w:rsidRPr="002D1330" w:rsidRDefault="000C660B" w:rsidP="002D1330">
      <w:pPr>
        <w:adjustRightInd w:val="0"/>
        <w:snapToGrid w:val="0"/>
        <w:spacing w:line="360" w:lineRule="auto"/>
        <w:ind w:firstLineChars="200" w:firstLine="480"/>
        <w:rPr>
          <w:rFonts w:asciiTheme="minorEastAsia" w:hAnsiTheme="minorEastAsia" w:cs="Arial"/>
          <w:color w:val="000000"/>
          <w:sz w:val="24"/>
          <w:szCs w:val="24"/>
        </w:rPr>
      </w:pPr>
      <w:r w:rsidRPr="002D1330">
        <w:rPr>
          <w:rFonts w:asciiTheme="minorEastAsia" w:hAnsiTheme="minorEastAsia" w:cs="Arial" w:hint="eastAsia"/>
          <w:color w:val="000000"/>
          <w:sz w:val="24"/>
          <w:szCs w:val="24"/>
        </w:rPr>
        <w:t>基金管理人负责对交易对手的资信控制，按银行间债券市场的交易规则进行交易，并</w:t>
      </w:r>
      <w:r w:rsidRPr="002D1330">
        <w:rPr>
          <w:rFonts w:asciiTheme="minorEastAsia" w:hAnsiTheme="minorEastAsia"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2D1330">
        <w:rPr>
          <w:rFonts w:asciiTheme="minorEastAsia" w:hAnsiTheme="minorEastAsia" w:cs="Times New Roman" w:hint="eastAsia"/>
          <w:sz w:val="24"/>
          <w:szCs w:val="24"/>
        </w:rPr>
        <w:lastRenderedPageBreak/>
        <w:t>相应损失先行予以承担，然后再向相关交易对手追偿。</w:t>
      </w:r>
      <w:r w:rsidRPr="002D1330">
        <w:rPr>
          <w:rFonts w:asciiTheme="minorEastAsia" w:hAnsiTheme="minorEastAsia"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3483F" w:rsidRPr="002D1330" w:rsidRDefault="009B7B30" w:rsidP="002D1330">
      <w:pPr>
        <w:adjustRightInd w:val="0"/>
        <w:snapToGrid w:val="0"/>
        <w:spacing w:line="360" w:lineRule="auto"/>
        <w:ind w:firstLineChars="200" w:firstLine="480"/>
        <w:rPr>
          <w:rFonts w:asciiTheme="minorEastAsia" w:hAnsiTheme="minorEastAsia" w:cs="Arial"/>
          <w:color w:val="000000"/>
          <w:sz w:val="24"/>
          <w:szCs w:val="24"/>
        </w:rPr>
      </w:pPr>
      <w:r w:rsidRPr="002D1330">
        <w:rPr>
          <w:rFonts w:asciiTheme="minorEastAsia" w:hAnsiTheme="minorEastAsia" w:cs="Arial" w:hint="eastAsia"/>
          <w:color w:val="000000"/>
          <w:sz w:val="24"/>
          <w:szCs w:val="24"/>
        </w:rPr>
        <w:t>（五</w:t>
      </w:r>
      <w:r w:rsidR="0083483F" w:rsidRPr="002D1330">
        <w:rPr>
          <w:rFonts w:asciiTheme="minorEastAsia" w:hAnsiTheme="minorEastAsia" w:cs="Arial" w:hint="eastAsia"/>
          <w:color w:val="000000"/>
          <w:sz w:val="24"/>
          <w:szCs w:val="24"/>
        </w:rPr>
        <w:t>）基金托管人根据有关法律法规的规定及基金合同的约定，对基金投资流动性受限资产进行监督。</w:t>
      </w:r>
    </w:p>
    <w:p w:rsidR="0083483F" w:rsidRPr="002D1330" w:rsidRDefault="0083483F" w:rsidP="002D1330">
      <w:pPr>
        <w:adjustRightInd w:val="0"/>
        <w:snapToGrid w:val="0"/>
        <w:spacing w:line="360" w:lineRule="auto"/>
        <w:ind w:firstLineChars="200" w:firstLine="480"/>
        <w:rPr>
          <w:rFonts w:asciiTheme="minorEastAsia" w:hAnsiTheme="minorEastAsia" w:cs="Arial"/>
          <w:color w:val="000000"/>
          <w:sz w:val="24"/>
          <w:szCs w:val="24"/>
        </w:rPr>
      </w:pPr>
      <w:r w:rsidRPr="002D1330">
        <w:rPr>
          <w:rFonts w:asciiTheme="minorEastAsia" w:hAnsiTheme="minorEastAsia" w:cs="Arial" w:hint="eastAsia"/>
          <w:color w:val="000000"/>
          <w:sz w:val="24"/>
          <w:szCs w:val="24"/>
        </w:rPr>
        <w:t>流动性受限资产是指由于法律法规、监管、合同或操作障碍等原因无法以合理价格予以变现的资产，包括但不限于到期日在10个交易日以上的逆回购与银行定期存款（含协议约定有条件提前支取的银行存款）、停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rsidR="0083483F" w:rsidRPr="002D1330" w:rsidRDefault="0083483F" w:rsidP="002D1330">
      <w:pPr>
        <w:adjustRightInd w:val="0"/>
        <w:snapToGrid w:val="0"/>
        <w:spacing w:line="360" w:lineRule="auto"/>
        <w:ind w:firstLineChars="200" w:firstLine="480"/>
        <w:rPr>
          <w:rFonts w:asciiTheme="minorEastAsia" w:hAnsiTheme="minorEastAsia" w:cs="Arial"/>
          <w:color w:val="000000"/>
          <w:sz w:val="24"/>
          <w:szCs w:val="24"/>
        </w:rPr>
      </w:pPr>
      <w:r w:rsidRPr="002D1330">
        <w:rPr>
          <w:rFonts w:asciiTheme="minorEastAsia" w:hAnsiTheme="minorEastAsia" w:cs="Arial" w:hint="eastAsia"/>
          <w:color w:val="000000"/>
          <w:sz w:val="24"/>
          <w:szCs w:val="24"/>
        </w:rPr>
        <w:t>基金管理人投资流动性受限资产，应事先根据中国证监会相关规定，明确基金投资流动性受限资产的比例，防范流动性风险、法律风险和操作风险等各种风险。基金托管人对基金管理人是否遵守相关投资额度和比例等的情况进行监督。</w:t>
      </w:r>
    </w:p>
    <w:p w:rsidR="0083483F" w:rsidRPr="002D1330" w:rsidRDefault="0083483F" w:rsidP="002D1330">
      <w:pPr>
        <w:adjustRightInd w:val="0"/>
        <w:snapToGrid w:val="0"/>
        <w:spacing w:line="360" w:lineRule="auto"/>
        <w:ind w:firstLineChars="200" w:firstLine="480"/>
        <w:rPr>
          <w:rFonts w:asciiTheme="minorEastAsia" w:hAnsiTheme="minorEastAsia" w:cs="Arial"/>
          <w:color w:val="000000"/>
          <w:sz w:val="24"/>
          <w:szCs w:val="24"/>
        </w:rPr>
      </w:pPr>
      <w:r w:rsidRPr="002D1330">
        <w:rPr>
          <w:rFonts w:asciiTheme="minorEastAsia" w:hAnsiTheme="minorEastAsia" w:cs="Arial" w:hint="eastAsia"/>
          <w:color w:val="000000"/>
          <w:sz w:val="24"/>
          <w:szCs w:val="24"/>
        </w:rPr>
        <w:t>相关法律法规对基金投资流动性受限资产有新规定的，从其规定。</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w:t>
      </w:r>
      <w:r w:rsidR="0073179C" w:rsidRPr="002D1330">
        <w:rPr>
          <w:rFonts w:asciiTheme="minorEastAsia" w:hAnsiTheme="minorEastAsia" w:cs="Arial" w:hint="eastAsia"/>
          <w:sz w:val="24"/>
          <w:szCs w:val="24"/>
        </w:rPr>
        <w:t>六</w:t>
      </w:r>
      <w:r w:rsidRPr="002D1330">
        <w:rPr>
          <w:rFonts w:asciiTheme="minorEastAsia" w:hAnsiTheme="minorEastAsia" w:cs="Arial" w:hint="eastAsia"/>
          <w:sz w:val="24"/>
          <w:szCs w:val="24"/>
        </w:rPr>
        <w:t>）基金投资中小企业私募债券，基金管理人应根据审慎原则，制定严格的投资决策流程、风险控制制度和信用风险、流动性风险处置预案，并经董事会批准，以防范信用风险、流动性风险等各种风险。</w:t>
      </w:r>
    </w:p>
    <w:p w:rsidR="000C660B" w:rsidRPr="002D1330" w:rsidRDefault="000C660B" w:rsidP="002D1330">
      <w:pPr>
        <w:adjustRightInd w:val="0"/>
        <w:snapToGrid w:val="0"/>
        <w:spacing w:line="360" w:lineRule="auto"/>
        <w:ind w:firstLineChars="200" w:firstLine="480"/>
        <w:rPr>
          <w:rFonts w:asciiTheme="minorEastAsia" w:hAnsiTheme="minorEastAsia" w:cs="Times New Roman"/>
          <w:i/>
          <w:sz w:val="24"/>
          <w:szCs w:val="24"/>
        </w:rPr>
      </w:pPr>
      <w:r w:rsidRPr="002D1330">
        <w:rPr>
          <w:rFonts w:asciiTheme="minorEastAsia" w:hAnsiTheme="minorEastAsia" w:cs="Arial" w:hint="eastAsia"/>
          <w:sz w:val="24"/>
          <w:szCs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w:t>
      </w:r>
      <w:r w:rsidR="0073179C" w:rsidRPr="002D1330">
        <w:rPr>
          <w:rFonts w:asciiTheme="minorEastAsia" w:hAnsiTheme="minorEastAsia" w:cs="Arial" w:hint="eastAsia"/>
          <w:sz w:val="24"/>
          <w:szCs w:val="24"/>
        </w:rPr>
        <w:t>七</w:t>
      </w:r>
      <w:r w:rsidRPr="002D1330">
        <w:rPr>
          <w:rFonts w:asciiTheme="minorEastAsia" w:hAnsiTheme="minorEastAsia" w:cs="Arial" w:hint="eastAsia"/>
          <w:sz w:val="24"/>
          <w:szCs w:val="24"/>
        </w:rPr>
        <w:t>）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w:t>
      </w:r>
      <w:r w:rsidR="0073179C" w:rsidRPr="002D1330">
        <w:rPr>
          <w:rFonts w:asciiTheme="minorEastAsia" w:hAnsiTheme="minorEastAsia" w:cs="Arial" w:hint="eastAsia"/>
          <w:sz w:val="24"/>
          <w:szCs w:val="24"/>
        </w:rPr>
        <w:t>八</w:t>
      </w:r>
      <w:r w:rsidRPr="002D1330">
        <w:rPr>
          <w:rFonts w:asciiTheme="minorEastAsia" w:hAnsiTheme="minorEastAsia" w:cs="Arial" w:hint="eastAsia"/>
          <w:sz w:val="24"/>
          <w:szCs w:val="24"/>
        </w:rPr>
        <w:t>）基金托管人发现基金管理人的上述事项及投资指令或实际投资运作违</w:t>
      </w:r>
      <w:r w:rsidRPr="002D1330">
        <w:rPr>
          <w:rFonts w:asciiTheme="minorEastAsia" w:hAnsiTheme="minorEastAsia" w:cs="Arial" w:hint="eastAsia"/>
          <w:sz w:val="24"/>
          <w:szCs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w:t>
      </w:r>
      <w:r w:rsidR="0073179C" w:rsidRPr="002D1330">
        <w:rPr>
          <w:rFonts w:asciiTheme="minorEastAsia" w:hAnsiTheme="minorEastAsia" w:cs="Arial" w:hint="eastAsia"/>
          <w:sz w:val="24"/>
          <w:szCs w:val="24"/>
        </w:rPr>
        <w:t>九</w:t>
      </w:r>
      <w:r w:rsidRPr="002D1330">
        <w:rPr>
          <w:rFonts w:asciiTheme="minorEastAsia" w:hAnsiTheme="minorEastAsia"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w:t>
      </w:r>
      <w:r w:rsidR="0073179C" w:rsidRPr="002D1330">
        <w:rPr>
          <w:rFonts w:asciiTheme="minorEastAsia" w:hAnsiTheme="minorEastAsia" w:cs="Arial" w:hint="eastAsia"/>
          <w:sz w:val="24"/>
          <w:szCs w:val="24"/>
        </w:rPr>
        <w:t>十</w:t>
      </w:r>
      <w:r w:rsidRPr="002D1330">
        <w:rPr>
          <w:rFonts w:asciiTheme="minorEastAsia" w:hAnsiTheme="minorEastAsia"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（十</w:t>
      </w:r>
      <w:r w:rsidR="0073179C" w:rsidRPr="002D1330">
        <w:rPr>
          <w:rFonts w:asciiTheme="minorEastAsia" w:hAnsiTheme="minorEastAsia" w:cs="Arial" w:hint="eastAsia"/>
          <w:sz w:val="24"/>
          <w:szCs w:val="24"/>
        </w:rPr>
        <w:t>一</w:t>
      </w:r>
      <w:r w:rsidRPr="002D1330">
        <w:rPr>
          <w:rFonts w:asciiTheme="minorEastAsia" w:hAnsiTheme="minorEastAsia" w:cs="Arial"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2D1330">
        <w:rPr>
          <w:rFonts w:asciiTheme="minorEastAsia" w:hAnsiTheme="minorEastAsia" w:cs="Times New Roman" w:hint="eastAsia"/>
          <w:b/>
          <w:sz w:val="30"/>
          <w:szCs w:val="2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一）基金管理人对基金托管人履行托管职责情况进行核查，核查事项包括基金托管人安全保管基金财产、开设基金财产的资金账户、证券账户等投资所需的账户、复核基金管理人计算的基金资产净值和各类基金份额的基金份额净值、根据基金管理人指令办理清算交收、相关信息披露和监督基金投资运作等行为。</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sidRPr="002D1330">
        <w:rPr>
          <w:rFonts w:asciiTheme="minorEastAsia" w:hAnsiTheme="minorEastAsia" w:cs="Arial" w:hint="eastAsia"/>
          <w:sz w:val="24"/>
          <w:szCs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C660B" w:rsidRPr="002D1330" w:rsidRDefault="000C660B" w:rsidP="002D1330">
      <w:pPr>
        <w:spacing w:line="360" w:lineRule="auto"/>
        <w:rPr>
          <w:rFonts w:asciiTheme="minorEastAsia" w:hAnsiTheme="minorEastAsia" w:cs="Times New Roman"/>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2D1330">
        <w:rPr>
          <w:rFonts w:asciiTheme="minorEastAsia" w:hAnsiTheme="minorEastAsia" w:cs="Times New Roman" w:hint="eastAsia"/>
          <w:b/>
          <w:sz w:val="30"/>
          <w:szCs w:val="2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（一）基金财产保管的原则</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1.基金财产应独立于基金管理人、基金托管人的固有财产。</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2.基金托管人应安全保管基金财产。</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3.基金托管人按照规定开设基金财产的资金账户、证券账户等投资所需的账户。</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4.基金托管人对所托管的不同基金财产分别设置账户，独立核算，确保基金财产的完整与独立。</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5.基金托管人按照《基金合同》和本协议的约定保管基金财产，如有特殊情况双方可另行协商解决。基金</w:t>
      </w:r>
      <w:r w:rsidRPr="002D1330">
        <w:rPr>
          <w:rFonts w:asciiTheme="minorEastAsia" w:hAnsiTheme="minorEastAsia"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w:t>
      </w:r>
      <w:r w:rsidR="007E731B" w:rsidRPr="002D1330">
        <w:rPr>
          <w:rFonts w:asciiTheme="minorEastAsia" w:hAnsiTheme="minorEastAsia" w:cs="Times New Roman" w:hint="eastAsia"/>
          <w:sz w:val="24"/>
          <w:szCs w:val="24"/>
        </w:rPr>
        <w:t>交易</w:t>
      </w:r>
      <w:r w:rsidR="007E731B" w:rsidRPr="002D1330">
        <w:rPr>
          <w:rFonts w:asciiTheme="minorEastAsia" w:hAnsiTheme="minorEastAsia" w:cs="Times New Roman"/>
          <w:sz w:val="24"/>
          <w:szCs w:val="24"/>
        </w:rPr>
        <w:t>/</w:t>
      </w:r>
      <w:r w:rsidRPr="002D1330">
        <w:rPr>
          <w:rFonts w:asciiTheme="minorEastAsia" w:hAnsiTheme="minorEastAsia" w:cs="Times New Roman" w:hint="eastAsia"/>
          <w:sz w:val="24"/>
          <w:szCs w:val="24"/>
        </w:rPr>
        <w:t>登记结算机构扣收</w:t>
      </w:r>
      <w:r w:rsidR="007E731B" w:rsidRPr="002D1330">
        <w:rPr>
          <w:rFonts w:asciiTheme="minorEastAsia" w:hAnsiTheme="minorEastAsia" w:cs="Times New Roman" w:hint="eastAsia"/>
          <w:sz w:val="24"/>
          <w:szCs w:val="24"/>
        </w:rPr>
        <w:t>交易费、</w:t>
      </w:r>
      <w:r w:rsidRPr="002D1330">
        <w:rPr>
          <w:rFonts w:asciiTheme="minorEastAsia" w:hAnsiTheme="minorEastAsia" w:cs="Times New Roman" w:hint="eastAsia"/>
          <w:sz w:val="24"/>
          <w:szCs w:val="24"/>
        </w:rPr>
        <w:t>结算费和账户维护费等费用）。</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2D1330">
        <w:rPr>
          <w:rFonts w:asciiTheme="minorEastAsia" w:hAnsiTheme="minorEastAsia" w:cs="Arial" w:hint="eastAsia"/>
          <w:sz w:val="24"/>
          <w:szCs w:val="24"/>
        </w:rPr>
        <w:lastRenderedPageBreak/>
        <w:t>管理人应负责向有关当事人追偿基金财产的损失，基金托管人对此不承担任何责任。</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7.除依据法律法规和《基金合同》的规定外，基金托管人不得委托第三人托管基金财产。</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（二）基金募集期间及募集资金的验资</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1.基金募集期间募集的资金应存于基金管理人在基金托管人的营业机构开立的“基金募集专户”。该账户由基金管理人开立并管理。</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003B0953" w:rsidRPr="002D1330">
        <w:rPr>
          <w:rFonts w:asciiTheme="minorEastAsia" w:hAnsiTheme="minorEastAsia" w:cs="Arial" w:hint="eastAsia"/>
          <w:sz w:val="24"/>
          <w:szCs w:val="24"/>
        </w:rPr>
        <w:t>验资报告需对发起资金提供方及其持有的基金份额进行专门说明。</w:t>
      </w:r>
      <w:r w:rsidRPr="002D1330">
        <w:rPr>
          <w:rFonts w:asciiTheme="minorEastAsia" w:hAnsiTheme="minorEastAsia" w:cs="Arial" w:hint="eastAsia"/>
          <w:sz w:val="24"/>
          <w:szCs w:val="24"/>
        </w:rPr>
        <w:t>出具的验资报告由参加验资的2名或2名以上中国注册会计师签字方为有效。</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3.若基金募集期限届满，未能达到《基金合同》生效的条件，由基金管理人按规定办理退款等事宜。</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（三）基金银行账户的开立和管理</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1.基金托管人应以基金的名义在其营业机构开立基金的银行账户，并根据基金管理人合法合规的指令办理资金收付。本基金的银行预留印鉴由基金托管人保管和使用。</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3.基金银行账户的开立和管理应符合银行业监督管理机构的有关规定。</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4.在符合法律法规规定的条件下，基金托管人可以通过基金托管人专用账户办理基金资产的支付。</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（四）基金证券账户和结算备付金账户的开立和管理</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1.基金托管人在中国证券登记结算有限责任公司为基金开立基金托管人与基金联名的证券账户。</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2.基金证券账户的开立和使用，仅限于满足开展本基金业务的需要。基金托管人和基金管理人不得出借或未经对方同意擅自转让基金的任何证券账户，亦不</w:t>
      </w:r>
      <w:r w:rsidRPr="002D1330">
        <w:rPr>
          <w:rFonts w:asciiTheme="minorEastAsia" w:hAnsiTheme="minorEastAsia" w:cs="Arial" w:hint="eastAsia"/>
          <w:sz w:val="24"/>
          <w:szCs w:val="24"/>
        </w:rPr>
        <w:lastRenderedPageBreak/>
        <w:t>得使用基金的任何账户进行本基金业务以外的活动。</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3.基金证券账户的开立和证券账户卡的保管由基金托管人负责，账户资产的管理和运用由基金管理人负责。</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证券账户开户费由基金管理人先行垫付,待托管产品启始运营后,基金管理人可向基金托管人发送划款指令,将代垫开户费从本基金托管资金账户中扣还基金管理人。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FC345C" w:rsidRPr="002D1330" w:rsidRDefault="00FC345C"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sz w:val="24"/>
        </w:rPr>
        <w:t>5、账户注销时，由基金管理人依据中国证券登记结算公司相关规定，委托有交易关系的证券公司负责办理。销户完成后，基金管理人需将相关证明提供至基金托管人。账户注销期间如</w:t>
      </w:r>
      <w:r w:rsidRPr="002D1330">
        <w:rPr>
          <w:rFonts w:asciiTheme="minorEastAsia" w:hAnsiTheme="minorEastAsia" w:cs="Arial" w:hint="eastAsia"/>
          <w:sz w:val="24"/>
        </w:rPr>
        <w:t>需基金托管人提供配合的，基金托管人应予以配合。</w:t>
      </w:r>
    </w:p>
    <w:p w:rsidR="000C660B" w:rsidRPr="002D1330" w:rsidRDefault="00FC345C"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6</w:t>
      </w:r>
      <w:r w:rsidR="000C660B" w:rsidRPr="002D1330">
        <w:rPr>
          <w:rFonts w:asciiTheme="minorEastAsia" w:hAnsiTheme="minorEastAsia" w:cs="Arial"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（五）债券托管专户的开设和管理</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（六）其他账户的开立和管理</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2.法律法规等有关规定对相关账户的开立和管理另有规定的，从其规定办理。</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lastRenderedPageBreak/>
        <w:t>（七）基金财产投资的有关有价凭证等的保管</w:t>
      </w:r>
    </w:p>
    <w:p w:rsidR="000C660B" w:rsidRPr="002D1330" w:rsidRDefault="000C660B" w:rsidP="002D1330">
      <w:pPr>
        <w:adjustRightInd w:val="0"/>
        <w:snapToGrid w:val="0"/>
        <w:spacing w:line="360" w:lineRule="auto"/>
        <w:ind w:firstLineChars="200" w:firstLine="480"/>
        <w:rPr>
          <w:rFonts w:asciiTheme="minorEastAsia" w:hAnsiTheme="minorEastAsia" w:cs="Arial"/>
          <w:szCs w:val="24"/>
        </w:rPr>
      </w:pPr>
      <w:r w:rsidRPr="002D1330">
        <w:rPr>
          <w:rFonts w:asciiTheme="minorEastAsia" w:hAnsiTheme="minorEastAsia" w:cs="Arial" w:hint="eastAsia"/>
          <w:sz w:val="24"/>
          <w:szCs w:val="24"/>
        </w:rPr>
        <w:t>基金财产投资的有关实物证券、银行</w:t>
      </w:r>
      <w:r w:rsidRPr="002D1330">
        <w:rPr>
          <w:rFonts w:asciiTheme="minorEastAsia" w:hAnsiTheme="minorEastAsia" w:cs="Times New Roman" w:hint="eastAsia"/>
          <w:sz w:val="24"/>
          <w:szCs w:val="24"/>
        </w:rPr>
        <w:t>存款开户证实书</w:t>
      </w:r>
      <w:r w:rsidRPr="002D1330">
        <w:rPr>
          <w:rFonts w:asciiTheme="minorEastAsia" w:hAnsiTheme="minorEastAsia" w:cs="Arial" w:hint="eastAsia"/>
          <w:sz w:val="24"/>
          <w:szCs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（八）与基金财产有关的重大合同的保管</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30"/>
          <w:szCs w:val="30"/>
        </w:rPr>
      </w:pPr>
      <w:r w:rsidRPr="002D1330">
        <w:rPr>
          <w:rFonts w:asciiTheme="minorEastAsia" w:hAnsiTheme="minorEastAsia"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C660B" w:rsidRPr="002D1330" w:rsidRDefault="000C660B" w:rsidP="002D1330">
      <w:pPr>
        <w:spacing w:line="360" w:lineRule="auto"/>
        <w:rPr>
          <w:rFonts w:asciiTheme="minorEastAsia" w:hAnsiTheme="minorEastAsia" w:cs="Times New Roman"/>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2D1330">
        <w:rPr>
          <w:rFonts w:asciiTheme="minorEastAsia" w:hAnsiTheme="minorEastAsia" w:cs="Times New Roman" w:hint="eastAsia"/>
          <w:b/>
          <w:sz w:val="30"/>
          <w:szCs w:val="2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基金管理人在运用基金财产时向基金托管人发送资金划拨及其他款项付款指令，基金托管人执行基金管理人的指令、办理基金名下的资金往来等有关事项。</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（一）基金管理人对发送指令人员的书面授权</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1.基金管理人应指定专人向基金托管人发送指令。</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2.基金管理人应向基金托管人提供书面授权文件，内容包括被授权人名单、预留印鉴及被授权人签字样本，授权文件应注明被授权人相应的权限。</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w:t>
      </w:r>
      <w:r w:rsidRPr="002D1330">
        <w:rPr>
          <w:rFonts w:asciiTheme="minorEastAsia" w:hAnsiTheme="minorEastAsia" w:cs="Arial" w:hint="eastAsia"/>
          <w:sz w:val="24"/>
          <w:szCs w:val="24"/>
        </w:rPr>
        <w:lastRenderedPageBreak/>
        <w:t>点为授权文件的生效时间。</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4.基金管理人和基金托管人对授权文件负有保密义务，其内容不得向被授权人及相关操作人员以外的任何人泄露。但法律法规规定或有权机关要求的除外。</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（二）指令的内容</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1.指令包括付款指令以及其他资金划拨指令等。</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2.基金管理人发给基金托管人的指令应写明款项事由、支付时间、到账时间、金额、账户等，加盖预留印鉴并由被授权人签字。</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（三）指令的发送、确认及执行的时间和程序</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1.指令的发送</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基金管理人发送指令应采用加密传真方式或双方协商一致的其他方式。</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指令发出后，基金管理人应及时以电话方式向基金托管人确认。</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2.指令的确认</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3.指令的时间和执行</w:t>
      </w:r>
    </w:p>
    <w:p w:rsidR="000C660B" w:rsidRPr="002D1330" w:rsidRDefault="000C660B" w:rsidP="002D1330">
      <w:pPr>
        <w:adjustRightInd w:val="0"/>
        <w:snapToGrid w:val="0"/>
        <w:spacing w:line="360" w:lineRule="auto"/>
        <w:ind w:firstLine="480"/>
        <w:rPr>
          <w:rFonts w:asciiTheme="minorEastAsia" w:hAnsiTheme="minorEastAsia" w:cs="Arial"/>
          <w:sz w:val="24"/>
          <w:szCs w:val="24"/>
          <w:shd w:val="pct15" w:color="auto" w:fill="FFFFFF"/>
        </w:rPr>
      </w:pPr>
      <w:r w:rsidRPr="002D1330">
        <w:rPr>
          <w:rFonts w:asciiTheme="minorEastAsia" w:hAnsiTheme="minorEastAsia" w:cs="Arial" w:hint="eastAsia"/>
          <w:sz w:val="24"/>
          <w:szCs w:val="30"/>
        </w:rPr>
        <w:t>基金管理人尽量于划款前1个工作日向基金托管人发送指令并确认。对于要求当天到账的指令，必须在当天15:30前向基金托管人发送，15:30之后发送的，</w:t>
      </w:r>
      <w:r w:rsidRPr="002D1330">
        <w:rPr>
          <w:rFonts w:asciiTheme="minorEastAsia" w:hAnsiTheme="minorEastAsia" w:cs="Arial" w:hint="eastAsia"/>
          <w:sz w:val="24"/>
          <w:szCs w:val="30"/>
        </w:rPr>
        <w:lastRenderedPageBreak/>
        <w:t>基金托管人尽力执行，但不能保证划账成功。如果要求当天某一时点到账的指令，则指令需要提前2个工作小时发送，并相关付款条件已经具备。基金托管人将视付款条件具备时为指令送达时间。</w:t>
      </w:r>
      <w:r w:rsidRPr="002D1330">
        <w:rPr>
          <w:rFonts w:asciiTheme="minorEastAsia" w:hAnsiTheme="minorEastAsia" w:cs="Arial" w:hint="eastAsia"/>
          <w:sz w:val="24"/>
          <w:szCs w:val="24"/>
        </w:rPr>
        <w:t>对于中国证券登记结算有限责任公司实行T+0非担保交收的业务，基金管理人应在交易日14：00</w:t>
      </w:r>
      <w:r w:rsidRPr="002D1330">
        <w:rPr>
          <w:rFonts w:asciiTheme="minorEastAsia" w:hAnsiTheme="minorEastAsia" w:cs="Arial" w:hint="eastAsia"/>
          <w:sz w:val="24"/>
          <w:szCs w:val="30"/>
        </w:rPr>
        <w:t>前</w:t>
      </w:r>
      <w:r w:rsidRPr="002D1330">
        <w:rPr>
          <w:rFonts w:asciiTheme="minorEastAsia" w:hAnsiTheme="minorEastAsia" w:cs="Arial" w:hint="eastAsia"/>
          <w:sz w:val="24"/>
          <w:szCs w:val="24"/>
        </w:rPr>
        <w:t>将划款指令发送至基金托管人。因基金管理人指令传输不及时，致使资金未能及时划入中登公司所造成的损失由基金管理人承担，包括赔偿在</w:t>
      </w:r>
      <w:r w:rsidR="007E731B" w:rsidRPr="002D1330">
        <w:rPr>
          <w:rFonts w:asciiTheme="minorEastAsia" w:hAnsiTheme="minorEastAsia" w:cs="Arial" w:hint="eastAsia"/>
          <w:sz w:val="24"/>
          <w:szCs w:val="24"/>
        </w:rPr>
        <w:t>该</w:t>
      </w:r>
      <w:r w:rsidRPr="002D1330">
        <w:rPr>
          <w:rFonts w:asciiTheme="minorEastAsia" w:hAnsiTheme="minorEastAsia" w:cs="Arial" w:hint="eastAsia"/>
          <w:sz w:val="24"/>
          <w:szCs w:val="24"/>
        </w:rPr>
        <w:t>市场引起其他托管客户交易失败、赔偿因占用</w:t>
      </w:r>
      <w:r w:rsidRPr="002D1330">
        <w:rPr>
          <w:rFonts w:asciiTheme="minorEastAsia" w:hAnsiTheme="minorEastAsia" w:cs="Arial" w:hint="eastAsia"/>
          <w:sz w:val="24"/>
          <w:szCs w:val="30"/>
        </w:rPr>
        <w:t>结算参与人</w:t>
      </w:r>
      <w:r w:rsidRPr="002D1330">
        <w:rPr>
          <w:rFonts w:asciiTheme="minorEastAsia" w:hAnsiTheme="minorEastAsia" w:cs="Arial" w:hint="eastAsia"/>
          <w:sz w:val="24"/>
          <w:szCs w:val="24"/>
        </w:rPr>
        <w:t>最低备付金带来的利息损失</w:t>
      </w:r>
      <w:r w:rsidRPr="002D1330">
        <w:rPr>
          <w:rFonts w:asciiTheme="minorEastAsia" w:hAnsiTheme="minorEastAsia" w:cs="Arial" w:hint="eastAsia"/>
          <w:sz w:val="24"/>
          <w:szCs w:val="30"/>
        </w:rPr>
        <w:t>。</w:t>
      </w:r>
      <w:r w:rsidRPr="002D1330">
        <w:rPr>
          <w:rFonts w:asciiTheme="minorEastAsia" w:hAnsiTheme="minorEastAsia" w:cs="Arial" w:hint="eastAsia"/>
          <w:sz w:val="24"/>
          <w:szCs w:val="24"/>
        </w:rPr>
        <w:t>基金管理人应确保基金托管人在执行指令时，基金资金账户有足够的资金余额，</w:t>
      </w:r>
      <w:r w:rsidRPr="002D1330">
        <w:rPr>
          <w:rFonts w:asciiTheme="minorEastAsia" w:hAnsiTheme="minorEastAsia" w:cs="Arial" w:hint="eastAsia"/>
          <w:sz w:val="24"/>
          <w:szCs w:val="30"/>
        </w:rPr>
        <w:t>在基金资金头寸充足的情况下，基金托管人对基金管理人符合法律法规、《基金合同》、本协议的指令不得拖延或拒绝执行。</w:t>
      </w:r>
    </w:p>
    <w:p w:rsidR="000C660B" w:rsidRPr="002D1330" w:rsidRDefault="000C660B" w:rsidP="002D1330">
      <w:pPr>
        <w:adjustRightInd w:val="0"/>
        <w:snapToGrid w:val="0"/>
        <w:spacing w:line="360" w:lineRule="auto"/>
        <w:ind w:firstLine="480"/>
        <w:rPr>
          <w:rFonts w:asciiTheme="minorEastAsia" w:hAnsiTheme="minorEastAsia" w:cs="Arial"/>
          <w:sz w:val="24"/>
          <w:szCs w:val="30"/>
        </w:rPr>
      </w:pPr>
      <w:r w:rsidRPr="002D1330">
        <w:rPr>
          <w:rFonts w:asciiTheme="minorEastAsia" w:hAnsiTheme="minorEastAsia" w:cs="Arial" w:hint="eastAsia"/>
          <w:sz w:val="24"/>
          <w:szCs w:val="30"/>
        </w:rPr>
        <w:t>（四）基金管理人发送错误指令的情形和处理程序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基金管理人发送错误指令的情形包括指令违反法律法规和《基金合同》，指令发送人员无权或超越权限发送指令。</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（五）基金托管人依照法律法规暂缓、拒绝执行指令的情形和处理程序</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若基金托管人发现基金管理人的指令违反法律法规，或者违反《基金合同》约定的，应当拒绝执行，立即通知基金管理人。</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（六）基金托管人未按照基金管理人指令执行的处理方法</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基金托管人由于自身原因，未按照基金管理人发送的指令执行并对基金财产或投资人造成的直接损失，由基金托管人</w:t>
      </w:r>
      <w:r w:rsidRPr="002D1330">
        <w:rPr>
          <w:rFonts w:asciiTheme="minorEastAsia" w:hAnsiTheme="minorEastAsia" w:cs="Times New Roman" w:hint="eastAsia"/>
          <w:sz w:val="24"/>
          <w:szCs w:val="24"/>
        </w:rPr>
        <w:t>赔偿由此造成的直接损失。</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（七）更换被授权人员的程序</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D1330">
        <w:rPr>
          <w:rFonts w:asciiTheme="minorEastAsia" w:hAnsiTheme="minorEastAsia" w:cs="Times New Roman" w:hint="eastAsia"/>
          <w:sz w:val="24"/>
          <w:szCs w:val="24"/>
        </w:rPr>
        <w:t>。</w:t>
      </w:r>
      <w:r w:rsidRPr="002D1330">
        <w:rPr>
          <w:rFonts w:asciiTheme="minorEastAsia" w:hAnsiTheme="minorEastAsia" w:cs="Arial" w:hint="eastAsia"/>
          <w:sz w:val="24"/>
          <w:szCs w:val="24"/>
        </w:rPr>
        <w:t>基金托管人更换接受基金管理人指令的人员，应提前通过录音电话通知基金管理人。</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（八）其他事项</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2D1330">
        <w:rPr>
          <w:rFonts w:asciiTheme="minorEastAsia" w:hAnsiTheme="minorEastAsia" w:cs="Times New Roman" w:hint="eastAsia"/>
          <w:b/>
          <w:sz w:val="30"/>
          <w:szCs w:val="2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（一）选择证券/期货买卖的证券/期货经营机构</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（二）基金投资证券后的清算交收安排</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1.清算与交割</w:t>
      </w:r>
    </w:p>
    <w:p w:rsidR="000C660B" w:rsidRPr="002D1330" w:rsidRDefault="000C660B" w:rsidP="002D1330">
      <w:pPr>
        <w:adjustRightInd w:val="0"/>
        <w:snapToGrid w:val="0"/>
        <w:spacing w:line="360" w:lineRule="auto"/>
        <w:ind w:firstLine="480"/>
        <w:rPr>
          <w:rFonts w:asciiTheme="minorEastAsia" w:hAnsiTheme="minorEastAsia" w:cs="Times New Roman"/>
          <w:sz w:val="24"/>
          <w:szCs w:val="24"/>
        </w:rPr>
      </w:pPr>
      <w:r w:rsidRPr="002D1330">
        <w:rPr>
          <w:rFonts w:asciiTheme="minorEastAsia" w:hAnsiTheme="minorEastAsia" w:cs="Times New Roman" w:hint="eastAsia"/>
          <w:sz w:val="24"/>
          <w:szCs w:val="24"/>
        </w:rPr>
        <w:t>基金管理人与基金托管人应根据有关法律法规及相关业务规则，签订《托管</w:t>
      </w:r>
    </w:p>
    <w:p w:rsidR="000C660B" w:rsidRPr="002D1330" w:rsidRDefault="000C660B" w:rsidP="002D1330">
      <w:pPr>
        <w:adjustRightInd w:val="0"/>
        <w:snapToGrid w:val="0"/>
        <w:spacing w:line="360" w:lineRule="auto"/>
        <w:rPr>
          <w:rFonts w:asciiTheme="minorEastAsia" w:hAnsiTheme="minorEastAsia" w:cs="Times New Roman"/>
          <w:sz w:val="24"/>
          <w:szCs w:val="24"/>
        </w:rPr>
      </w:pPr>
      <w:r w:rsidRPr="002D1330">
        <w:rPr>
          <w:rFonts w:asciiTheme="minorEastAsia" w:hAnsiTheme="minorEastAsia" w:cs="Times New Roman" w:hint="eastAsia"/>
          <w:sz w:val="24"/>
          <w:szCs w:val="24"/>
        </w:rPr>
        <w:t>银行证券资金结算协议》，用以具体明确基金管理人与基金托管人在证券交易资金结算业务中的责任。</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w:t>
      </w:r>
      <w:r w:rsidRPr="002D1330">
        <w:rPr>
          <w:rFonts w:asciiTheme="minorEastAsia" w:hAnsiTheme="minorEastAsia" w:cs="Times New Roman" w:hint="eastAsia"/>
          <w:sz w:val="24"/>
          <w:szCs w:val="24"/>
        </w:rPr>
        <w:lastRenderedPageBreak/>
        <w:t>金。基金管理人应预留最低备付金和结算保证金，并根据中国证券登记结算有限责任公司确定的实际最低备付金、结算保证金数据为依据安排资金运作，调整所需的现金头寸。</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C660B" w:rsidRPr="002D1330" w:rsidRDefault="000C660B" w:rsidP="002D1330">
      <w:pPr>
        <w:adjustRightInd w:val="0"/>
        <w:snapToGrid w:val="0"/>
        <w:spacing w:line="360" w:lineRule="auto"/>
        <w:ind w:firstLine="480"/>
        <w:rPr>
          <w:rFonts w:asciiTheme="minorEastAsia" w:hAnsiTheme="minorEastAsia" w:cs="宋体"/>
          <w:color w:val="000000"/>
          <w:kern w:val="0"/>
          <w:sz w:val="24"/>
          <w:szCs w:val="24"/>
        </w:rPr>
      </w:pPr>
      <w:r w:rsidRPr="002D1330">
        <w:rPr>
          <w:rFonts w:asciiTheme="minorEastAsia" w:hAnsiTheme="minorEastAsia" w:cs="宋体" w:hint="eastAsia"/>
          <w:color w:val="000000"/>
          <w:kern w:val="0"/>
          <w:sz w:val="24"/>
          <w:szCs w:val="24"/>
        </w:rPr>
        <w:t>基金管理人应采取合理、必要措施，确保T日日终有足够的资金头寸完成 T+1日</w:t>
      </w:r>
      <w:r w:rsidRPr="002D1330">
        <w:rPr>
          <w:rFonts w:asciiTheme="minorEastAsia" w:hAnsiTheme="minorEastAsia" w:cs="Times New Roman" w:hint="eastAsia"/>
          <w:sz w:val="24"/>
          <w:szCs w:val="24"/>
        </w:rPr>
        <w:t>中国证券登记结算有限责任公司的资金</w:t>
      </w:r>
      <w:r w:rsidRPr="002D1330">
        <w:rPr>
          <w:rFonts w:asciiTheme="minorEastAsia" w:hAnsiTheme="minorEastAsia" w:cs="宋体" w:hint="eastAsia"/>
          <w:color w:val="000000"/>
          <w:kern w:val="0"/>
          <w:sz w:val="24"/>
          <w:szCs w:val="24"/>
        </w:rPr>
        <w:t>交收；如因基金管理人原因导致资金头寸不足，基金管理人应在T+1日上午12：00前补足透支款项，确保资金交收。如果未遵循上述规定备足资金头寸，影响基金资产的清算交收及基金托管人与中国证券登记结算有限责任公司之间的一级交收，由此给基金托管人、基金资产及基金托管人托管的其他资产造成的直接损失由基金管理人负责。</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实行场内T+0交收的资金清算按照基金托管人的相关规定流程执行。</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2.交易记录、资金和证券账目核对的时间和方式</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（1）交易记录的核对</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Times New Roman" w:hint="eastAsia"/>
          <w:kern w:val="0"/>
          <w:sz w:val="24"/>
          <w:szCs w:val="24"/>
        </w:rPr>
        <w:t>基金管理人按日进行交易记录的核对。对外披露净值之前，必须保证当天所有实际交易记录与基金会计账簿上的交易记录完全一致。如果实际交易记录与会</w:t>
      </w:r>
      <w:r w:rsidRPr="002D1330">
        <w:rPr>
          <w:rFonts w:asciiTheme="minorEastAsia" w:hAnsiTheme="minorEastAsia" w:cs="Times New Roman" w:hint="eastAsia"/>
          <w:kern w:val="0"/>
          <w:sz w:val="24"/>
          <w:szCs w:val="24"/>
        </w:rPr>
        <w:lastRenderedPageBreak/>
        <w:t>计账簿记录不一致，造成基金会计核算不完整或不真实，由此导致的损失由基金管理人承担。</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（2）资金账目的核对</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资金账目按日核实。</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（3）证券账目的核对</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0C660B" w:rsidRPr="002D1330" w:rsidRDefault="000C660B" w:rsidP="002D1330">
      <w:pPr>
        <w:adjustRightInd w:val="0"/>
        <w:snapToGrid w:val="0"/>
        <w:spacing w:line="360" w:lineRule="auto"/>
        <w:ind w:firstLine="480"/>
        <w:outlineLvl w:val="0"/>
        <w:rPr>
          <w:rFonts w:asciiTheme="minorEastAsia" w:hAnsiTheme="minorEastAsia" w:cs="Arial"/>
          <w:sz w:val="24"/>
          <w:szCs w:val="24"/>
        </w:rPr>
      </w:pPr>
      <w:r w:rsidRPr="002D1330">
        <w:rPr>
          <w:rFonts w:asciiTheme="minorEastAsia" w:hAnsiTheme="minorEastAsia" w:cs="Arial" w:hint="eastAsia"/>
          <w:sz w:val="24"/>
          <w:szCs w:val="24"/>
        </w:rPr>
        <w:t>（三）基金申购和赎回业务处理的基本规定</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1.基金份额申购、赎回的确认、清算由基金管理人或其委托的登记机构负责。</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3.基金管理人应保证本基金（或本基金管理人委托）的登记机构每个工作日15:00前向基金托管人发送前一开放日上述有关数据，并保证相关数据的准确、完整。</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5.如基金管理人委托其他机构办理本基金的登记业务，应保证上述相关事宜按时进行。否则，由基金管理人承担相应的责任。</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6.关于清算专用账户的设立和管理</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为满足申购、赎回及分红资金汇划的需要，由基金管理人开立资金清算的专用账户，该账户由登记机构管理。</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lastRenderedPageBreak/>
        <w:t>8.赎回和分红资金划拨规定</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9.资金指令</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除申购款项到达基金资金账户需双方按约定方式对账外，回购到期付款和与投资有关的付款、赎回和分红资金划拨时，基金管理人需向基金托管人下达指令。</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资金指令的格式、内容、发送、接收和确认方式等与投资指令相同。</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（四）申赎净额结算</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基金托管账户与“基金清算账户”间的资金结算遵循“全额清算、净额交收”的原则，每日(T日：资金交收日，下同)按照托管账户应收资金(T-2日申购申请对应申购金额与T-2日基金转换入申请对应金额之和)与应付资金(T-2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0C660B" w:rsidRPr="002D1330" w:rsidRDefault="000C660B" w:rsidP="002D1330">
      <w:pPr>
        <w:adjustRightInd w:val="0"/>
        <w:snapToGrid w:val="0"/>
        <w:spacing w:line="360" w:lineRule="auto"/>
        <w:ind w:firstLine="480"/>
        <w:outlineLvl w:val="0"/>
        <w:rPr>
          <w:rFonts w:asciiTheme="minorEastAsia" w:hAnsiTheme="minorEastAsia" w:cs="Arial"/>
          <w:sz w:val="24"/>
          <w:szCs w:val="24"/>
        </w:rPr>
      </w:pPr>
      <w:r w:rsidRPr="002D1330">
        <w:rPr>
          <w:rFonts w:asciiTheme="minorEastAsia" w:hAnsiTheme="minorEastAsia" w:cs="Arial" w:hint="eastAsia"/>
          <w:sz w:val="24"/>
          <w:szCs w:val="24"/>
        </w:rPr>
        <w:t>（五）基金转换</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1.在本基金与基金管理人管理的其它基金开展转换业务之前，基金管理人应函告基金托管人并就相关事宜进行协商。</w:t>
      </w:r>
    </w:p>
    <w:p w:rsidR="000C660B" w:rsidRPr="002D1330" w:rsidRDefault="000C660B" w:rsidP="002D1330">
      <w:pPr>
        <w:adjustRightInd w:val="0"/>
        <w:snapToGrid w:val="0"/>
        <w:spacing w:line="360" w:lineRule="auto"/>
        <w:ind w:firstLine="480"/>
        <w:outlineLvl w:val="0"/>
        <w:rPr>
          <w:rFonts w:asciiTheme="minorEastAsia" w:hAnsiTheme="minorEastAsia" w:cs="Arial"/>
          <w:sz w:val="24"/>
          <w:szCs w:val="24"/>
        </w:rPr>
      </w:pPr>
      <w:r w:rsidRPr="002D1330">
        <w:rPr>
          <w:rFonts w:asciiTheme="minorEastAsia" w:hAnsiTheme="minorEastAsia"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0C660B" w:rsidRPr="002D1330" w:rsidRDefault="000C660B" w:rsidP="002D1330">
      <w:pPr>
        <w:adjustRightInd w:val="0"/>
        <w:snapToGrid w:val="0"/>
        <w:spacing w:line="360" w:lineRule="auto"/>
        <w:ind w:firstLine="480"/>
        <w:outlineLvl w:val="0"/>
        <w:rPr>
          <w:rFonts w:asciiTheme="minorEastAsia" w:hAnsiTheme="minorEastAsia" w:cs="Arial"/>
          <w:sz w:val="24"/>
          <w:szCs w:val="24"/>
        </w:rPr>
      </w:pPr>
      <w:r w:rsidRPr="002D1330">
        <w:rPr>
          <w:rFonts w:asciiTheme="minorEastAsia" w:hAnsiTheme="minorEastAsia" w:cs="Arial" w:hint="eastAsia"/>
          <w:sz w:val="24"/>
          <w:szCs w:val="24"/>
        </w:rPr>
        <w:t>3.本基金开展基金转换业务应按相关法律法规规定及《基金合同》的约定进行公告。</w:t>
      </w:r>
    </w:p>
    <w:p w:rsidR="000C660B" w:rsidRPr="002D1330" w:rsidRDefault="000C660B" w:rsidP="002D1330">
      <w:pPr>
        <w:adjustRightInd w:val="0"/>
        <w:snapToGrid w:val="0"/>
        <w:spacing w:line="360" w:lineRule="auto"/>
        <w:ind w:firstLine="480"/>
        <w:outlineLvl w:val="0"/>
        <w:rPr>
          <w:rFonts w:asciiTheme="minorEastAsia" w:hAnsiTheme="minorEastAsia" w:cs="Arial"/>
          <w:sz w:val="24"/>
          <w:szCs w:val="24"/>
        </w:rPr>
      </w:pPr>
      <w:r w:rsidRPr="002D1330">
        <w:rPr>
          <w:rFonts w:asciiTheme="minorEastAsia" w:hAnsiTheme="minorEastAsia" w:cs="Arial" w:hint="eastAsia"/>
          <w:sz w:val="24"/>
          <w:szCs w:val="24"/>
        </w:rPr>
        <w:t>（六）基金现金分红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1.基金管理人确定分红方案通知基金托管人，双方核定后</w:t>
      </w:r>
      <w:r w:rsidRPr="002D1330">
        <w:rPr>
          <w:rFonts w:asciiTheme="minorEastAsia" w:hAnsiTheme="minorEastAsia" w:cs="Times New Roman" w:hint="eastAsia"/>
          <w:sz w:val="24"/>
          <w:szCs w:val="18"/>
        </w:rPr>
        <w:t>依照《信息披露办法》的有关规定在中国证监会指定媒体上公告并</w:t>
      </w:r>
      <w:r w:rsidRPr="002D1330">
        <w:rPr>
          <w:rFonts w:asciiTheme="minorEastAsia" w:hAnsiTheme="minorEastAsia" w:cs="Times New Roman" w:hint="eastAsia"/>
          <w:sz w:val="24"/>
          <w:szCs w:val="24"/>
        </w:rPr>
        <w:t>报中国证监会备案</w:t>
      </w:r>
      <w:r w:rsidRPr="002D1330">
        <w:rPr>
          <w:rFonts w:asciiTheme="minorEastAsia" w:hAnsiTheme="minorEastAsia" w:cs="Arial" w:hint="eastAsia"/>
          <w:sz w:val="24"/>
          <w:szCs w:val="24"/>
        </w:rPr>
        <w:t>。</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2.基金托管人和基金管理人对基金分红进行账务处理并核对后，基金管理人</w:t>
      </w:r>
      <w:r w:rsidRPr="002D1330">
        <w:rPr>
          <w:rFonts w:asciiTheme="minorEastAsia" w:hAnsiTheme="minorEastAsia" w:cs="Arial" w:hint="eastAsia"/>
          <w:sz w:val="24"/>
          <w:szCs w:val="24"/>
        </w:rPr>
        <w:lastRenderedPageBreak/>
        <w:t>向基金托管人发送现金红利的划款指令，基金托管人应及时将资金划入专用账户。</w:t>
      </w:r>
    </w:p>
    <w:p w:rsidR="000C660B" w:rsidRPr="002D1330" w:rsidRDefault="000C660B" w:rsidP="002D1330">
      <w:pPr>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3.基金管理人在下达指令时，应给基金托管人留出必需的划款时间。</w:t>
      </w:r>
    </w:p>
    <w:p w:rsidR="000C660B" w:rsidRPr="002D1330" w:rsidRDefault="000C660B" w:rsidP="002D1330">
      <w:pPr>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（七）投资银行存款的特别约定</w:t>
      </w:r>
    </w:p>
    <w:p w:rsidR="000C660B" w:rsidRPr="002D1330" w:rsidRDefault="000C660B" w:rsidP="002D1330">
      <w:pPr>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1.本基金投资银行存款前，基金管理人应与存款银行签订具体存款协议，包括但不限于以下内容：</w:t>
      </w:r>
    </w:p>
    <w:p w:rsidR="000C660B" w:rsidRPr="002D1330" w:rsidRDefault="000C660B" w:rsidP="002D1330">
      <w:pPr>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（1）存款账户必须以本基金名义开立,并将基金托管人为本基金开立的基金银行账户指定为唯一回款账户，任何情况下，存款银行都不得将存款投资本息划往任何其他账户。</w:t>
      </w:r>
    </w:p>
    <w:p w:rsidR="000C660B" w:rsidRPr="002D1330" w:rsidRDefault="000C660B" w:rsidP="002D1330">
      <w:pPr>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0C660B" w:rsidRPr="002D1330" w:rsidRDefault="000C660B" w:rsidP="002D1330">
      <w:pPr>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（3）约定存款证实书的具体传递交接方式及交接期限。</w:t>
      </w:r>
    </w:p>
    <w:p w:rsidR="000C660B" w:rsidRPr="002D1330" w:rsidRDefault="000C660B" w:rsidP="002D1330">
      <w:pPr>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（4）资金划转过程中需要使用存款银行过渡账户的，存款银行须保证资金在过渡账户中不出现滞留，不被挪用。</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88" w:name="_Toc124325892"/>
      <w:r w:rsidRPr="002D1330">
        <w:rPr>
          <w:rFonts w:asciiTheme="minorEastAsia" w:hAnsiTheme="minorEastAsia" w:cs="Times New Roman" w:hint="eastAsia"/>
          <w:b/>
          <w:sz w:val="30"/>
          <w:szCs w:val="20"/>
        </w:rPr>
        <w:t xml:space="preserve"> 八、基金资产净值计算和会计核算</w:t>
      </w:r>
      <w:bookmarkEnd w:id="88"/>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（一）基金资产净值的计算、复核与完成的时间及程序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1.基金资产净值是指基金资产总值减去负债后的金额。各类基金份额的基金份额净值是按照每个</w:t>
      </w:r>
      <w:r w:rsidR="00270E4F" w:rsidRPr="002D1330">
        <w:rPr>
          <w:rFonts w:asciiTheme="minorEastAsia" w:hAnsiTheme="minorEastAsia" w:cs="Arial" w:hint="eastAsia"/>
          <w:sz w:val="24"/>
          <w:szCs w:val="24"/>
        </w:rPr>
        <w:t>工作日</w:t>
      </w:r>
      <w:r w:rsidRPr="002D1330">
        <w:rPr>
          <w:rFonts w:asciiTheme="minorEastAsia" w:hAnsiTheme="minorEastAsia" w:cs="Arial" w:hint="eastAsia"/>
          <w:sz w:val="24"/>
          <w:szCs w:val="24"/>
        </w:rPr>
        <w:t>闭市后，各类基金资产净值除以当日该类基金份额的总数，精确到0.0001元，小数点后第五位四舍五入。国家另有规定的，从其规定。</w:t>
      </w:r>
    </w:p>
    <w:p w:rsidR="000C660B" w:rsidRPr="002D1330" w:rsidRDefault="001C0EEF"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基金管理人于</w:t>
      </w:r>
      <w:r w:rsidR="000C660B" w:rsidRPr="002D1330">
        <w:rPr>
          <w:rFonts w:asciiTheme="minorEastAsia" w:hAnsiTheme="minorEastAsia" w:cs="Arial" w:hint="eastAsia"/>
          <w:sz w:val="24"/>
          <w:szCs w:val="24"/>
        </w:rPr>
        <w:t>每个</w:t>
      </w:r>
      <w:r w:rsidRPr="002D1330">
        <w:rPr>
          <w:rFonts w:asciiTheme="minorEastAsia" w:hAnsiTheme="minorEastAsia" w:cs="Arial" w:hint="eastAsia"/>
          <w:sz w:val="24"/>
          <w:szCs w:val="24"/>
        </w:rPr>
        <w:t>工作日</w:t>
      </w:r>
      <w:r w:rsidR="000C660B" w:rsidRPr="002D1330">
        <w:rPr>
          <w:rFonts w:asciiTheme="minorEastAsia" w:hAnsiTheme="minorEastAsia" w:cs="Arial" w:hint="eastAsia"/>
          <w:sz w:val="24"/>
          <w:szCs w:val="24"/>
        </w:rPr>
        <w:t>计算基金资产净值及基金份额净值，并按规定公告。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lastRenderedPageBreak/>
        <w:t>2.基金管理人应每</w:t>
      </w:r>
      <w:r w:rsidR="001C0EEF" w:rsidRPr="002D1330">
        <w:rPr>
          <w:rFonts w:asciiTheme="minorEastAsia" w:hAnsiTheme="minorEastAsia" w:cs="Arial" w:hint="eastAsia"/>
          <w:sz w:val="24"/>
          <w:szCs w:val="24"/>
        </w:rPr>
        <w:t>个工作日</w:t>
      </w:r>
      <w:r w:rsidRPr="002D1330">
        <w:rPr>
          <w:rFonts w:asciiTheme="minorEastAsia" w:hAnsiTheme="minorEastAsia" w:cs="Arial" w:hint="eastAsia"/>
          <w:sz w:val="24"/>
          <w:szCs w:val="24"/>
        </w:rPr>
        <w:t>对基金资产估值。但基金管理人根据法律法规或《基金合同》的规定暂停估值时除外。基金管理人每个</w:t>
      </w:r>
      <w:r w:rsidR="001C0EEF" w:rsidRPr="002D1330">
        <w:rPr>
          <w:rFonts w:asciiTheme="minorEastAsia" w:hAnsiTheme="minorEastAsia" w:cs="Arial" w:hint="eastAsia"/>
          <w:sz w:val="24"/>
          <w:szCs w:val="24"/>
        </w:rPr>
        <w:t>工作日</w:t>
      </w:r>
      <w:r w:rsidRPr="002D1330">
        <w:rPr>
          <w:rFonts w:asciiTheme="minorEastAsia" w:hAnsiTheme="minorEastAsia" w:cs="Arial" w:hint="eastAsia"/>
          <w:sz w:val="24"/>
          <w:szCs w:val="24"/>
        </w:rPr>
        <w:t>对基金资产估值后，将各类基金份额的基金份额净值结果发送基金托管人，经基金托管人复核无误后，由基金管理人</w:t>
      </w:r>
      <w:r w:rsidR="001C0EEF" w:rsidRPr="002D1330">
        <w:rPr>
          <w:rFonts w:asciiTheme="minorEastAsia" w:hAnsiTheme="minorEastAsia" w:cs="Arial" w:hint="eastAsia"/>
          <w:sz w:val="24"/>
          <w:szCs w:val="24"/>
        </w:rPr>
        <w:t>按规定</w:t>
      </w:r>
      <w:r w:rsidRPr="002D1330">
        <w:rPr>
          <w:rFonts w:asciiTheme="minorEastAsia" w:hAnsiTheme="minorEastAsia" w:cs="Arial" w:hint="eastAsia"/>
          <w:sz w:val="24"/>
          <w:szCs w:val="24"/>
        </w:rPr>
        <w:t>对外公布。</w:t>
      </w:r>
    </w:p>
    <w:p w:rsidR="001335A2" w:rsidRPr="002D1330" w:rsidRDefault="001335A2"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w:t>
      </w:r>
      <w:r w:rsidR="00311412" w:rsidRPr="002D1330">
        <w:rPr>
          <w:rFonts w:asciiTheme="minorEastAsia" w:hAnsiTheme="minorEastAsia" w:cs="Arial" w:hint="eastAsia"/>
          <w:sz w:val="24"/>
          <w:szCs w:val="24"/>
        </w:rPr>
        <w:t>当本基金发生大额申购或赎回情况时，经与基金托管人协商一致，基金管理人可以对本基金采用摆动定价机制，以确保基金估值的公平性</w:t>
      </w:r>
      <w:r w:rsidR="006B20A3" w:rsidRPr="002D1330">
        <w:rPr>
          <w:rFonts w:asciiTheme="minorEastAsia" w:hAnsiTheme="minorEastAsia" w:cs="Arial" w:hint="eastAsia"/>
          <w:bCs/>
          <w:sz w:val="24"/>
          <w:szCs w:val="24"/>
        </w:rPr>
        <w:t>，并依照《信息披露办法》的有关规定，将摆动定价机制的具体操作规则在指定媒介上公告。如法律法规或行业协会今后另有规定的，从其规定</w:t>
      </w:r>
      <w:r w:rsidR="00311412" w:rsidRPr="002D1330">
        <w:rPr>
          <w:rFonts w:asciiTheme="minorEastAsia" w:hAnsiTheme="minorEastAsia" w:cs="Arial" w:hint="eastAsia"/>
          <w:sz w:val="24"/>
          <w:szCs w:val="24"/>
        </w:rPr>
        <w:t>。</w:t>
      </w:r>
    </w:p>
    <w:p w:rsidR="000C660B" w:rsidRPr="002D1330" w:rsidRDefault="000C660B" w:rsidP="002D1330">
      <w:pPr>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（二）基金资产估值方法和特殊情形的处理</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1.估值对象</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基金所拥有的</w:t>
      </w:r>
      <w:r w:rsidR="001C0EEF" w:rsidRPr="002D1330">
        <w:rPr>
          <w:rFonts w:asciiTheme="minorEastAsia" w:hAnsiTheme="minorEastAsia" w:cs="Arial" w:hint="eastAsia"/>
          <w:sz w:val="24"/>
          <w:szCs w:val="24"/>
        </w:rPr>
        <w:t>股票、</w:t>
      </w:r>
      <w:r w:rsidRPr="002D1330">
        <w:rPr>
          <w:rFonts w:asciiTheme="minorEastAsia" w:hAnsiTheme="minorEastAsia" w:cs="Arial" w:hint="eastAsia"/>
          <w:sz w:val="24"/>
          <w:szCs w:val="24"/>
        </w:rPr>
        <w:t>权证、债券和银行存款本息、应收款项、国债期货合约、其它投资等资产及负债。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2.估值方法</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本基金所持有的投资品种，按如下原则进行估值：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（1）证券交易所上市的有价证券的估值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①交易所上市的有价证券</w:t>
      </w:r>
      <w:r w:rsidR="001D5984" w:rsidRPr="002D1330">
        <w:rPr>
          <w:rFonts w:asciiTheme="minorEastAsia" w:hAnsiTheme="minorEastAsia" w:cs="Arial" w:hint="eastAsia"/>
          <w:bCs/>
          <w:sz w:val="24"/>
          <w:szCs w:val="24"/>
        </w:rPr>
        <w:t>（包括股票、权证等）</w:t>
      </w:r>
      <w:r w:rsidRPr="002D1330">
        <w:rPr>
          <w:rFonts w:asciiTheme="minorEastAsia" w:hAnsiTheme="minorEastAsia" w:cs="Arial" w:hint="eastAsia"/>
          <w:sz w:val="24"/>
          <w:szCs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②在交易所市场上市交易或挂牌转让的固定收益品种（另有规定的除外），选取第三方估值机构提供的相应品种当日的估值净价估值。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③对在交易所市场上市交易的可转换债券，按照每日收盘价作为估值全价。</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（2）处于未上市期间的有价证券应区分如下情况处理：</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①首次公开发行未上市的债券和权证，采用估值技术确定公允价值，在估值技术难以可靠计量公允价值的情况下，按成本估值。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lastRenderedPageBreak/>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（4）存款的估值方法</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持有的银行定期存款或通知存款以本金列示，按协议或合同利率逐日确认利息收入。</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（5）投资证券衍生品的估值方法</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②停止交易但未行权的权证，采用估值技术确定公允价值进行估值。在估值技术难以可靠计量公允价值的情况下，按成本进行估值。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③国债期货合约，一般以估值当日结算价进行，估值当日无结算价的，且最近交易日后经济环境未发生重大变化的，采用最近交易日结算价估值。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（6）本基金可以采用第三方估值机构按照上述公允价值确定原则提供的估值价格数据。</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7）中小企业私募债券采用市场参与者普遍认同，且被以往市场实际交易价格验证具有可靠性的估值技术，确定中小企业私募债券的公允价值。中小企业私募债券采用估值技术难以可靠计量公允价值的情况下，按成本估值。法律法规对</w:t>
      </w:r>
      <w:r w:rsidRPr="002D1330">
        <w:rPr>
          <w:rFonts w:asciiTheme="minorEastAsia" w:hAnsiTheme="minorEastAsia" w:cs="Arial" w:hint="eastAsia"/>
          <w:sz w:val="24"/>
          <w:szCs w:val="24"/>
        </w:rPr>
        <w:lastRenderedPageBreak/>
        <w:t>中小企业私募债券估值有最新规定的，从其规定。</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（8）基金投资同业存单，按估值日第三方估值机构提供的估值净价估值；选定的第三方估值机构未提供估值价格的，按成本估值。</w:t>
      </w:r>
    </w:p>
    <w:p w:rsidR="004358DF" w:rsidRPr="002D1330" w:rsidRDefault="004358DF"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（9）同一债券同时在两个或两个以上市场交易的，按债券所处的市场分别估值。</w:t>
      </w:r>
    </w:p>
    <w:p w:rsidR="009014AD" w:rsidRPr="002D1330" w:rsidRDefault="009014AD"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（10）</w:t>
      </w:r>
      <w:r w:rsidR="00023BAA" w:rsidRPr="002D1330">
        <w:rPr>
          <w:rFonts w:asciiTheme="minorEastAsia" w:hAnsiTheme="minorEastAsia" w:cs="Arial" w:hint="eastAsia"/>
          <w:bCs/>
          <w:sz w:val="24"/>
          <w:szCs w:val="24"/>
        </w:rPr>
        <w:t>当本基金发生大额申购或赎回情形时，基金管理人可以采用摆动定价机制，以确保基金估值的公平性。</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w:t>
      </w:r>
      <w:r w:rsidR="00072998" w:rsidRPr="002D1330">
        <w:rPr>
          <w:rFonts w:asciiTheme="minorEastAsia" w:hAnsiTheme="minorEastAsia" w:cs="Arial" w:hint="eastAsia"/>
          <w:sz w:val="24"/>
          <w:szCs w:val="24"/>
        </w:rPr>
        <w:t>11</w:t>
      </w:r>
      <w:r w:rsidRPr="002D1330">
        <w:rPr>
          <w:rFonts w:asciiTheme="minorEastAsia" w:hAnsiTheme="minorEastAsia" w:cs="Arial" w:hint="eastAsia"/>
          <w:sz w:val="24"/>
          <w:szCs w:val="24"/>
        </w:rPr>
        <w:t>）如有确凿证据表明按上述方法进行估值不能客观反映其公允价值的，基金管理人可根据具体情况与基金托管人商定后，按最能反映公允价值的价格估值。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w:t>
      </w:r>
      <w:r w:rsidR="00A045FB" w:rsidRPr="002D1330">
        <w:rPr>
          <w:rFonts w:asciiTheme="minorEastAsia" w:hAnsiTheme="minorEastAsia" w:cs="Arial" w:hint="eastAsia"/>
          <w:sz w:val="24"/>
          <w:szCs w:val="24"/>
        </w:rPr>
        <w:t>12</w:t>
      </w:r>
      <w:r w:rsidRPr="002D1330">
        <w:rPr>
          <w:rFonts w:asciiTheme="minorEastAsia" w:hAnsiTheme="minorEastAsia" w:cs="Arial" w:hint="eastAsia"/>
          <w:sz w:val="24"/>
          <w:szCs w:val="24"/>
        </w:rPr>
        <w:t>）相关法律法规以及监管部门有强制规定的，从其规定。如有新增事项，按国家最新规定估值。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C660B" w:rsidRPr="002D1330" w:rsidRDefault="000C660B" w:rsidP="002D1330">
      <w:pPr>
        <w:adjustRightInd w:val="0"/>
        <w:snapToGrid w:val="0"/>
        <w:spacing w:line="360" w:lineRule="auto"/>
        <w:ind w:firstLine="480"/>
        <w:rPr>
          <w:rFonts w:asciiTheme="minorEastAsia" w:hAnsiTheme="minorEastAsia" w:cs="Arial"/>
          <w:sz w:val="24"/>
          <w:szCs w:val="24"/>
        </w:rPr>
      </w:pPr>
      <w:r w:rsidRPr="002D1330">
        <w:rPr>
          <w:rFonts w:asciiTheme="minorEastAsia" w:hAnsiTheme="minorEastAsia" w:cs="Arial" w:hint="eastAsia"/>
          <w:sz w:val="24"/>
          <w:szCs w:val="24"/>
        </w:rPr>
        <w:t>3.特殊情形的处理</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Arial" w:hint="eastAsia"/>
          <w:sz w:val="24"/>
          <w:szCs w:val="24"/>
        </w:rPr>
        <w:t>基金管理人、基金托管人按估值方法的第(</w:t>
      </w:r>
      <w:r w:rsidR="00023BAA" w:rsidRPr="002D1330">
        <w:rPr>
          <w:rFonts w:asciiTheme="minorEastAsia" w:hAnsiTheme="minorEastAsia" w:cs="Arial" w:hint="eastAsia"/>
          <w:sz w:val="24"/>
          <w:szCs w:val="24"/>
        </w:rPr>
        <w:t>11</w:t>
      </w:r>
      <w:r w:rsidRPr="002D1330">
        <w:rPr>
          <w:rFonts w:asciiTheme="minorEastAsia" w:hAnsiTheme="minorEastAsia" w:cs="Arial" w:hint="eastAsia"/>
          <w:sz w:val="24"/>
          <w:szCs w:val="24"/>
        </w:rPr>
        <w:t>)项进行估值时，所造成的误差不作为基金</w:t>
      </w:r>
      <w:r w:rsidR="001D5984" w:rsidRPr="002D1330">
        <w:rPr>
          <w:rFonts w:asciiTheme="minorEastAsia" w:hAnsiTheme="minorEastAsia" w:cs="Arial" w:hint="eastAsia"/>
          <w:sz w:val="24"/>
          <w:szCs w:val="24"/>
        </w:rPr>
        <w:t>资产估值</w:t>
      </w:r>
      <w:r w:rsidRPr="002D1330">
        <w:rPr>
          <w:rFonts w:asciiTheme="minorEastAsia" w:hAnsiTheme="minorEastAsia" w:cs="Times New Roman" w:hint="eastAsia"/>
          <w:sz w:val="24"/>
          <w:szCs w:val="24"/>
        </w:rPr>
        <w:t>错误处理。</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（三）基金份额净值错误的处理方式</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D1330">
        <w:rPr>
          <w:rFonts w:asciiTheme="minorEastAsia" w:hAnsiTheme="minorEastAsia" w:cs="Arial" w:hint="eastAsia"/>
          <w:sz w:val="24"/>
          <w:szCs w:val="24"/>
        </w:rPr>
        <w:t>；错误偏差达到基金份额净值的</w:t>
      </w:r>
      <w:r w:rsidRPr="002D1330">
        <w:rPr>
          <w:rFonts w:asciiTheme="minorEastAsia" w:hAnsiTheme="minorEastAsia" w:cs="Times New Roman" w:hint="eastAsia"/>
          <w:sz w:val="24"/>
          <w:szCs w:val="24"/>
        </w:rPr>
        <w:t>0.5%时，基金管理人应当公告；当发生净值计算错误时，由基金管理人负责处理，由此给基金份额持有人和基金造成损失的，应由基金管理人先行</w:t>
      </w:r>
      <w:r w:rsidRPr="002D1330">
        <w:rPr>
          <w:rFonts w:asciiTheme="minorEastAsia" w:hAnsiTheme="minorEastAsia" w:cs="Times New Roman" w:hint="eastAsia"/>
          <w:sz w:val="24"/>
          <w:szCs w:val="24"/>
        </w:rPr>
        <w:lastRenderedPageBreak/>
        <w:t>赔付，基金管理人按差错情形，有权向其他当事人追偿。</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D1330">
        <w:rPr>
          <w:rFonts w:asciiTheme="minorEastAsia" w:hAnsiTheme="minorEastAsia" w:cs="Arial" w:hint="eastAsia"/>
          <w:sz w:val="24"/>
          <w:szCs w:val="24"/>
        </w:rPr>
        <w:t>损失，由基金管理人负责赔付。</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w:t>
      </w:r>
      <w:r w:rsidRPr="002D1330">
        <w:rPr>
          <w:rFonts w:asciiTheme="minorEastAsia" w:hAnsiTheme="minorEastAsia"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w:t>
      </w:r>
      <w:r w:rsidRPr="002D1330">
        <w:rPr>
          <w:rFonts w:asciiTheme="minorEastAsia" w:hAnsiTheme="minorEastAsia"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由于证券/期货交易所及其登记结算公司发送的数据错误，或由于其他不可抗力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4.基金管理人和基金托管人由于各自技术系统设置而产生的净值计算尾差，以基金管理人计算结果为准。</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5.前述内容如法律法规或者监管部门另有规定的，从其规定。如果行业另有通行做法，双方当事人应本着平等和保护基金份额持有人利益的原则进行协商。</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（四）暂停估值与公告基金份额净值的情形</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1.基金投资所涉及的证券/期货交易市场遇法定节假日或因其他原因暂停营</w:t>
      </w:r>
      <w:r w:rsidRPr="002D1330">
        <w:rPr>
          <w:rFonts w:asciiTheme="minorEastAsia" w:hAnsiTheme="minorEastAsia" w:cs="Arial" w:hint="eastAsia"/>
          <w:sz w:val="24"/>
          <w:szCs w:val="24"/>
        </w:rPr>
        <w:lastRenderedPageBreak/>
        <w:t>业时；</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2.因不可抗力致使基金管理人、基金托管人无法准确评估基金资产价值时；</w:t>
      </w:r>
    </w:p>
    <w:p w:rsidR="005966D7" w:rsidRPr="002D1330" w:rsidRDefault="005966D7" w:rsidP="002D1330">
      <w:pPr>
        <w:adjustRightInd w:val="0"/>
        <w:snapToGrid w:val="0"/>
        <w:spacing w:line="360" w:lineRule="auto"/>
        <w:ind w:firstLineChars="200" w:firstLine="480"/>
        <w:outlineLvl w:val="0"/>
        <w:rPr>
          <w:rFonts w:asciiTheme="minorEastAsia" w:hAnsiTheme="minorEastAsia" w:cs="Arial"/>
          <w:bCs/>
          <w:sz w:val="24"/>
          <w:szCs w:val="24"/>
        </w:rPr>
      </w:pPr>
      <w:r w:rsidRPr="002D1330">
        <w:rPr>
          <w:rFonts w:asciiTheme="minorEastAsia" w:hAnsiTheme="minorEastAsia" w:cs="Arial" w:hint="eastAsia"/>
          <w:bCs/>
          <w:sz w:val="24"/>
          <w:szCs w:val="24"/>
        </w:rPr>
        <w:t>3、当前一估值日基金资产净值50%以上的资产出现无可参考的活跃市场价格且采用估值技术仍导致公允价值存在重大不确定性，并经与基金托管人协商确认后，基金管理人</w:t>
      </w:r>
      <w:r w:rsidR="009E09A6" w:rsidRPr="002D1330">
        <w:rPr>
          <w:rFonts w:asciiTheme="minorEastAsia" w:hAnsiTheme="minorEastAsia" w:cs="Arial" w:hint="eastAsia"/>
          <w:bCs/>
          <w:sz w:val="24"/>
          <w:szCs w:val="24"/>
        </w:rPr>
        <w:t>应当</w:t>
      </w:r>
      <w:r w:rsidRPr="002D1330">
        <w:rPr>
          <w:rFonts w:asciiTheme="minorEastAsia" w:hAnsiTheme="minorEastAsia" w:cs="Arial" w:hint="eastAsia"/>
          <w:bCs/>
          <w:sz w:val="24"/>
          <w:szCs w:val="24"/>
        </w:rPr>
        <w:t>暂停估值时；</w:t>
      </w:r>
    </w:p>
    <w:p w:rsidR="000C660B" w:rsidRPr="002D1330" w:rsidRDefault="00A02586"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4</w:t>
      </w:r>
      <w:r w:rsidR="000C660B" w:rsidRPr="002D1330">
        <w:rPr>
          <w:rFonts w:asciiTheme="minorEastAsia" w:hAnsiTheme="minorEastAsia" w:cs="Arial" w:hint="eastAsia"/>
          <w:sz w:val="24"/>
          <w:szCs w:val="24"/>
        </w:rPr>
        <w:t>.中国证监会和《基金合同》认定的其他情形。</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（五）基金会计制度</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按国家有关部门规定的会计制度执行。</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（六）基金账册的建立</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基金管理人进行基金会计核算并编制基金财务会计报告。基金管理人</w:t>
      </w:r>
      <w:r w:rsidR="001D5984" w:rsidRPr="002D1330">
        <w:rPr>
          <w:rFonts w:asciiTheme="minorEastAsia" w:hAnsiTheme="minorEastAsia" w:cs="Arial" w:hint="eastAsia"/>
          <w:sz w:val="24"/>
          <w:szCs w:val="24"/>
        </w:rPr>
        <w:t>、基金托管人分别</w:t>
      </w:r>
      <w:r w:rsidRPr="002D1330">
        <w:rPr>
          <w:rFonts w:asciiTheme="minorEastAsia" w:hAnsiTheme="minorEastAsia" w:cs="Arial" w:hint="eastAsia"/>
          <w:sz w:val="24"/>
          <w:szCs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（七）基金财务报表与报告的编制和复核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1.财务报表的编制</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基金财务报表由基金管理人编制，基金托管人复核。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2.报表复核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基金托管人在收到基金管理人编制的基金财务报表后，进行独立的复核。核对不符时，应及时通知基金管理人共同查出原因，进行调整，直至双方数据完全一致。</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3.财务报表的编制与复核时间安排</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(1)报表的编制</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(2)报表的复核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基金管理人应及时完成报表编制，将有关报表提供基金托管人复核；基金托</w:t>
      </w:r>
      <w:r w:rsidRPr="002D1330">
        <w:rPr>
          <w:rFonts w:asciiTheme="minorEastAsia" w:hAnsiTheme="minorEastAsia" w:cs="Arial" w:hint="eastAsia"/>
          <w:sz w:val="24"/>
          <w:szCs w:val="24"/>
        </w:rPr>
        <w:lastRenderedPageBreak/>
        <w:t>管人在复核过程中，发现双方的报表存在不符时，基金管理人和基金托管人应共同查明原因，进行调整，调整以国家有关规定为准。</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基金管理人应留足充分的时间，便于基金托管人复核相关报表及报告。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（八）基金管理人应在编制季度报告、半年度报告或者年度报告之前及时向基金托管人提供基金业绩比较基准的基础数据和编制结果。</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89" w:name="_Toc124325893"/>
      <w:r w:rsidRPr="002D1330">
        <w:rPr>
          <w:rFonts w:asciiTheme="minorEastAsia" w:hAnsiTheme="minorEastAsia" w:cs="Times New Roman" w:hint="eastAsia"/>
          <w:b/>
          <w:sz w:val="30"/>
          <w:szCs w:val="20"/>
        </w:rPr>
        <w:t>九、基金收益分配</w:t>
      </w:r>
      <w:bookmarkEnd w:id="89"/>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基金收益分配是指按规定将基金的可分配收益按基金份额进行比例分配。</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（一）基金收益分配的原则</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基金收益分配应遵循下列原则：</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1.同一类别内每一基金份额享有同等分配权；</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2.在符合有关基金分红条件的前提下，本基金管理人可以根据实际情况进行收益分配，具体分配方案以公告为准，若《基金合同》生效不满3个月可不进行收益分配；</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3.本基金收益分配方式分为两种：现金分红与红利再投资，投资者可选择现金红利或将现金红利自动转为相应类别的基金份额进行再投资；若投资者不选择，本基金默认的收益分配方式是现金分红；</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4.基金收益分配后基金份额净值不能低于面值，即基金收益分配基准日的基金份额净值减去每单位该类基金份额收益分配金额后不能低于面值；</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5.法律法规或监管机构另有规定的，从其规定。</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在不违反法律法规且对基金份额持有人利益无实质不利影响的前提下，基金管理人可对基金收益分配的有关业务规则进行调整，并及时公告。</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（二）基金收益分配的时间和程序</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本基金收益分配方案由基金管理人拟订，并由基金托管人复核，在2日内在指定媒介公告并报中国证监会备案。</w:t>
      </w:r>
      <w:r w:rsidRPr="002D1330">
        <w:rPr>
          <w:rFonts w:asciiTheme="minorEastAsia" w:hAnsiTheme="minorEastAsia" w:cs="Times New Roman" w:hint="eastAsia"/>
          <w:sz w:val="24"/>
          <w:szCs w:val="24"/>
        </w:rPr>
        <w:t>基金红利发放日距离收益分配基准日（即可供分配利润计算截止日）的时间不得超过15个工作日。</w:t>
      </w:r>
      <w:r w:rsidRPr="002D1330">
        <w:rPr>
          <w:rFonts w:asciiTheme="minorEastAsia" w:hAnsiTheme="minorEastAsia"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0" w:name="_Toc124325894"/>
      <w:r w:rsidRPr="002D1330">
        <w:rPr>
          <w:rFonts w:asciiTheme="minorEastAsia" w:hAnsiTheme="minorEastAsia" w:cs="Times New Roman" w:hint="eastAsia"/>
          <w:b/>
          <w:sz w:val="30"/>
          <w:szCs w:val="20"/>
        </w:rPr>
        <w:t>十、基金信息披露</w:t>
      </w:r>
      <w:bookmarkEnd w:id="90"/>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（一）保密义务</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1.非因基金管理人和基金托管人的原因导致保密信息被披露、泄露或公开；</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2.基金管理人和基金托管人为遵守和服从法院判决或裁定、仲裁裁决或中国证监会等监管机构的命令、决定所做出的信息披露或公开。</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（二）信息披露的内容</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的信息披露内容主要包括基金招募说明书、《基金合同》、基金托管协议、基金份额发售公告、《基金合同》生效公告、基金资产净值、各类基金份额的基金份额净值、各类基金份额的申购、赎回价格、定期报告、临时报告、澄清公告、基金份额持有人大会决议、投资资产支持证券、中小企业私募债、国债期货</w:t>
      </w:r>
      <w:r w:rsidR="00483178" w:rsidRPr="002D1330">
        <w:rPr>
          <w:rFonts w:asciiTheme="minorEastAsia" w:hAnsiTheme="minorEastAsia" w:cs="Arial" w:hint="eastAsia"/>
          <w:sz w:val="24"/>
          <w:szCs w:val="24"/>
        </w:rPr>
        <w:t>、流动性风险分析</w:t>
      </w:r>
      <w:r w:rsidRPr="002D1330">
        <w:rPr>
          <w:rFonts w:asciiTheme="minorEastAsia" w:hAnsiTheme="minorEastAsia" w:cs="Arial" w:hint="eastAsia"/>
          <w:sz w:val="24"/>
          <w:szCs w:val="24"/>
        </w:rPr>
        <w:t>的信息披露等中国证监会规定的其他信息。基金年度报告需经具有从事证券相关业务资格的会计师事务所审计后，方可披露。</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（三）基金托管人和基金管理人在信息披露中的职责和信息披露程序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1.职责</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w:t>
      </w:r>
      <w:r w:rsidRPr="002D1330">
        <w:rPr>
          <w:rFonts w:asciiTheme="minorEastAsia" w:hAnsiTheme="minorEastAsia" w:cs="Arial" w:hint="eastAsia"/>
          <w:sz w:val="24"/>
          <w:szCs w:val="24"/>
        </w:rPr>
        <w:lastRenderedPageBreak/>
        <w:t>公布。</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对于不需要基金托管人复核的信息，基金管理人在公告前应告知基金托管人。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基金管理人和基金托管人应积极配合、互相监督，保证其履行按照法定方式和限时披露的义务。</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当出现下述情况时，基金管理人和基金托管人可暂停或延迟披露基金相关信息：</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(1)因不可抗力致使基金管理人、基金托管人无法准确评估基金资产价值时；</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(2)基金投资所涉及的证券/期货交易市场遇法定节假日或因其他原因暂停营业时；</w:t>
      </w:r>
    </w:p>
    <w:p w:rsidR="009E09A6"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w:t>
      </w:r>
      <w:r w:rsidR="009E09A6" w:rsidRPr="002D1330">
        <w:rPr>
          <w:rFonts w:asciiTheme="minorEastAsia" w:hAnsiTheme="minorEastAsia" w:cs="Arial" w:hint="eastAsia"/>
          <w:sz w:val="24"/>
          <w:szCs w:val="24"/>
        </w:rPr>
        <w:t>当前一估值日基金资产净值50%以上的资产出现无可参考的活跃市场价格且采用估值技术仍导致公允价值存在重大不确定性，并经与基金托管人协商确认后，基金管理人应当暂停估值时；</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法律法规、《基金合同》或中国证监会规定的情况。</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3.信息文本的存放</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C660B" w:rsidRPr="002D1330" w:rsidRDefault="000C660B" w:rsidP="002D1330">
      <w:pPr>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1" w:name="_Toc124325895"/>
      <w:r w:rsidRPr="002D1330">
        <w:rPr>
          <w:rFonts w:asciiTheme="minorEastAsia" w:hAnsiTheme="minorEastAsia" w:cs="Times New Roman" w:hint="eastAsia"/>
          <w:b/>
          <w:sz w:val="30"/>
          <w:szCs w:val="20"/>
        </w:rPr>
        <w:t>十一、基金费用</w:t>
      </w:r>
      <w:bookmarkEnd w:id="91"/>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（一）基金管理费的计提比例和计提方法</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本基金的管理费按前一日基金资产净值的0.30%年费率计提。管理费的计算方</w:t>
      </w:r>
      <w:r w:rsidRPr="002D1330">
        <w:rPr>
          <w:rFonts w:asciiTheme="minorEastAsia" w:hAnsiTheme="minorEastAsia" w:cs="Arial" w:hint="eastAsia"/>
          <w:sz w:val="24"/>
          <w:szCs w:val="24"/>
        </w:rPr>
        <w:lastRenderedPageBreak/>
        <w:t>法如下：</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H＝E×年管理费率÷当年天数</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H为每日应计提的基金管理费</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E为前一日的基金资产净值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（二）基金托管费的计提比例和计提方法</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本基金的托管费按前一日基金资产净值的0.10%年费率计提。托管费的计算方法如下：</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H＝E×年托管费率÷当年天数</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H为每日应计提的基金托管费</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E为前一日的基金资产净值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（三）销售服务费的计提比例和计提方法</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本基金A类基金份额不收取销售服务费，C类基金份额的销售服务费年费率为0.40%。</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本基金C类基金份额的销售服务费按前一日C类基金份额的基金资产净值的0.40%年费率计提。</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 xml:space="preserve">计算方法如下： </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 xml:space="preserve">H＝E×年销售服务费率÷当年天数 </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H为C类基金份额每日应计提的销售服务费</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E为C类基金份额前一日的基金资产净值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四）账户开户费用、证券/期货交易费用、基金财产划拨支付的银行费用、账户维护费、《基金合同》生效后的信息披露费用、基金份额持有人大会费用、《基金合同》生效后与基金有关的会计师费和律师费、诉讼和仲裁费等根据有关法律法规、《基金合同》及相应协议的规定，列入当期基金费用。</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（五）不列入基金费用的项目</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（六）基金管理费、基金托管费和基金的销售服务费的调整</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基金管理人和基金托管人协商一致并履行适当程序后可调整基金管理费率、基金托管费率和基金销售服务费。</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lastRenderedPageBreak/>
        <w:t>（七）基金管理费、基金托管费、销售服务费的复核程序、支付方式和时间</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1.复核程序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基金托管人对基金管理人计提的基金管理费和基金托管费、销售服务费等，根据本托管协议和《基金合同》的有关规定进行复核。</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2.支付方式和时间</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基金管理费、基金托管费、销售服务费每日计提，</w:t>
      </w:r>
      <w:r w:rsidRPr="002D1330">
        <w:rPr>
          <w:rFonts w:asciiTheme="minorEastAsia" w:hAnsiTheme="minorEastAsia" w:cs="Times New Roman" w:hint="eastAsia"/>
          <w:sz w:val="24"/>
          <w:szCs w:val="24"/>
        </w:rPr>
        <w:t>逐日累计至每月月末，</w:t>
      </w:r>
      <w:r w:rsidRPr="002D1330">
        <w:rPr>
          <w:rFonts w:asciiTheme="minorEastAsia" w:hAnsiTheme="minorEastAsia" w:cs="Arial" w:hint="eastAsia"/>
          <w:sz w:val="24"/>
          <w:szCs w:val="24"/>
        </w:rPr>
        <w:t>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在首期支付基金管理费、销售服务费前，基金管理人应向托管人出具正式函件指定基金管理费、销售服务费的收款账户。基金管理人如需要变更此账户，应提前5个工作日向托管人出具书面的收款账户变更通知。</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（八）违规处理方式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2" w:name="_Toc124325896"/>
      <w:r w:rsidRPr="002D1330">
        <w:rPr>
          <w:rFonts w:asciiTheme="minorEastAsia" w:hAnsiTheme="minorEastAsia" w:cs="Times New Roman" w:hint="eastAsia"/>
          <w:b/>
          <w:sz w:val="30"/>
          <w:szCs w:val="20"/>
        </w:rPr>
        <w:t>十二、基金份额持有人名册的保管</w:t>
      </w:r>
      <w:bookmarkEnd w:id="92"/>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在基金托管人要求或编制半年报和年报前，基金管理人应将有关资料送交基金托管人，不得无故拒绝或延误提供，并保证其真实性、准确性和完整性。</w:t>
      </w:r>
      <w:r w:rsidRPr="002D1330">
        <w:rPr>
          <w:rFonts w:asciiTheme="minorEastAsia" w:hAnsiTheme="minorEastAsia" w:cs="Times New Roman" w:hint="eastAsia"/>
          <w:kern w:val="0"/>
          <w:sz w:val="24"/>
          <w:szCs w:val="24"/>
        </w:rPr>
        <w:t>基金托管人不得将所保管的基金份额持有人名册用于基金托管业务以外的其他用途，并应遵守保密义务。</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3" w:name="_Toc124325897"/>
      <w:r w:rsidRPr="002D1330">
        <w:rPr>
          <w:rFonts w:asciiTheme="minorEastAsia" w:hAnsiTheme="minorEastAsia" w:cs="Times New Roman" w:hint="eastAsia"/>
          <w:b/>
          <w:sz w:val="30"/>
          <w:szCs w:val="20"/>
        </w:rPr>
        <w:lastRenderedPageBreak/>
        <w:t>十三、基金有关文件档案的保存</w:t>
      </w:r>
      <w:bookmarkEnd w:id="93"/>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（一）档案保存</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（二）合同档案的建立</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1.基金管理人签署重大合同文本后，应及时将合同文本正本送达基金托管人处。</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2.基金管理人应及时将与本基金账务处理、资金划拨等有关的合同、协议传真基金托管人。</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（三）变更与协助</w:t>
      </w:r>
    </w:p>
    <w:p w:rsidR="000C660B" w:rsidRPr="002D1330" w:rsidRDefault="000C660B" w:rsidP="002D1330">
      <w:pPr>
        <w:adjustRightInd w:val="0"/>
        <w:snapToGrid w:val="0"/>
        <w:spacing w:line="360" w:lineRule="auto"/>
        <w:ind w:firstLineChars="200" w:firstLine="480"/>
        <w:rPr>
          <w:rFonts w:asciiTheme="minorEastAsia" w:hAnsiTheme="minorEastAsia" w:cs="Times New Roman"/>
          <w:b/>
          <w:bCs/>
          <w:sz w:val="30"/>
          <w:szCs w:val="30"/>
        </w:rPr>
      </w:pPr>
      <w:r w:rsidRPr="002D1330">
        <w:rPr>
          <w:rFonts w:asciiTheme="minorEastAsia" w:hAnsiTheme="minorEastAsia" w:cs="Arial" w:hint="eastAsia"/>
          <w:sz w:val="24"/>
          <w:szCs w:val="24"/>
        </w:rPr>
        <w:t>若基金管理人/基金托管人发生变更，未变更的一方有义务协助变更后的接任人接收相应文件。</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（四）基金管理人和基金托管人应按各自职责完整保存原始凭证、记账凭证、基金账册、交易记录和重要合同等，承担保密义务并保存至少十五年以上。</w:t>
      </w:r>
    </w:p>
    <w:p w:rsidR="000C660B" w:rsidRPr="002D1330" w:rsidRDefault="000C660B" w:rsidP="002D1330">
      <w:pPr>
        <w:adjustRightInd w:val="0"/>
        <w:snapToGrid w:val="0"/>
        <w:spacing w:line="360" w:lineRule="auto"/>
        <w:rPr>
          <w:rFonts w:asciiTheme="minorEastAsia" w:hAnsiTheme="minorEastAsia" w:cs="Times New Roman"/>
          <w:sz w:val="30"/>
          <w:szCs w:val="30"/>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4" w:name="_Toc124325898"/>
      <w:r w:rsidRPr="002D1330">
        <w:rPr>
          <w:rFonts w:asciiTheme="minorEastAsia" w:hAnsiTheme="minorEastAsia" w:cs="Times New Roman" w:hint="eastAsia"/>
          <w:b/>
          <w:sz w:val="30"/>
          <w:szCs w:val="20"/>
        </w:rPr>
        <w:t>十四、基金管理人和基金托管人的更换</w:t>
      </w:r>
      <w:bookmarkEnd w:id="94"/>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（一）基金管理人职责终止的情形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1.基金管理人职责终止的情形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有下列情形之一的，基金管理人职责终止：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(1)被依法取消基金管理资格；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(2)依法解散、被依法撤销或被依法宣告破产；</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(3)被基金份额持有人大会解任；</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(4)法律法规及中国证监会规定的和《基金合同》约定的其他情形。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2.基金管理人的更换程序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更换基金管理人必须依照如下程序进行：</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(1)提名：新任基金管理人由基金托管人</w:t>
      </w:r>
      <w:r w:rsidRPr="002D1330">
        <w:rPr>
          <w:rFonts w:asciiTheme="minorEastAsia" w:hAnsiTheme="minorEastAsia" w:cs="Times New Roman" w:hint="eastAsia"/>
          <w:sz w:val="24"/>
          <w:szCs w:val="24"/>
        </w:rPr>
        <w:t>或由单独或合计持有10%以上(含10%)</w:t>
      </w:r>
      <w:r w:rsidRPr="002D1330">
        <w:rPr>
          <w:rFonts w:asciiTheme="minorEastAsia" w:hAnsiTheme="minorEastAsia" w:cs="Times New Roman" w:hint="eastAsia"/>
          <w:sz w:val="24"/>
          <w:szCs w:val="24"/>
        </w:rPr>
        <w:lastRenderedPageBreak/>
        <w:t>基金份额的基金份额持有人</w:t>
      </w:r>
      <w:r w:rsidRPr="002D1330">
        <w:rPr>
          <w:rFonts w:asciiTheme="minorEastAsia" w:hAnsiTheme="minorEastAsia" w:cs="Arial" w:hint="eastAsia"/>
          <w:sz w:val="24"/>
          <w:szCs w:val="24"/>
        </w:rPr>
        <w:t>提名；</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(3)临时基金管理人：新任基金管理人产生之前，由中国证监会指定临时基金管理人；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(4)备案：基金份额持有人大会更换基金管理人的决议须报中国证监会备案；</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(5)公告：基金管理人更换后，由基金托管人在更换基金管理人的基金份额持有人大会决议生效后2日内在指定媒介公告；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(7)审计：基金管理人职责终止的，应当按照法律法规规定聘请会计师事务所对基金财产进行审计，并将审计结果予以公告，同时报中国证监会备案；</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30"/>
          <w:szCs w:val="30"/>
        </w:rPr>
      </w:pPr>
      <w:r w:rsidRPr="002D1330">
        <w:rPr>
          <w:rFonts w:asciiTheme="minorEastAsia" w:hAnsiTheme="minorEastAsia" w:cs="Arial" w:hint="eastAsia"/>
          <w:sz w:val="24"/>
          <w:szCs w:val="24"/>
        </w:rPr>
        <w:t>(8)基金名称变更：基金管理人更换后，如果原任或新任基金管理人要求，应按其要求替换或删除基金名称中与原基金管理人有关的名称字样。</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（二）基金托管人职责终止的情形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1.基金托管人职责终止的情形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有下列情形之一的，基金托管人职责终止：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(1)被依法取消基金托管资格；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(2)依法解散、被依法撤销或被依法宣告破产；</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(3)被基金份额持有人大会解任；</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(4)法律法规及中国证监会规定的和《基金合同》约定的其他情形。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2.基金托管人的更换程序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(1)提名：新任基金托管人由基金管理人</w:t>
      </w:r>
      <w:r w:rsidRPr="002D1330">
        <w:rPr>
          <w:rFonts w:asciiTheme="minorEastAsia" w:hAnsiTheme="minorEastAsia" w:cs="Times New Roman" w:hint="eastAsia"/>
          <w:sz w:val="24"/>
          <w:szCs w:val="24"/>
        </w:rPr>
        <w:t>或由单独或合计持有10%以上(含10%)基金份额的基金份额持有人</w:t>
      </w:r>
      <w:r w:rsidRPr="002D1330">
        <w:rPr>
          <w:rFonts w:asciiTheme="minorEastAsia" w:hAnsiTheme="minorEastAsia" w:cs="Arial" w:hint="eastAsia"/>
          <w:sz w:val="24"/>
          <w:szCs w:val="24"/>
        </w:rPr>
        <w:t>提名；</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lastRenderedPageBreak/>
        <w:t>(3)临时基金托管人：新任基金托管人产生之前，由中国证监会指定临时基金托管人；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(4)备案：基金份额持有人大会更换基金托管人的决议须报中国证监会备案；</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(5)公告：基金托管人更换后，由基金管理人在更换基金托管人的基金份额持有人大会决议生效后 2日内在指定媒介公告；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(7)审计：基金托管人职责终止的，应当按照法律法规规定聘请会计师事务所对基金财产进行审计，并将审计结果予以公告，同时报中国证监会备案。</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（三）基金管理人与基金托管人同时更换的条件和程序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1.提名：如果基金管理人和基金托管人同时更换，由单独或合计持有基金总份额10%以上(含10%)的基金份额持有人提名新的基金管理人和基金托管人；</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2.基金管理人和基金托管人的更换分别按上述程序进行；</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3.公告：新任基金管理人和新任基金托管人应在更换基金管理人和基金托管人的基金份额持有人大会决议生效后2日内在指定媒介上联合公告。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5" w:name="_Toc124325899"/>
      <w:r w:rsidRPr="002D1330">
        <w:rPr>
          <w:rFonts w:asciiTheme="minorEastAsia" w:hAnsiTheme="minorEastAsia" w:cs="Times New Roman" w:hint="eastAsia"/>
          <w:b/>
          <w:sz w:val="30"/>
          <w:szCs w:val="20"/>
        </w:rPr>
        <w:t>十五、禁止行为</w:t>
      </w:r>
      <w:bookmarkEnd w:id="95"/>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本协议当事人禁止从事的行为，包括但不限于：</w:t>
      </w:r>
    </w:p>
    <w:p w:rsidR="000C660B" w:rsidRPr="002D1330" w:rsidRDefault="000C660B" w:rsidP="002D1330">
      <w:pPr>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（一）基金管理人、基金托管人将其固有财产或者他人财产混同于基金财产从事证券投资。</w:t>
      </w:r>
    </w:p>
    <w:p w:rsidR="000C660B" w:rsidRPr="002D1330" w:rsidRDefault="000C660B" w:rsidP="002D1330">
      <w:pPr>
        <w:spacing w:line="360" w:lineRule="auto"/>
        <w:ind w:firstLineChars="200" w:firstLine="480"/>
        <w:rPr>
          <w:rFonts w:asciiTheme="minorEastAsia" w:hAnsiTheme="minorEastAsia" w:cs="Times New Roman"/>
          <w:szCs w:val="24"/>
        </w:rPr>
      </w:pPr>
      <w:r w:rsidRPr="002D1330">
        <w:rPr>
          <w:rFonts w:asciiTheme="minorEastAsia" w:hAnsiTheme="minorEastAsia" w:cs="Times New Roman" w:hint="eastAsia"/>
          <w:sz w:val="24"/>
          <w:szCs w:val="24"/>
        </w:rPr>
        <w:t>（二）基金管理人不公平地对待其管理的不同基金财产，基金托管人不公平地对待其托管的不同基金财产。</w:t>
      </w:r>
    </w:p>
    <w:p w:rsidR="000C660B" w:rsidRPr="002D1330" w:rsidRDefault="000C660B" w:rsidP="002D1330">
      <w:pPr>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（三）基金管理人、基金托管人利用基金财产为基金份额持有人以外的第三</w:t>
      </w:r>
      <w:r w:rsidRPr="002D1330">
        <w:rPr>
          <w:rFonts w:asciiTheme="minorEastAsia" w:hAnsiTheme="minorEastAsia" w:cs="Times New Roman" w:hint="eastAsia"/>
          <w:sz w:val="24"/>
          <w:szCs w:val="24"/>
        </w:rPr>
        <w:lastRenderedPageBreak/>
        <w:t>人牟取利益。</w:t>
      </w:r>
    </w:p>
    <w:p w:rsidR="000C660B" w:rsidRPr="002D1330" w:rsidRDefault="000C660B" w:rsidP="002D1330">
      <w:pPr>
        <w:spacing w:line="360" w:lineRule="auto"/>
        <w:ind w:firstLineChars="200" w:firstLine="480"/>
        <w:rPr>
          <w:rFonts w:asciiTheme="minorEastAsia" w:hAnsiTheme="minorEastAsia" w:cs="Times New Roman"/>
          <w:sz w:val="24"/>
          <w:szCs w:val="24"/>
        </w:rPr>
      </w:pPr>
      <w:r w:rsidRPr="002D1330">
        <w:rPr>
          <w:rFonts w:asciiTheme="minorEastAsia" w:hAnsiTheme="minorEastAsia" w:cs="Times New Roman" w:hint="eastAsia"/>
          <w:sz w:val="24"/>
          <w:szCs w:val="24"/>
        </w:rPr>
        <w:t>（四）基金管理人、基金托管人向基金份额持有人违规承诺收益或者承担损失。</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（五）基金管理人、基金托管人对他人泄漏基金运作和管理过程中任何尚未按法律法规规定的方式公开披露的信息。</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（六）基金管理人在没有充足资金的情况下向基金托管人发出投资指令和赎回、分红资金的划拨指令，或违规向基金托管人发出指令。</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（七）基金管理人、基金托管人在行政上、财务上不独立, 其高级管理人员和其他从业人员相互兼职。</w:t>
      </w:r>
    </w:p>
    <w:p w:rsidR="000C660B" w:rsidRPr="002D1330" w:rsidRDefault="000C660B" w:rsidP="002D1330">
      <w:pPr>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（八）基金托管人私自动用或处分基金财产，根据基金管理人的合法指令、《基金合同》或托管协议的规定进行处分的除外。</w:t>
      </w:r>
    </w:p>
    <w:p w:rsidR="000C660B" w:rsidRPr="002D1330" w:rsidRDefault="000C660B" w:rsidP="002D1330">
      <w:pPr>
        <w:spacing w:line="360" w:lineRule="auto"/>
        <w:ind w:firstLineChars="200" w:firstLine="480"/>
        <w:rPr>
          <w:rFonts w:asciiTheme="minorEastAsia" w:hAnsiTheme="minorEastAsia" w:cs="Arial"/>
          <w:sz w:val="24"/>
          <w:szCs w:val="24"/>
        </w:rPr>
      </w:pPr>
      <w:r w:rsidRPr="002D1330">
        <w:rPr>
          <w:rFonts w:asciiTheme="minorEastAsia" w:hAnsiTheme="minorEastAsia" w:cs="Times New Roman" w:hint="eastAsia"/>
          <w:sz w:val="24"/>
          <w:szCs w:val="24"/>
        </w:rPr>
        <w:t>（九）</w:t>
      </w:r>
      <w:r w:rsidRPr="002D1330">
        <w:rPr>
          <w:rFonts w:asciiTheme="minorEastAsia" w:hAnsiTheme="minorEastAsia" w:cs="Arial" w:hint="eastAsia"/>
          <w:sz w:val="24"/>
          <w:szCs w:val="24"/>
        </w:rPr>
        <w:t>基金财产</w:t>
      </w:r>
      <w:r w:rsidRPr="002D1330">
        <w:rPr>
          <w:rFonts w:asciiTheme="minorEastAsia" w:hAnsiTheme="minorEastAsia" w:cs="Times New Roman" w:hint="eastAsia"/>
          <w:sz w:val="24"/>
          <w:szCs w:val="24"/>
        </w:rPr>
        <w:t>用于下列投资或者活动：1.承销证券；2.违反规定向他人贷款或者提供担保；3.从事承担无限责任的投资；4.买卖其他基金份额，但是法律法规或中国证监会另有规定的除外；5.向其基金管理人、基金托管人出资；6.从事内幕交易、操纵证券交易价格及其他不正当的证券交易活动；7.法律、行政法规和中国证监会规定禁止的其他活动。</w:t>
      </w:r>
      <w:r w:rsidRPr="002D1330">
        <w:rPr>
          <w:rFonts w:asciiTheme="minorEastAsia" w:hAnsiTheme="minorEastAsia" w:cs="Arial" w:hint="eastAsia"/>
          <w:sz w:val="24"/>
          <w:szCs w:val="24"/>
        </w:rPr>
        <w:t>法律法规或监管部门取消上述限制，如适用于本基金，则本基金投资不再受相关限制</w:t>
      </w:r>
      <w:r w:rsidRPr="002D1330">
        <w:rPr>
          <w:rFonts w:asciiTheme="minorEastAsia" w:hAnsiTheme="minorEastAsia" w:cs="Times New Roman" w:hint="eastAsia"/>
          <w:sz w:val="24"/>
          <w:szCs w:val="24"/>
        </w:rPr>
        <w:t>。</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（十）法律法规和《基金合同》禁止的其他行为，</w:t>
      </w:r>
      <w:r w:rsidRPr="002D1330">
        <w:rPr>
          <w:rFonts w:asciiTheme="minorEastAsia" w:hAnsiTheme="minorEastAsia" w:cs="Times New Roman" w:hint="eastAsia"/>
          <w:sz w:val="24"/>
          <w:szCs w:val="24"/>
        </w:rPr>
        <w:t>依照法律、行政法规和中国证监会规定禁止基金管理人、基金托管人从事的其他行为。</w:t>
      </w:r>
    </w:p>
    <w:p w:rsidR="000C660B" w:rsidRPr="002D1330" w:rsidRDefault="000C660B" w:rsidP="002D1330">
      <w:pPr>
        <w:adjustRightInd w:val="0"/>
        <w:snapToGrid w:val="0"/>
        <w:spacing w:line="360" w:lineRule="auto"/>
        <w:rPr>
          <w:rFonts w:asciiTheme="minorEastAsia" w:hAnsiTheme="minorEastAsia" w:cs="Times New Roman"/>
          <w:sz w:val="30"/>
          <w:szCs w:val="30"/>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6" w:name="_Toc124325900"/>
      <w:r w:rsidRPr="002D1330">
        <w:rPr>
          <w:rFonts w:asciiTheme="minorEastAsia" w:hAnsiTheme="minorEastAsia" w:cs="Times New Roman" w:hint="eastAsia"/>
          <w:b/>
          <w:sz w:val="30"/>
          <w:szCs w:val="20"/>
        </w:rPr>
        <w:t>十六、托管协议的变更、终止与基金财产的清算</w:t>
      </w:r>
      <w:bookmarkEnd w:id="96"/>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（一）托管协议的变更程序</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30"/>
          <w:szCs w:val="30"/>
        </w:rPr>
      </w:pPr>
      <w:r w:rsidRPr="002D1330">
        <w:rPr>
          <w:rFonts w:asciiTheme="minorEastAsia" w:hAnsiTheme="minorEastAsia" w:cs="Arial" w:hint="eastAsia"/>
          <w:sz w:val="24"/>
          <w:szCs w:val="24"/>
        </w:rPr>
        <w:t>本协议双方当事人经协商一致，可以对协议进行修改。修改后的新协议，其内容不得与《基金合同》的规定有任何冲突。基金托管协议的变更报中国证监会备案。</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（二）托管协议终止的情形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1.《基金合同》终止；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2.基金托管人解散、依法被撤销、破产或由其他基金托管人接管基金资产；</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lastRenderedPageBreak/>
        <w:t>3.基金管理人解散、依法被撤销、破产或由其他基金管理人接管基金管理权；</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4.发生法律法规或《基金合同》规定的终止事项。</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（三）基金财产的清算</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1.基金财产清算小组：自出现《基金合同》终止事由之日起30个工作日内成立清算小组，基金管理人组织基金财产清算小组并在中国证监会的监督下进行基金清算。</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3.基金财产清算小组职责：基金财产清算小组负责基金财产的保管、清理、估价、变现和分配。基金财产清算小组可以依法进行必要的民事活动。</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4.基金财产清算程序：</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(1)《基金合同》终止情形出现时，由基金财产清算小组统一接管基金；</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(2)对基金财产和债权债务进行清理和确认；</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(3)对基金财产进行估值和变现；</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(4)制作清算报告；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(5)聘请会计师事务所对清算报告进行外部审计，聘请律师事务所对清算报告出具法律意见书；</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(6)将清算结果报中国证监会备案并公告；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(7)对基金剩余财产进行分配。</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5.基金财产清算的期限为6个月。</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6.清算费用</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清算费用是指基金财产清算小组在进行基金清算过程中发生的所有合理费用，清算费用由基金财产清算小组优先从基金财产中支付。</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7.基金财产清算剩余资产的分配：</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8.基金财产清算的公告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清算过程中的有关重大事项须及时公告；基金财产清算报告经会计师事务所</w:t>
      </w:r>
      <w:r w:rsidRPr="002D1330">
        <w:rPr>
          <w:rFonts w:asciiTheme="minorEastAsia" w:hAnsiTheme="minorEastAsia" w:cs="Arial" w:hint="eastAsia"/>
          <w:sz w:val="24"/>
          <w:szCs w:val="24"/>
        </w:rPr>
        <w:lastRenderedPageBreak/>
        <w:t>审计、并由律师事务所出具法律意见书后，报中国证监会备案并公告。基金财产清算公告于基金财产清算报告报中国证监会备案后5个工作日内由基金财产清算小组进行公告。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9.基金财产清算账册及文件的保存</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基金财产清算账册及有关文件由基金托管人保存15年以上。</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7" w:name="_Toc124325901"/>
      <w:r w:rsidRPr="002D1330">
        <w:rPr>
          <w:rFonts w:asciiTheme="minorEastAsia" w:hAnsiTheme="minorEastAsia" w:cs="Times New Roman" w:hint="eastAsia"/>
          <w:b/>
          <w:sz w:val="30"/>
          <w:szCs w:val="20"/>
        </w:rPr>
        <w:t>十七、违约责任</w:t>
      </w:r>
      <w:bookmarkEnd w:id="97"/>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（一）基金管理人、基金托管人不履行本协议或履行本协议不符合约定的，应当承担违约责任。</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2D1330">
        <w:rPr>
          <w:rFonts w:asciiTheme="minorEastAsia" w:hAnsiTheme="minorEastAsia" w:cs="Times New Roman" w:hint="eastAsia"/>
          <w:kern w:val="0"/>
          <w:sz w:val="24"/>
          <w:szCs w:val="24"/>
        </w:rPr>
        <w:t>，对损失的赔偿，仅限于直接损失</w:t>
      </w:r>
      <w:r w:rsidRPr="002D1330">
        <w:rPr>
          <w:rFonts w:asciiTheme="minorEastAsia" w:hAnsiTheme="minorEastAsia" w:cs="Arial" w:hint="eastAsia"/>
          <w:sz w:val="24"/>
          <w:szCs w:val="24"/>
        </w:rPr>
        <w:t>。</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1.不可抗力；</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2.基金管理人和/或基金托管人按照当时有效的法律法规或中国证监会的规定作为或不作为而造成的损失等；</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3.基金管理人由于按照《基金合同》规定的投资原则投资或不投资造成的直接损失等。</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（五）违约行为虽已发生，但本托管协议能够继续履行的，在最大限度地保护基金份额持有人利益的前提下，基金管理人和基金托管人应当继续履行本协议。</w:t>
      </w:r>
    </w:p>
    <w:p w:rsidR="000C660B" w:rsidRPr="002D1330" w:rsidRDefault="000C660B" w:rsidP="002D1330">
      <w:pPr>
        <w:adjustRightInd w:val="0"/>
        <w:snapToGrid w:val="0"/>
        <w:spacing w:line="360" w:lineRule="auto"/>
        <w:ind w:firstLineChars="200" w:firstLine="480"/>
        <w:outlineLvl w:val="0"/>
        <w:rPr>
          <w:rFonts w:asciiTheme="minorEastAsia" w:hAnsiTheme="minorEastAsia" w:cs="Arial"/>
          <w:sz w:val="24"/>
          <w:szCs w:val="24"/>
        </w:rPr>
      </w:pPr>
      <w:r w:rsidRPr="002D1330">
        <w:rPr>
          <w:rFonts w:asciiTheme="minorEastAsia" w:hAnsiTheme="minorEastAsia" w:cs="Arial" w:hint="eastAsia"/>
          <w:sz w:val="24"/>
          <w:szCs w:val="24"/>
        </w:rPr>
        <w:t>（六）由于基金管理人、基金托管人不可控制的因素导致业务出现差错，基</w:t>
      </w:r>
      <w:r w:rsidRPr="002D1330">
        <w:rPr>
          <w:rFonts w:asciiTheme="minorEastAsia" w:hAnsiTheme="minorEastAsia" w:cs="Arial" w:hint="eastAsia"/>
          <w:sz w:val="24"/>
          <w:szCs w:val="24"/>
        </w:rPr>
        <w:lastRenderedPageBreak/>
        <w:t>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C660B" w:rsidRPr="002D1330" w:rsidRDefault="000C660B" w:rsidP="002D1330">
      <w:pPr>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8" w:name="_Toc124325902"/>
      <w:r w:rsidRPr="002D1330">
        <w:rPr>
          <w:rFonts w:asciiTheme="minorEastAsia" w:hAnsiTheme="minorEastAsia" w:cs="Times New Roman" w:hint="eastAsia"/>
          <w:b/>
          <w:sz w:val="30"/>
          <w:szCs w:val="20"/>
        </w:rPr>
        <w:t>十八、争议解决方式</w:t>
      </w:r>
      <w:bookmarkEnd w:id="98"/>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本协议受中国法律管辖。</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99" w:name="_Toc124325903"/>
      <w:r w:rsidRPr="002D1330">
        <w:rPr>
          <w:rFonts w:asciiTheme="minorEastAsia" w:hAnsiTheme="minorEastAsia" w:cs="Times New Roman" w:hint="eastAsia"/>
          <w:b/>
          <w:sz w:val="30"/>
          <w:szCs w:val="20"/>
        </w:rPr>
        <w:t>十九、托管协议的效力</w:t>
      </w:r>
      <w:bookmarkEnd w:id="99"/>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双方对托管协议的效力约定如下：</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1D5984" w:rsidRPr="002D1330">
        <w:rPr>
          <w:rFonts w:asciiTheme="minorEastAsia" w:hAnsiTheme="minorEastAsia" w:cs="Arial" w:hint="eastAsia"/>
          <w:sz w:val="24"/>
          <w:szCs w:val="24"/>
        </w:rPr>
        <w:t>注册</w:t>
      </w:r>
      <w:r w:rsidRPr="002D1330">
        <w:rPr>
          <w:rFonts w:asciiTheme="minorEastAsia" w:hAnsiTheme="minorEastAsia" w:cs="Arial" w:hint="eastAsia"/>
          <w:sz w:val="24"/>
          <w:szCs w:val="24"/>
        </w:rPr>
        <w:t>的文本为正式文本。</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（二）托管协议自《基金合同》成立之日起成立，自《基金合同》生效之日起生效。托管协议的有效期自其生效之日起至基金财产清算结果报中国证监会备案并公告之日止。</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（三）托管协议自生效之日起对托管协议当事人具有同等的法律约束力。</w:t>
      </w:r>
    </w:p>
    <w:p w:rsidR="000C660B" w:rsidRPr="002D1330" w:rsidRDefault="000C660B" w:rsidP="002D1330">
      <w:pPr>
        <w:adjustRightInd w:val="0"/>
        <w:snapToGrid w:val="0"/>
        <w:spacing w:line="360" w:lineRule="auto"/>
        <w:ind w:firstLineChars="200" w:firstLine="480"/>
        <w:rPr>
          <w:rFonts w:asciiTheme="minorEastAsia" w:hAnsiTheme="minorEastAsia" w:cs="Times New Roman"/>
          <w:sz w:val="30"/>
          <w:szCs w:val="30"/>
        </w:rPr>
      </w:pPr>
      <w:r w:rsidRPr="002D1330">
        <w:rPr>
          <w:rFonts w:asciiTheme="minorEastAsia" w:hAnsiTheme="minorEastAsia" w:cs="Arial" w:hint="eastAsia"/>
          <w:sz w:val="24"/>
          <w:szCs w:val="24"/>
        </w:rPr>
        <w:t>（四）本协议一式六份，协议双方各持二份，上报监管机构二份，每份具有同等的法律效力。</w:t>
      </w:r>
    </w:p>
    <w:p w:rsidR="000C660B" w:rsidRPr="002D1330" w:rsidRDefault="000C660B" w:rsidP="002D1330">
      <w:pPr>
        <w:adjustRightInd w:val="0"/>
        <w:snapToGrid w:val="0"/>
        <w:spacing w:line="360" w:lineRule="auto"/>
        <w:rPr>
          <w:rFonts w:asciiTheme="minorEastAsia" w:hAnsiTheme="minorEastAsia" w:cs="Arial"/>
          <w:sz w:val="24"/>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100" w:name="_Toc124325904"/>
      <w:r w:rsidRPr="002D1330">
        <w:rPr>
          <w:rFonts w:asciiTheme="minorEastAsia" w:hAnsiTheme="minorEastAsia" w:cs="Times New Roman" w:hint="eastAsia"/>
          <w:b/>
          <w:sz w:val="30"/>
          <w:szCs w:val="20"/>
        </w:rPr>
        <w:t>二十、其他事项</w:t>
      </w:r>
      <w:bookmarkEnd w:id="100"/>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如发生有权司法机关依法冻结基金份额持有人的基金份额时，基金管理人应予以配合，承担司法协助义务。</w:t>
      </w:r>
    </w:p>
    <w:p w:rsidR="000C660B" w:rsidRPr="002D1330" w:rsidRDefault="000C660B" w:rsidP="002D1330">
      <w:pPr>
        <w:adjustRightInd w:val="0"/>
        <w:snapToGrid w:val="0"/>
        <w:spacing w:line="360" w:lineRule="auto"/>
        <w:ind w:firstLineChars="200" w:firstLine="480"/>
        <w:rPr>
          <w:rFonts w:asciiTheme="minorEastAsia" w:hAnsiTheme="minorEastAsia" w:cs="Arial"/>
          <w:sz w:val="24"/>
          <w:szCs w:val="24"/>
        </w:rPr>
      </w:pPr>
      <w:r w:rsidRPr="002D1330">
        <w:rPr>
          <w:rFonts w:asciiTheme="minorEastAsia" w:hAnsiTheme="minorEastAsia" w:cs="Arial" w:hint="eastAsia"/>
          <w:sz w:val="24"/>
          <w:szCs w:val="24"/>
        </w:rPr>
        <w:t>除本协议有明确定义外，本协议的用语定义适用《基金合同》的约定。本协议未尽事宜，当事人依据《基金合同》、有关法律法规等规定协商办理。</w:t>
      </w:r>
    </w:p>
    <w:p w:rsidR="000C660B" w:rsidRPr="002D1330" w:rsidRDefault="000C660B" w:rsidP="002D1330">
      <w:pPr>
        <w:adjustRightInd w:val="0"/>
        <w:snapToGrid w:val="0"/>
        <w:spacing w:line="360" w:lineRule="auto"/>
        <w:rPr>
          <w:rFonts w:asciiTheme="minorEastAsia" w:hAnsiTheme="minorEastAsia" w:cs="Times New Roman"/>
          <w:b/>
          <w:bCs/>
          <w:szCs w:val="24"/>
        </w:rPr>
      </w:pPr>
    </w:p>
    <w:p w:rsidR="000C660B" w:rsidRPr="002D1330" w:rsidRDefault="000C660B" w:rsidP="002D1330">
      <w:pPr>
        <w:keepNext/>
        <w:keepLines/>
        <w:spacing w:before="260" w:after="260" w:line="360" w:lineRule="auto"/>
        <w:jc w:val="center"/>
        <w:outlineLvl w:val="1"/>
        <w:rPr>
          <w:rFonts w:asciiTheme="minorEastAsia" w:hAnsiTheme="minorEastAsia" w:cs="Times New Roman"/>
          <w:b/>
          <w:sz w:val="30"/>
          <w:szCs w:val="20"/>
        </w:rPr>
      </w:pPr>
      <w:bookmarkStart w:id="101" w:name="_Toc124325905"/>
      <w:r w:rsidRPr="002D1330">
        <w:rPr>
          <w:rFonts w:asciiTheme="minorEastAsia" w:hAnsiTheme="minorEastAsia" w:cs="Times New Roman" w:hint="eastAsia"/>
          <w:b/>
          <w:sz w:val="30"/>
          <w:szCs w:val="20"/>
        </w:rPr>
        <w:t>二十一、托管协议的签订</w:t>
      </w:r>
      <w:bookmarkEnd w:id="101"/>
    </w:p>
    <w:p w:rsidR="001117E1" w:rsidRPr="002D1330" w:rsidRDefault="000C660B" w:rsidP="002D1330">
      <w:pPr>
        <w:adjustRightInd w:val="0"/>
        <w:snapToGrid w:val="0"/>
        <w:spacing w:line="360" w:lineRule="auto"/>
        <w:ind w:firstLineChars="200" w:firstLine="480"/>
        <w:rPr>
          <w:rFonts w:asciiTheme="minorEastAsia" w:hAnsiTheme="minorEastAsia"/>
        </w:rPr>
      </w:pPr>
      <w:r w:rsidRPr="002D1330">
        <w:rPr>
          <w:rFonts w:asciiTheme="minorEastAsia" w:hAnsiTheme="minorEastAsia" w:cs="Arial" w:hint="eastAsia"/>
          <w:sz w:val="24"/>
          <w:szCs w:val="24"/>
        </w:rPr>
        <w:t>本协议双方法定代表人或授权代表签章、签订地、签订日</w:t>
      </w:r>
    </w:p>
    <w:sectPr w:rsidR="001117E1" w:rsidRPr="002D1330" w:rsidSect="006C5081">
      <w:headerReference w:type="default" r:id="rId12"/>
      <w:footerReference w:type="default" r:id="rId13"/>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2A" w:rsidRDefault="00C0082A">
      <w:r>
        <w:separator/>
      </w:r>
    </w:p>
  </w:endnote>
  <w:endnote w:type="continuationSeparator" w:id="0">
    <w:p w:rsidR="00C0082A" w:rsidRDefault="00C0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6E" w:rsidRDefault="00BA3B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B6E" w:rsidRDefault="00BA3B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6E" w:rsidRDefault="00BA3B6E">
    <w:pPr>
      <w:pStyle w:val="a5"/>
      <w:jc w:val="center"/>
    </w:pPr>
  </w:p>
  <w:p w:rsidR="00BA3B6E" w:rsidRDefault="00BA3B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6E" w:rsidRDefault="00BA3B6E">
    <w:pPr>
      <w:pStyle w:val="a5"/>
      <w:jc w:val="center"/>
    </w:pPr>
  </w:p>
  <w:p w:rsidR="00BA3B6E" w:rsidRDefault="00BA3B6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92516"/>
      <w:docPartObj>
        <w:docPartGallery w:val="Page Numbers (Bottom of Page)"/>
        <w:docPartUnique/>
      </w:docPartObj>
    </w:sdtPr>
    <w:sdtEndPr/>
    <w:sdtContent>
      <w:p w:rsidR="006C5081" w:rsidRDefault="006C5081">
        <w:pPr>
          <w:pStyle w:val="a5"/>
          <w:jc w:val="center"/>
        </w:pPr>
        <w:r>
          <w:fldChar w:fldCharType="begin"/>
        </w:r>
        <w:r>
          <w:instrText>PAGE   \* MERGEFORMAT</w:instrText>
        </w:r>
        <w:r>
          <w:fldChar w:fldCharType="separate"/>
        </w:r>
        <w:r w:rsidR="003E162B" w:rsidRPr="003E162B">
          <w:rPr>
            <w:noProof/>
            <w:lang w:val="zh-CN"/>
          </w:rPr>
          <w:t>1</w:t>
        </w:r>
        <w:r>
          <w:fldChar w:fldCharType="end"/>
        </w:r>
      </w:p>
    </w:sdtContent>
  </w:sdt>
  <w:p w:rsidR="00BA3B6E" w:rsidRDefault="00BA3B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2A" w:rsidRDefault="00C0082A">
      <w:r>
        <w:separator/>
      </w:r>
    </w:p>
  </w:footnote>
  <w:footnote w:type="continuationSeparator" w:id="0">
    <w:p w:rsidR="00C0082A" w:rsidRDefault="00C0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6E" w:rsidRPr="0017170E" w:rsidRDefault="00BA3B6E" w:rsidP="004358DF">
    <w:pPr>
      <w:pStyle w:val="a4"/>
      <w:jc w:val="left"/>
    </w:pPr>
    <w:r>
      <w:rPr>
        <w:rFonts w:hint="eastAsia"/>
      </w:rPr>
      <w:t>汇添富鑫泽定期开放债券型发起式证券投资基金</w:t>
    </w:r>
    <w:r w:rsidRPr="0017170E">
      <w:rPr>
        <w:rFonts w:hint="eastAsia"/>
      </w:rPr>
      <w:t xml:space="preserve">                     </w:t>
    </w:r>
    <w:r>
      <w:rPr>
        <w:rFonts w:hint="eastAsia"/>
      </w:rPr>
      <w:t xml:space="preserve"> </w:t>
    </w:r>
    <w:r w:rsidR="006C5081">
      <w:rPr>
        <w:rFonts w:hint="eastAsia"/>
      </w:rPr>
      <w:t xml:space="preserve">                     </w:t>
    </w:r>
    <w:r>
      <w:rPr>
        <w:rFonts w:hint="eastAsia"/>
      </w:rPr>
      <w:t xml:space="preserve"> </w:t>
    </w:r>
    <w:r w:rsidRPr="0017170E">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6E" w:rsidRDefault="00BA3B6E" w:rsidP="00453694">
    <w:pPr>
      <w:pStyle w:val="a4"/>
      <w:jc w:val="both"/>
    </w:pPr>
    <w:r>
      <w:rPr>
        <w:rFonts w:hint="eastAsia"/>
      </w:rPr>
      <w:t>汇添富鑫泽定期开放债券型发起式证券投资基金</w:t>
    </w:r>
    <w:r w:rsidRPr="0017170E">
      <w:rPr>
        <w:rFonts w:hint="eastAsia"/>
      </w:rPr>
      <w:t xml:space="preserve">                 </w:t>
    </w:r>
    <w:r>
      <w:rPr>
        <w:rFonts w:hint="eastAsia"/>
      </w:rPr>
      <w:t xml:space="preserve">                           </w:t>
    </w:r>
    <w:r w:rsidRPr="0017170E">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0B"/>
    <w:rsid w:val="000149A0"/>
    <w:rsid w:val="00023BAA"/>
    <w:rsid w:val="00072998"/>
    <w:rsid w:val="00074D3B"/>
    <w:rsid w:val="000C660B"/>
    <w:rsid w:val="000D57EE"/>
    <w:rsid w:val="000E2731"/>
    <w:rsid w:val="000E4D44"/>
    <w:rsid w:val="000F2074"/>
    <w:rsid w:val="001117E1"/>
    <w:rsid w:val="001335A2"/>
    <w:rsid w:val="00135F17"/>
    <w:rsid w:val="00142BFB"/>
    <w:rsid w:val="00143366"/>
    <w:rsid w:val="00157087"/>
    <w:rsid w:val="001738D5"/>
    <w:rsid w:val="001B590B"/>
    <w:rsid w:val="001C0EEF"/>
    <w:rsid w:val="001D5984"/>
    <w:rsid w:val="001E601F"/>
    <w:rsid w:val="001E70C2"/>
    <w:rsid w:val="00237C7E"/>
    <w:rsid w:val="00267763"/>
    <w:rsid w:val="00270E4F"/>
    <w:rsid w:val="00273E0C"/>
    <w:rsid w:val="00276662"/>
    <w:rsid w:val="00297FEC"/>
    <w:rsid w:val="002D1330"/>
    <w:rsid w:val="00311412"/>
    <w:rsid w:val="00331FA2"/>
    <w:rsid w:val="0034623E"/>
    <w:rsid w:val="00351953"/>
    <w:rsid w:val="00360AE7"/>
    <w:rsid w:val="00364188"/>
    <w:rsid w:val="003946E4"/>
    <w:rsid w:val="00396473"/>
    <w:rsid w:val="003B0953"/>
    <w:rsid w:val="003C569D"/>
    <w:rsid w:val="003E162B"/>
    <w:rsid w:val="004358DF"/>
    <w:rsid w:val="00453694"/>
    <w:rsid w:val="00472208"/>
    <w:rsid w:val="00481EAC"/>
    <w:rsid w:val="00483178"/>
    <w:rsid w:val="004C761F"/>
    <w:rsid w:val="004E02D0"/>
    <w:rsid w:val="004F2689"/>
    <w:rsid w:val="0053290F"/>
    <w:rsid w:val="00534025"/>
    <w:rsid w:val="005568B2"/>
    <w:rsid w:val="00587ED2"/>
    <w:rsid w:val="00593682"/>
    <w:rsid w:val="005966D7"/>
    <w:rsid w:val="005B60CE"/>
    <w:rsid w:val="005C06F6"/>
    <w:rsid w:val="005D7E27"/>
    <w:rsid w:val="005E5C5B"/>
    <w:rsid w:val="00665466"/>
    <w:rsid w:val="006A2FE6"/>
    <w:rsid w:val="006B20A3"/>
    <w:rsid w:val="006B68C0"/>
    <w:rsid w:val="006C5081"/>
    <w:rsid w:val="00721926"/>
    <w:rsid w:val="0073179C"/>
    <w:rsid w:val="00747756"/>
    <w:rsid w:val="00752FC6"/>
    <w:rsid w:val="0079141A"/>
    <w:rsid w:val="007A34A0"/>
    <w:rsid w:val="007B663B"/>
    <w:rsid w:val="007E3AF6"/>
    <w:rsid w:val="007E731B"/>
    <w:rsid w:val="008115B5"/>
    <w:rsid w:val="00815862"/>
    <w:rsid w:val="0083483F"/>
    <w:rsid w:val="00850F0C"/>
    <w:rsid w:val="00891312"/>
    <w:rsid w:val="00891489"/>
    <w:rsid w:val="008A3377"/>
    <w:rsid w:val="008A7ADB"/>
    <w:rsid w:val="008B4195"/>
    <w:rsid w:val="008D7418"/>
    <w:rsid w:val="009014AD"/>
    <w:rsid w:val="00903BF4"/>
    <w:rsid w:val="00920981"/>
    <w:rsid w:val="00941D78"/>
    <w:rsid w:val="009539AE"/>
    <w:rsid w:val="00967B52"/>
    <w:rsid w:val="009A1A07"/>
    <w:rsid w:val="009B7B30"/>
    <w:rsid w:val="009C3000"/>
    <w:rsid w:val="009C64F8"/>
    <w:rsid w:val="009D18AF"/>
    <w:rsid w:val="009E09A6"/>
    <w:rsid w:val="009F45C3"/>
    <w:rsid w:val="009F6C48"/>
    <w:rsid w:val="009F7741"/>
    <w:rsid w:val="00A02586"/>
    <w:rsid w:val="00A045FB"/>
    <w:rsid w:val="00A33205"/>
    <w:rsid w:val="00A552EB"/>
    <w:rsid w:val="00B74575"/>
    <w:rsid w:val="00BA3B6E"/>
    <w:rsid w:val="00BF032F"/>
    <w:rsid w:val="00C0082A"/>
    <w:rsid w:val="00C22EF7"/>
    <w:rsid w:val="00C96C3E"/>
    <w:rsid w:val="00CA2FFE"/>
    <w:rsid w:val="00CC762E"/>
    <w:rsid w:val="00CD6BB8"/>
    <w:rsid w:val="00CE0B71"/>
    <w:rsid w:val="00CE5ADE"/>
    <w:rsid w:val="00CF6ADF"/>
    <w:rsid w:val="00D43CEF"/>
    <w:rsid w:val="00D45767"/>
    <w:rsid w:val="00D5326F"/>
    <w:rsid w:val="00D82FEF"/>
    <w:rsid w:val="00DD3EF4"/>
    <w:rsid w:val="00E04D71"/>
    <w:rsid w:val="00E1655A"/>
    <w:rsid w:val="00E43FD1"/>
    <w:rsid w:val="00E4680E"/>
    <w:rsid w:val="00E74A81"/>
    <w:rsid w:val="00E8131E"/>
    <w:rsid w:val="00EF2C38"/>
    <w:rsid w:val="00F037F4"/>
    <w:rsid w:val="00F118F6"/>
    <w:rsid w:val="00F65FDE"/>
    <w:rsid w:val="00FC1928"/>
    <w:rsid w:val="00FC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3C23BA1-353B-4F83-9BA3-B6262022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D1330"/>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0C660B"/>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C660B"/>
    <w:rPr>
      <w:rFonts w:ascii="Arial" w:eastAsia="黑体" w:hAnsi="Arial" w:cs="Times New Roman"/>
      <w:b/>
      <w:sz w:val="32"/>
      <w:szCs w:val="20"/>
    </w:rPr>
  </w:style>
  <w:style w:type="numbering" w:customStyle="1" w:styleId="10">
    <w:name w:val="无列表1"/>
    <w:next w:val="a3"/>
    <w:uiPriority w:val="99"/>
    <w:semiHidden/>
    <w:unhideWhenUsed/>
    <w:rsid w:val="000C660B"/>
  </w:style>
  <w:style w:type="paragraph" w:styleId="a4">
    <w:name w:val="header"/>
    <w:basedOn w:val="a"/>
    <w:link w:val="Char"/>
    <w:unhideWhenUsed/>
    <w:rsid w:val="000C66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0C660B"/>
    <w:rPr>
      <w:rFonts w:ascii="Times New Roman" w:eastAsia="宋体" w:hAnsi="Times New Roman" w:cs="Times New Roman"/>
      <w:sz w:val="18"/>
      <w:szCs w:val="18"/>
    </w:rPr>
  </w:style>
  <w:style w:type="paragraph" w:styleId="a5">
    <w:name w:val="footer"/>
    <w:basedOn w:val="a"/>
    <w:link w:val="Char0"/>
    <w:uiPriority w:val="99"/>
    <w:unhideWhenUsed/>
    <w:rsid w:val="000C660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0C660B"/>
    <w:rPr>
      <w:rFonts w:ascii="Times New Roman" w:eastAsia="宋体" w:hAnsi="Times New Roman" w:cs="Times New Roman"/>
      <w:sz w:val="18"/>
      <w:szCs w:val="18"/>
    </w:rPr>
  </w:style>
  <w:style w:type="character" w:styleId="a6">
    <w:name w:val="page number"/>
    <w:basedOn w:val="a1"/>
    <w:rsid w:val="000C660B"/>
  </w:style>
  <w:style w:type="paragraph" w:styleId="a7">
    <w:name w:val="Normal (Web)"/>
    <w:basedOn w:val="a"/>
    <w:rsid w:val="000C660B"/>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0C660B"/>
    <w:rPr>
      <w:b/>
      <w:bCs/>
    </w:rPr>
  </w:style>
  <w:style w:type="character" w:styleId="a9">
    <w:name w:val="Hyperlink"/>
    <w:uiPriority w:val="99"/>
    <w:rsid w:val="000C660B"/>
    <w:rPr>
      <w:color w:val="0000FF"/>
      <w:u w:val="single"/>
    </w:rPr>
  </w:style>
  <w:style w:type="paragraph" w:customStyle="1" w:styleId="wz1">
    <w:name w:val="wz1"/>
    <w:basedOn w:val="a"/>
    <w:rsid w:val="000C660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0C660B"/>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0C660B"/>
    <w:rPr>
      <w:rFonts w:ascii="仿宋_GB2312" w:eastAsia="仿宋_GB2312" w:hAnsi="Times New Roman" w:cs="Times New Roman"/>
      <w:color w:val="000000"/>
      <w:kern w:val="0"/>
      <w:sz w:val="24"/>
      <w:szCs w:val="28"/>
    </w:rPr>
  </w:style>
  <w:style w:type="character" w:customStyle="1" w:styleId="read">
    <w:name w:val="read"/>
    <w:basedOn w:val="a1"/>
    <w:rsid w:val="000C660B"/>
  </w:style>
  <w:style w:type="paragraph" w:styleId="a0">
    <w:name w:val="Normal Indent"/>
    <w:basedOn w:val="a"/>
    <w:rsid w:val="000C660B"/>
    <w:pPr>
      <w:ind w:firstLineChars="200" w:firstLine="420"/>
    </w:pPr>
    <w:rPr>
      <w:rFonts w:ascii="Times New Roman" w:eastAsia="宋体" w:hAnsi="Times New Roman" w:cs="Times New Roman"/>
      <w:szCs w:val="24"/>
    </w:rPr>
  </w:style>
  <w:style w:type="paragraph" w:styleId="ab">
    <w:name w:val="Body Text Indent"/>
    <w:basedOn w:val="a"/>
    <w:link w:val="Char2"/>
    <w:rsid w:val="000C660B"/>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0C660B"/>
    <w:rPr>
      <w:rFonts w:ascii="Times New Roman" w:eastAsia="方正仿宋简体" w:hAnsi="Times New Roman" w:cs="Times New Roman"/>
      <w:sz w:val="24"/>
      <w:szCs w:val="30"/>
    </w:rPr>
  </w:style>
  <w:style w:type="paragraph" w:styleId="20">
    <w:name w:val="Body Text Indent 2"/>
    <w:basedOn w:val="a"/>
    <w:link w:val="2Char0"/>
    <w:rsid w:val="000C660B"/>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0C660B"/>
    <w:rPr>
      <w:rFonts w:ascii="宋体" w:eastAsia="宋体" w:hAnsi="宋体" w:cs="Times New Roman"/>
      <w:sz w:val="28"/>
      <w:szCs w:val="20"/>
    </w:rPr>
  </w:style>
  <w:style w:type="paragraph" w:styleId="3">
    <w:name w:val="Body Text Indent 3"/>
    <w:basedOn w:val="a"/>
    <w:link w:val="3Char"/>
    <w:rsid w:val="000C660B"/>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0C660B"/>
    <w:rPr>
      <w:rFonts w:ascii="仿宋_GB2312" w:eastAsia="仿宋_GB2312" w:hAnsi="宋体" w:cs="Arial"/>
      <w:color w:val="000000"/>
      <w:sz w:val="24"/>
      <w:szCs w:val="24"/>
    </w:rPr>
  </w:style>
  <w:style w:type="paragraph" w:styleId="11">
    <w:name w:val="toc 1"/>
    <w:basedOn w:val="a"/>
    <w:next w:val="a"/>
    <w:autoRedefine/>
    <w:uiPriority w:val="39"/>
    <w:rsid w:val="000C660B"/>
    <w:rPr>
      <w:rFonts w:ascii="Times New Roman" w:eastAsia="宋体" w:hAnsi="Times New Roman" w:cs="Times New Roman"/>
      <w:szCs w:val="24"/>
    </w:rPr>
  </w:style>
  <w:style w:type="paragraph" w:styleId="21">
    <w:name w:val="toc 2"/>
    <w:basedOn w:val="a"/>
    <w:next w:val="a"/>
    <w:autoRedefine/>
    <w:uiPriority w:val="39"/>
    <w:rsid w:val="000C660B"/>
    <w:pPr>
      <w:ind w:leftChars="200" w:left="420"/>
    </w:pPr>
    <w:rPr>
      <w:rFonts w:ascii="Times New Roman" w:eastAsia="宋体" w:hAnsi="Times New Roman" w:cs="Times New Roman"/>
      <w:szCs w:val="24"/>
    </w:rPr>
  </w:style>
  <w:style w:type="paragraph" w:styleId="30">
    <w:name w:val="toc 3"/>
    <w:basedOn w:val="a"/>
    <w:next w:val="a"/>
    <w:autoRedefine/>
    <w:semiHidden/>
    <w:rsid w:val="000C660B"/>
    <w:pPr>
      <w:ind w:leftChars="400" w:left="840"/>
    </w:pPr>
    <w:rPr>
      <w:rFonts w:ascii="Times New Roman" w:eastAsia="宋体" w:hAnsi="Times New Roman" w:cs="Times New Roman"/>
      <w:szCs w:val="24"/>
    </w:rPr>
  </w:style>
  <w:style w:type="paragraph" w:styleId="4">
    <w:name w:val="toc 4"/>
    <w:basedOn w:val="a"/>
    <w:next w:val="a"/>
    <w:autoRedefine/>
    <w:semiHidden/>
    <w:rsid w:val="000C660B"/>
    <w:pPr>
      <w:ind w:leftChars="600" w:left="1260"/>
    </w:pPr>
    <w:rPr>
      <w:rFonts w:ascii="Times New Roman" w:eastAsia="宋体" w:hAnsi="Times New Roman" w:cs="Times New Roman"/>
      <w:szCs w:val="24"/>
    </w:rPr>
  </w:style>
  <w:style w:type="paragraph" w:styleId="5">
    <w:name w:val="toc 5"/>
    <w:basedOn w:val="a"/>
    <w:next w:val="a"/>
    <w:autoRedefine/>
    <w:semiHidden/>
    <w:rsid w:val="000C660B"/>
    <w:pPr>
      <w:ind w:leftChars="800" w:left="1680"/>
    </w:pPr>
    <w:rPr>
      <w:rFonts w:ascii="Times New Roman" w:eastAsia="宋体" w:hAnsi="Times New Roman" w:cs="Times New Roman"/>
      <w:szCs w:val="24"/>
    </w:rPr>
  </w:style>
  <w:style w:type="paragraph" w:styleId="6">
    <w:name w:val="toc 6"/>
    <w:basedOn w:val="a"/>
    <w:next w:val="a"/>
    <w:autoRedefine/>
    <w:semiHidden/>
    <w:rsid w:val="000C660B"/>
    <w:pPr>
      <w:ind w:leftChars="1000" w:left="2100"/>
    </w:pPr>
    <w:rPr>
      <w:rFonts w:ascii="Times New Roman" w:eastAsia="宋体" w:hAnsi="Times New Roman" w:cs="Times New Roman"/>
      <w:szCs w:val="24"/>
    </w:rPr>
  </w:style>
  <w:style w:type="paragraph" w:styleId="7">
    <w:name w:val="toc 7"/>
    <w:basedOn w:val="a"/>
    <w:next w:val="a"/>
    <w:autoRedefine/>
    <w:semiHidden/>
    <w:rsid w:val="000C660B"/>
    <w:pPr>
      <w:ind w:leftChars="1200" w:left="2520"/>
    </w:pPr>
    <w:rPr>
      <w:rFonts w:ascii="Times New Roman" w:eastAsia="宋体" w:hAnsi="Times New Roman" w:cs="Times New Roman"/>
      <w:szCs w:val="24"/>
    </w:rPr>
  </w:style>
  <w:style w:type="paragraph" w:styleId="8">
    <w:name w:val="toc 8"/>
    <w:basedOn w:val="a"/>
    <w:next w:val="a"/>
    <w:autoRedefine/>
    <w:semiHidden/>
    <w:rsid w:val="000C660B"/>
    <w:pPr>
      <w:ind w:leftChars="1400" w:left="2940"/>
    </w:pPr>
    <w:rPr>
      <w:rFonts w:ascii="Times New Roman" w:eastAsia="宋体" w:hAnsi="Times New Roman" w:cs="Times New Roman"/>
      <w:szCs w:val="24"/>
    </w:rPr>
  </w:style>
  <w:style w:type="paragraph" w:styleId="9">
    <w:name w:val="toc 9"/>
    <w:basedOn w:val="a"/>
    <w:next w:val="a"/>
    <w:autoRedefine/>
    <w:semiHidden/>
    <w:rsid w:val="000C660B"/>
    <w:pPr>
      <w:ind w:leftChars="1600" w:left="3360"/>
    </w:pPr>
    <w:rPr>
      <w:rFonts w:ascii="Times New Roman" w:eastAsia="宋体" w:hAnsi="Times New Roman" w:cs="Times New Roman"/>
      <w:szCs w:val="24"/>
    </w:rPr>
  </w:style>
  <w:style w:type="paragraph" w:styleId="ac">
    <w:name w:val="Balloon Text"/>
    <w:basedOn w:val="a"/>
    <w:link w:val="Char3"/>
    <w:semiHidden/>
    <w:rsid w:val="000C660B"/>
    <w:rPr>
      <w:rFonts w:ascii="Times New Roman" w:eastAsia="宋体" w:hAnsi="Times New Roman" w:cs="Times New Roman"/>
      <w:sz w:val="18"/>
      <w:szCs w:val="18"/>
    </w:rPr>
  </w:style>
  <w:style w:type="character" w:customStyle="1" w:styleId="Char3">
    <w:name w:val="批注框文本 Char"/>
    <w:basedOn w:val="a1"/>
    <w:link w:val="ac"/>
    <w:semiHidden/>
    <w:rsid w:val="000C660B"/>
    <w:rPr>
      <w:rFonts w:ascii="Times New Roman" w:eastAsia="宋体" w:hAnsi="Times New Roman" w:cs="Times New Roman"/>
      <w:sz w:val="18"/>
      <w:szCs w:val="18"/>
    </w:rPr>
  </w:style>
  <w:style w:type="paragraph" w:customStyle="1" w:styleId="Char4">
    <w:name w:val="Char"/>
    <w:basedOn w:val="a"/>
    <w:rsid w:val="000C660B"/>
    <w:rPr>
      <w:rFonts w:ascii="Times New Roman" w:eastAsia="宋体" w:hAnsi="Times New Roman" w:cs="Times New Roman"/>
      <w:szCs w:val="24"/>
    </w:rPr>
  </w:style>
  <w:style w:type="paragraph" w:customStyle="1" w:styleId="Char10">
    <w:name w:val="Char1"/>
    <w:basedOn w:val="a"/>
    <w:autoRedefine/>
    <w:rsid w:val="000C660B"/>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0C660B"/>
    <w:rPr>
      <w:rFonts w:ascii="Times New Roman" w:eastAsia="宋体" w:hAnsi="Times New Roman" w:cs="Times New Roman"/>
      <w:szCs w:val="24"/>
    </w:rPr>
  </w:style>
  <w:style w:type="character" w:styleId="ad">
    <w:name w:val="annotation reference"/>
    <w:semiHidden/>
    <w:rsid w:val="000C660B"/>
    <w:rPr>
      <w:sz w:val="21"/>
      <w:szCs w:val="21"/>
    </w:rPr>
  </w:style>
  <w:style w:type="paragraph" w:styleId="ae">
    <w:name w:val="annotation text"/>
    <w:basedOn w:val="a"/>
    <w:link w:val="Char5"/>
    <w:semiHidden/>
    <w:rsid w:val="000C660B"/>
    <w:pPr>
      <w:jc w:val="left"/>
    </w:pPr>
    <w:rPr>
      <w:rFonts w:ascii="Times New Roman" w:eastAsia="宋体" w:hAnsi="Times New Roman" w:cs="Times New Roman"/>
      <w:szCs w:val="24"/>
    </w:rPr>
  </w:style>
  <w:style w:type="character" w:customStyle="1" w:styleId="Char5">
    <w:name w:val="批注文字 Char"/>
    <w:basedOn w:val="a1"/>
    <w:link w:val="ae"/>
    <w:semiHidden/>
    <w:rsid w:val="000C660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C660B"/>
    <w:rPr>
      <w:rFonts w:ascii="Times New Roman" w:eastAsia="宋体" w:hAnsi="Times New Roman" w:cs="Times New Roman"/>
      <w:szCs w:val="24"/>
    </w:rPr>
  </w:style>
  <w:style w:type="paragraph" w:customStyle="1" w:styleId="CharChar">
    <w:name w:val="Char Char"/>
    <w:basedOn w:val="a"/>
    <w:rsid w:val="000C660B"/>
    <w:rPr>
      <w:rFonts w:ascii="Times New Roman" w:eastAsia="宋体" w:hAnsi="Times New Roman" w:cs="Times New Roman"/>
      <w:szCs w:val="20"/>
    </w:rPr>
  </w:style>
  <w:style w:type="paragraph" w:styleId="HTML">
    <w:name w:val="HTML Preformatted"/>
    <w:basedOn w:val="a"/>
    <w:link w:val="HTMLChar"/>
    <w:uiPriority w:val="99"/>
    <w:unhideWhenUsed/>
    <w:rsid w:val="000C6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0C660B"/>
    <w:rPr>
      <w:rFonts w:ascii="宋体" w:eastAsia="宋体" w:hAnsi="宋体" w:cs="宋体"/>
      <w:kern w:val="0"/>
      <w:sz w:val="24"/>
      <w:szCs w:val="24"/>
    </w:rPr>
  </w:style>
  <w:style w:type="paragraph" w:styleId="af">
    <w:name w:val="annotation subject"/>
    <w:basedOn w:val="ae"/>
    <w:next w:val="ae"/>
    <w:link w:val="Char6"/>
    <w:rsid w:val="000C660B"/>
    <w:rPr>
      <w:b/>
      <w:bCs/>
    </w:rPr>
  </w:style>
  <w:style w:type="character" w:customStyle="1" w:styleId="Char6">
    <w:name w:val="批注主题 Char"/>
    <w:basedOn w:val="Char5"/>
    <w:link w:val="af"/>
    <w:rsid w:val="000C660B"/>
    <w:rPr>
      <w:rFonts w:ascii="Times New Roman" w:eastAsia="宋体" w:hAnsi="Times New Roman" w:cs="Times New Roman"/>
      <w:b/>
      <w:bCs/>
      <w:szCs w:val="24"/>
    </w:rPr>
  </w:style>
  <w:style w:type="paragraph" w:customStyle="1" w:styleId="af0">
    <w:uiPriority w:val="99"/>
    <w:unhideWhenUsed/>
    <w:rsid w:val="000C660B"/>
    <w:pPr>
      <w:widowControl w:val="0"/>
      <w:jc w:val="both"/>
    </w:pPr>
  </w:style>
  <w:style w:type="paragraph" w:styleId="af1">
    <w:name w:val="Revision"/>
    <w:hidden/>
    <w:uiPriority w:val="99"/>
    <w:semiHidden/>
    <w:rsid w:val="000C660B"/>
    <w:rPr>
      <w:rFonts w:ascii="Times New Roman" w:eastAsia="宋体" w:hAnsi="Times New Roman" w:cs="Times New Roman"/>
      <w:szCs w:val="24"/>
    </w:rPr>
  </w:style>
  <w:style w:type="character" w:styleId="af2">
    <w:name w:val="FollowedHyperlink"/>
    <w:basedOn w:val="a1"/>
    <w:uiPriority w:val="99"/>
    <w:semiHidden/>
    <w:unhideWhenUsed/>
    <w:rsid w:val="000C660B"/>
    <w:rPr>
      <w:color w:val="800080" w:themeColor="followedHyperlink"/>
      <w:u w:val="single"/>
    </w:rPr>
  </w:style>
  <w:style w:type="character" w:customStyle="1" w:styleId="1Char">
    <w:name w:val="标题 1 Char"/>
    <w:basedOn w:val="a1"/>
    <w:link w:val="1"/>
    <w:uiPriority w:val="9"/>
    <w:rsid w:val="002D1330"/>
    <w:rPr>
      <w:b/>
      <w:bCs/>
      <w:kern w:val="44"/>
      <w:sz w:val="44"/>
      <w:szCs w:val="44"/>
    </w:rPr>
  </w:style>
  <w:style w:type="paragraph" w:styleId="TOC">
    <w:name w:val="TOC Heading"/>
    <w:basedOn w:val="1"/>
    <w:next w:val="a"/>
    <w:uiPriority w:val="39"/>
    <w:unhideWhenUsed/>
    <w:qFormat/>
    <w:rsid w:val="002D133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7955-B96C-4A4C-9F59-7765B470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39</Pages>
  <Words>4518</Words>
  <Characters>25758</Characters>
  <Application>Microsoft Office Word</Application>
  <DocSecurity>0</DocSecurity>
  <Lines>214</Lines>
  <Paragraphs>60</Paragraphs>
  <ScaleCrop>false</ScaleCrop>
  <Company/>
  <LinksUpToDate>false</LinksUpToDate>
  <CharactersWithSpaces>30216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郭婉婷20160918</dc:creator>
  <cp:lastModifiedBy>何丝宇</cp:lastModifiedBy>
  <cp:revision>62</cp:revision>
  <cp:lastPrinted>2017-10-25T09:40:00Z</cp:lastPrinted>
  <dcterms:created xsi:type="dcterms:W3CDTF">2017-05-23T01:35:00Z</dcterms:created>
  <dcterms:modified xsi:type="dcterms:W3CDTF">2017-11-27T08:39:00Z</dcterms:modified>
</cp:coreProperties>
</file>