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EE" w:rsidRDefault="008C07EE" w:rsidP="001E1963">
      <w:pPr>
        <w:adjustRightInd w:val="0"/>
        <w:snapToGrid w:val="0"/>
        <w:spacing w:line="360" w:lineRule="auto"/>
        <w:jc w:val="center"/>
        <w:rPr>
          <w:rFonts w:asciiTheme="minorEastAsia" w:eastAsiaTheme="minorEastAsia" w:hAnsiTheme="minorEastAsia" w:cs="Arial"/>
          <w:sz w:val="48"/>
          <w:szCs w:val="48"/>
        </w:rPr>
      </w:pPr>
    </w:p>
    <w:p w:rsidR="001E1963" w:rsidRPr="001E1963" w:rsidRDefault="001E1963" w:rsidP="001E1963">
      <w:pPr>
        <w:adjustRightInd w:val="0"/>
        <w:snapToGrid w:val="0"/>
        <w:spacing w:line="360" w:lineRule="auto"/>
        <w:jc w:val="center"/>
        <w:rPr>
          <w:rFonts w:asciiTheme="minorEastAsia" w:eastAsiaTheme="minorEastAsia" w:hAnsiTheme="minorEastAsia" w:cs="Arial" w:hint="eastAsia"/>
          <w:sz w:val="48"/>
          <w:szCs w:val="48"/>
        </w:rPr>
      </w:pPr>
    </w:p>
    <w:p w:rsidR="008C07EE" w:rsidRPr="001E1963" w:rsidRDefault="008C07EE" w:rsidP="001E1963">
      <w:pPr>
        <w:adjustRightInd w:val="0"/>
        <w:snapToGrid w:val="0"/>
        <w:spacing w:line="360" w:lineRule="auto"/>
        <w:jc w:val="center"/>
        <w:rPr>
          <w:rFonts w:asciiTheme="minorEastAsia" w:eastAsiaTheme="minorEastAsia" w:hAnsiTheme="minorEastAsia" w:cs="Arial"/>
          <w:b/>
          <w:sz w:val="48"/>
          <w:szCs w:val="48"/>
        </w:rPr>
      </w:pPr>
      <w:r w:rsidRPr="001E1963">
        <w:rPr>
          <w:rFonts w:asciiTheme="minorEastAsia" w:eastAsiaTheme="minorEastAsia" w:hAnsiTheme="minorEastAsia" w:cs="Arial" w:hint="eastAsia"/>
          <w:b/>
          <w:sz w:val="48"/>
          <w:szCs w:val="48"/>
        </w:rPr>
        <w:t>汇添富价值创造定期开放混合型</w:t>
      </w:r>
    </w:p>
    <w:p w:rsidR="008C07EE" w:rsidRPr="001E1963" w:rsidRDefault="008C07EE" w:rsidP="001E1963">
      <w:pPr>
        <w:adjustRightInd w:val="0"/>
        <w:snapToGrid w:val="0"/>
        <w:spacing w:line="360" w:lineRule="auto"/>
        <w:jc w:val="center"/>
        <w:rPr>
          <w:rFonts w:asciiTheme="minorEastAsia" w:eastAsiaTheme="minorEastAsia" w:hAnsiTheme="minorEastAsia" w:cs="Arial"/>
          <w:b/>
          <w:sz w:val="48"/>
          <w:szCs w:val="48"/>
        </w:rPr>
      </w:pPr>
      <w:r w:rsidRPr="001E1963">
        <w:rPr>
          <w:rFonts w:asciiTheme="minorEastAsia" w:eastAsiaTheme="minorEastAsia" w:hAnsiTheme="minorEastAsia" w:cs="Arial" w:hint="eastAsia"/>
          <w:b/>
          <w:sz w:val="48"/>
          <w:szCs w:val="48"/>
        </w:rPr>
        <w:t>证券投资基金托管协议</w:t>
      </w:r>
    </w:p>
    <w:p w:rsidR="008C07EE" w:rsidRPr="001E1963" w:rsidRDefault="008C07EE" w:rsidP="001E1963">
      <w:pPr>
        <w:adjustRightInd w:val="0"/>
        <w:snapToGrid w:val="0"/>
        <w:spacing w:line="360" w:lineRule="auto"/>
        <w:jc w:val="center"/>
        <w:outlineLvl w:val="0"/>
        <w:rPr>
          <w:rFonts w:asciiTheme="minorEastAsia" w:eastAsiaTheme="minorEastAsia" w:hAnsiTheme="minorEastAsia" w:cs="Arial"/>
          <w:sz w:val="24"/>
        </w:rPr>
      </w:pPr>
    </w:p>
    <w:p w:rsidR="008C07EE" w:rsidRPr="001E1963" w:rsidRDefault="008C07EE" w:rsidP="001E1963">
      <w:pPr>
        <w:adjustRightInd w:val="0"/>
        <w:snapToGrid w:val="0"/>
        <w:spacing w:line="360" w:lineRule="auto"/>
        <w:jc w:val="center"/>
        <w:outlineLvl w:val="0"/>
        <w:rPr>
          <w:rFonts w:asciiTheme="minorEastAsia" w:eastAsiaTheme="minorEastAsia" w:hAnsiTheme="minorEastAsia" w:cs="Arial"/>
          <w:sz w:val="24"/>
        </w:rPr>
      </w:pPr>
    </w:p>
    <w:p w:rsidR="00F2175E" w:rsidRPr="001E1963" w:rsidRDefault="00F2175E" w:rsidP="001E1963">
      <w:pPr>
        <w:adjustRightInd w:val="0"/>
        <w:snapToGrid w:val="0"/>
        <w:spacing w:line="360" w:lineRule="auto"/>
        <w:jc w:val="center"/>
        <w:outlineLvl w:val="0"/>
        <w:rPr>
          <w:rFonts w:asciiTheme="minorEastAsia" w:eastAsiaTheme="minorEastAsia" w:hAnsiTheme="minorEastAsia" w:cs="Arial"/>
          <w:sz w:val="24"/>
        </w:rPr>
      </w:pPr>
    </w:p>
    <w:p w:rsidR="00F2175E" w:rsidRDefault="00F2175E" w:rsidP="001E1963">
      <w:pPr>
        <w:adjustRightInd w:val="0"/>
        <w:snapToGrid w:val="0"/>
        <w:spacing w:line="360" w:lineRule="auto"/>
        <w:jc w:val="center"/>
        <w:outlineLvl w:val="0"/>
        <w:rPr>
          <w:rFonts w:asciiTheme="minorEastAsia" w:eastAsiaTheme="minorEastAsia" w:hAnsiTheme="minorEastAsia" w:cs="Arial"/>
          <w:sz w:val="24"/>
        </w:rPr>
      </w:pPr>
    </w:p>
    <w:p w:rsidR="001E1963" w:rsidRDefault="001E1963" w:rsidP="001E1963">
      <w:pPr>
        <w:adjustRightInd w:val="0"/>
        <w:snapToGrid w:val="0"/>
        <w:spacing w:line="360" w:lineRule="auto"/>
        <w:jc w:val="center"/>
        <w:outlineLvl w:val="0"/>
        <w:rPr>
          <w:rFonts w:asciiTheme="minorEastAsia" w:eastAsiaTheme="minorEastAsia" w:hAnsiTheme="minorEastAsia" w:cs="Arial"/>
          <w:sz w:val="24"/>
        </w:rPr>
      </w:pPr>
    </w:p>
    <w:p w:rsidR="001E1963" w:rsidRDefault="001E1963" w:rsidP="001E1963">
      <w:pPr>
        <w:adjustRightInd w:val="0"/>
        <w:snapToGrid w:val="0"/>
        <w:spacing w:line="360" w:lineRule="auto"/>
        <w:jc w:val="center"/>
        <w:outlineLvl w:val="0"/>
        <w:rPr>
          <w:rFonts w:asciiTheme="minorEastAsia" w:eastAsiaTheme="minorEastAsia" w:hAnsiTheme="minorEastAsia" w:cs="Arial"/>
          <w:sz w:val="24"/>
        </w:rPr>
      </w:pPr>
    </w:p>
    <w:p w:rsidR="001E1963" w:rsidRDefault="001E1963" w:rsidP="001E1963">
      <w:pPr>
        <w:adjustRightInd w:val="0"/>
        <w:snapToGrid w:val="0"/>
        <w:spacing w:line="360" w:lineRule="auto"/>
        <w:jc w:val="center"/>
        <w:outlineLvl w:val="0"/>
        <w:rPr>
          <w:rFonts w:asciiTheme="minorEastAsia" w:eastAsiaTheme="minorEastAsia" w:hAnsiTheme="minorEastAsia" w:cs="Arial"/>
          <w:sz w:val="24"/>
        </w:rPr>
      </w:pPr>
    </w:p>
    <w:p w:rsidR="00F2175E" w:rsidRPr="001E1963" w:rsidRDefault="00F2175E" w:rsidP="001E1963">
      <w:pPr>
        <w:adjustRightInd w:val="0"/>
        <w:snapToGrid w:val="0"/>
        <w:spacing w:line="360" w:lineRule="auto"/>
        <w:jc w:val="center"/>
        <w:outlineLvl w:val="0"/>
        <w:rPr>
          <w:rFonts w:asciiTheme="minorEastAsia" w:eastAsiaTheme="minorEastAsia" w:hAnsiTheme="minorEastAsia" w:cs="Arial"/>
          <w:sz w:val="24"/>
        </w:rPr>
      </w:pPr>
    </w:p>
    <w:p w:rsidR="00F2175E" w:rsidRPr="001E1963" w:rsidRDefault="00F2175E" w:rsidP="001E1963">
      <w:pPr>
        <w:adjustRightInd w:val="0"/>
        <w:snapToGrid w:val="0"/>
        <w:spacing w:line="360" w:lineRule="auto"/>
        <w:jc w:val="center"/>
        <w:outlineLvl w:val="0"/>
        <w:rPr>
          <w:rFonts w:asciiTheme="minorEastAsia" w:eastAsiaTheme="minorEastAsia" w:hAnsiTheme="minorEastAsia" w:cs="Arial"/>
          <w:sz w:val="24"/>
        </w:rPr>
      </w:pPr>
    </w:p>
    <w:p w:rsidR="00F2175E" w:rsidRPr="001E1963" w:rsidRDefault="00F2175E" w:rsidP="001E1963">
      <w:pPr>
        <w:adjustRightInd w:val="0"/>
        <w:snapToGrid w:val="0"/>
        <w:spacing w:line="360" w:lineRule="auto"/>
        <w:jc w:val="center"/>
        <w:outlineLvl w:val="0"/>
        <w:rPr>
          <w:rFonts w:asciiTheme="minorEastAsia" w:eastAsiaTheme="minorEastAsia" w:hAnsiTheme="minorEastAsia" w:cs="Arial"/>
          <w:sz w:val="24"/>
        </w:rPr>
      </w:pPr>
    </w:p>
    <w:p w:rsidR="00F2175E" w:rsidRPr="001E1963" w:rsidRDefault="00F2175E" w:rsidP="001E1963">
      <w:pPr>
        <w:adjustRightInd w:val="0"/>
        <w:snapToGrid w:val="0"/>
        <w:spacing w:line="360" w:lineRule="auto"/>
        <w:jc w:val="center"/>
        <w:outlineLvl w:val="0"/>
        <w:rPr>
          <w:rFonts w:asciiTheme="minorEastAsia" w:eastAsiaTheme="minorEastAsia" w:hAnsiTheme="minorEastAsia" w:cs="Arial"/>
          <w:sz w:val="24"/>
        </w:rPr>
      </w:pPr>
    </w:p>
    <w:p w:rsidR="008C07EE" w:rsidRPr="001E1963" w:rsidRDefault="008C07EE" w:rsidP="001E1963">
      <w:pPr>
        <w:adjustRightInd w:val="0"/>
        <w:snapToGrid w:val="0"/>
        <w:spacing w:line="360" w:lineRule="auto"/>
        <w:jc w:val="center"/>
        <w:outlineLvl w:val="0"/>
        <w:rPr>
          <w:rFonts w:asciiTheme="minorEastAsia" w:eastAsiaTheme="minorEastAsia" w:hAnsiTheme="minorEastAsia" w:cs="Arial"/>
          <w:sz w:val="24"/>
        </w:rPr>
      </w:pPr>
    </w:p>
    <w:p w:rsidR="008C07EE" w:rsidRPr="001E1963" w:rsidRDefault="008C07EE" w:rsidP="001E1963">
      <w:pPr>
        <w:adjustRightInd w:val="0"/>
        <w:snapToGrid w:val="0"/>
        <w:spacing w:line="360" w:lineRule="auto"/>
        <w:jc w:val="center"/>
        <w:outlineLvl w:val="0"/>
        <w:rPr>
          <w:rFonts w:asciiTheme="minorEastAsia" w:eastAsiaTheme="minorEastAsia" w:hAnsiTheme="minorEastAsia" w:cs="Arial"/>
          <w:sz w:val="36"/>
          <w:szCs w:val="36"/>
        </w:rPr>
      </w:pPr>
    </w:p>
    <w:p w:rsidR="008C07EE" w:rsidRPr="001E1963" w:rsidRDefault="008C07EE" w:rsidP="001E1963">
      <w:pPr>
        <w:adjustRightInd w:val="0"/>
        <w:snapToGrid w:val="0"/>
        <w:spacing w:line="360" w:lineRule="auto"/>
        <w:jc w:val="center"/>
        <w:outlineLvl w:val="0"/>
        <w:rPr>
          <w:rFonts w:asciiTheme="minorEastAsia" w:eastAsiaTheme="minorEastAsia" w:hAnsiTheme="minorEastAsia" w:cs="Arial"/>
          <w:sz w:val="36"/>
          <w:szCs w:val="36"/>
        </w:rPr>
      </w:pPr>
    </w:p>
    <w:p w:rsidR="008C07EE" w:rsidRPr="001E1963" w:rsidRDefault="008C07EE" w:rsidP="001E1963">
      <w:pPr>
        <w:adjustRightInd w:val="0"/>
        <w:snapToGrid w:val="0"/>
        <w:spacing w:line="360" w:lineRule="auto"/>
        <w:jc w:val="center"/>
        <w:outlineLvl w:val="0"/>
        <w:rPr>
          <w:rFonts w:asciiTheme="minorEastAsia" w:eastAsiaTheme="minorEastAsia" w:hAnsiTheme="minorEastAsia" w:cs="Arial"/>
          <w:b/>
          <w:bCs/>
          <w:sz w:val="36"/>
          <w:szCs w:val="36"/>
        </w:rPr>
      </w:pPr>
      <w:r w:rsidRPr="001E1963">
        <w:rPr>
          <w:rFonts w:asciiTheme="minorEastAsia" w:eastAsiaTheme="minorEastAsia" w:hAnsiTheme="minorEastAsia" w:cs="Arial" w:hint="eastAsia"/>
          <w:b/>
          <w:bCs/>
          <w:sz w:val="36"/>
          <w:szCs w:val="36"/>
        </w:rPr>
        <w:t>基金管理人：汇添富基金管理股份有限公司</w:t>
      </w:r>
    </w:p>
    <w:p w:rsidR="008C07EE" w:rsidRPr="001E1963" w:rsidRDefault="008C07EE" w:rsidP="001E1963">
      <w:pPr>
        <w:adjustRightInd w:val="0"/>
        <w:snapToGrid w:val="0"/>
        <w:spacing w:line="360" w:lineRule="auto"/>
        <w:jc w:val="center"/>
        <w:outlineLvl w:val="0"/>
        <w:rPr>
          <w:rFonts w:asciiTheme="minorEastAsia" w:eastAsiaTheme="minorEastAsia" w:hAnsiTheme="minorEastAsia" w:cs="Arial"/>
          <w:b/>
          <w:bCs/>
          <w:sz w:val="36"/>
          <w:szCs w:val="36"/>
        </w:rPr>
      </w:pPr>
      <w:r w:rsidRPr="001E1963">
        <w:rPr>
          <w:rFonts w:asciiTheme="minorEastAsia" w:eastAsiaTheme="minorEastAsia" w:hAnsiTheme="minorEastAsia" w:cs="Arial" w:hint="eastAsia"/>
          <w:b/>
          <w:bCs/>
          <w:sz w:val="36"/>
          <w:szCs w:val="36"/>
        </w:rPr>
        <w:t>基金托管人：中国建设银行股份有限公司</w:t>
      </w:r>
    </w:p>
    <w:p w:rsidR="008C07EE" w:rsidRPr="001E1963" w:rsidRDefault="008C07EE" w:rsidP="001E1963">
      <w:pPr>
        <w:adjustRightInd w:val="0"/>
        <w:snapToGrid w:val="0"/>
        <w:spacing w:line="360" w:lineRule="auto"/>
        <w:jc w:val="center"/>
        <w:outlineLvl w:val="0"/>
        <w:rPr>
          <w:rFonts w:asciiTheme="minorEastAsia" w:eastAsiaTheme="minorEastAsia" w:hAnsiTheme="minorEastAsia" w:cs="Arial"/>
          <w:sz w:val="24"/>
        </w:rPr>
      </w:pPr>
    </w:p>
    <w:p w:rsidR="008C07EE" w:rsidRPr="001E1963" w:rsidRDefault="008C07EE" w:rsidP="001E1963">
      <w:pPr>
        <w:adjustRightInd w:val="0"/>
        <w:snapToGrid w:val="0"/>
        <w:spacing w:line="360" w:lineRule="auto"/>
        <w:jc w:val="center"/>
        <w:rPr>
          <w:rFonts w:asciiTheme="minorEastAsia" w:eastAsiaTheme="minorEastAsia" w:hAnsiTheme="minorEastAsia" w:cs="Arial"/>
          <w:bCs/>
          <w:sz w:val="24"/>
        </w:rPr>
      </w:pPr>
    </w:p>
    <w:p w:rsidR="008C07EE" w:rsidRPr="001E1963" w:rsidRDefault="008C07EE" w:rsidP="001E1963">
      <w:pPr>
        <w:adjustRightInd w:val="0"/>
        <w:snapToGrid w:val="0"/>
        <w:spacing w:line="360" w:lineRule="auto"/>
        <w:jc w:val="center"/>
        <w:rPr>
          <w:rFonts w:asciiTheme="minorEastAsia" w:eastAsiaTheme="minorEastAsia" w:hAnsiTheme="minorEastAsia" w:cs="Arial"/>
          <w:bCs/>
          <w:sz w:val="24"/>
        </w:rPr>
        <w:sectPr w:rsidR="008C07EE" w:rsidRPr="001E1963">
          <w:footerReference w:type="even" r:id="rId7"/>
          <w:pgSz w:w="11906" w:h="16838" w:code="9"/>
          <w:pgMar w:top="1418" w:right="1701" w:bottom="1418" w:left="1701" w:header="851" w:footer="992" w:gutter="0"/>
          <w:cols w:space="425"/>
          <w:docGrid w:type="lines" w:linePitch="312"/>
        </w:sectPr>
      </w:pPr>
    </w:p>
    <w:p w:rsidR="008C07EE" w:rsidRPr="001E1963" w:rsidRDefault="008C07EE" w:rsidP="001E1963">
      <w:pPr>
        <w:spacing w:line="360" w:lineRule="auto"/>
        <w:jc w:val="center"/>
        <w:rPr>
          <w:rFonts w:asciiTheme="minorEastAsia" w:eastAsiaTheme="minorEastAsia" w:hAnsiTheme="minorEastAsia"/>
          <w:b/>
          <w:bCs/>
          <w:sz w:val="30"/>
        </w:rPr>
      </w:pPr>
      <w:r w:rsidRPr="001E1963">
        <w:rPr>
          <w:rFonts w:asciiTheme="minorEastAsia" w:eastAsiaTheme="minorEastAsia" w:hAnsiTheme="minorEastAsia" w:hint="eastAsia"/>
          <w:b/>
          <w:bCs/>
          <w:sz w:val="30"/>
        </w:rPr>
        <w:lastRenderedPageBreak/>
        <w:t>目    录</w:t>
      </w:r>
    </w:p>
    <w:p w:rsidR="001E1963" w:rsidRDefault="008C07EE">
      <w:pPr>
        <w:pStyle w:val="21"/>
        <w:rPr>
          <w:rFonts w:asciiTheme="minorHAnsi" w:eastAsiaTheme="minorEastAsia" w:hAnsiTheme="minorHAnsi" w:cstheme="minorBidi"/>
          <w:noProof/>
          <w:szCs w:val="22"/>
        </w:rPr>
      </w:pPr>
      <w:r w:rsidRPr="001E1963">
        <w:rPr>
          <w:rFonts w:asciiTheme="minorEastAsia" w:eastAsiaTheme="minorEastAsia" w:hAnsiTheme="minorEastAsia" w:hint="eastAsia"/>
          <w:sz w:val="28"/>
        </w:rPr>
        <w:fldChar w:fldCharType="begin"/>
      </w:r>
      <w:r w:rsidRPr="001E1963">
        <w:rPr>
          <w:rFonts w:asciiTheme="minorEastAsia" w:eastAsiaTheme="minorEastAsia" w:hAnsiTheme="minorEastAsia" w:hint="eastAsia"/>
          <w:sz w:val="28"/>
        </w:rPr>
        <w:instrText xml:space="preserve"> TOC \o "1-2" \h \z </w:instrText>
      </w:r>
      <w:r w:rsidRPr="001E1963">
        <w:rPr>
          <w:rFonts w:asciiTheme="minorEastAsia" w:eastAsiaTheme="minorEastAsia" w:hAnsiTheme="minorEastAsia" w:hint="eastAsia"/>
          <w:sz w:val="28"/>
        </w:rPr>
        <w:fldChar w:fldCharType="separate"/>
      </w:r>
      <w:hyperlink w:anchor="_Toc499217421" w:history="1">
        <w:r w:rsidR="001E1963" w:rsidRPr="00462E34">
          <w:rPr>
            <w:rStyle w:val="a9"/>
            <w:rFonts w:asciiTheme="minorEastAsia" w:hAnsiTheme="minorEastAsia" w:hint="eastAsia"/>
            <w:noProof/>
          </w:rPr>
          <w:t>一、基金托管协议当事人</w:t>
        </w:r>
        <w:r w:rsidR="001E1963">
          <w:rPr>
            <w:noProof/>
            <w:webHidden/>
          </w:rPr>
          <w:tab/>
        </w:r>
        <w:r w:rsidR="001E1963">
          <w:rPr>
            <w:noProof/>
            <w:webHidden/>
          </w:rPr>
          <w:fldChar w:fldCharType="begin"/>
        </w:r>
        <w:r w:rsidR="001E1963">
          <w:rPr>
            <w:noProof/>
            <w:webHidden/>
          </w:rPr>
          <w:instrText xml:space="preserve"> PAGEREF _Toc499217421 \h </w:instrText>
        </w:r>
        <w:r w:rsidR="001E1963">
          <w:rPr>
            <w:noProof/>
            <w:webHidden/>
          </w:rPr>
        </w:r>
        <w:r w:rsidR="001E1963">
          <w:rPr>
            <w:noProof/>
            <w:webHidden/>
          </w:rPr>
          <w:fldChar w:fldCharType="separate"/>
        </w:r>
        <w:r w:rsidR="001E1963">
          <w:rPr>
            <w:noProof/>
            <w:webHidden/>
          </w:rPr>
          <w:t>1</w:t>
        </w:r>
        <w:r w:rsidR="001E1963">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22" w:history="1">
        <w:r w:rsidRPr="00462E34">
          <w:rPr>
            <w:rStyle w:val="a9"/>
            <w:rFonts w:asciiTheme="minorEastAsia" w:hAnsiTheme="minorEastAsia" w:hint="eastAsia"/>
            <w:noProof/>
          </w:rPr>
          <w:t>二、基金托管协议的依据、目的和原则</w:t>
        </w:r>
        <w:r>
          <w:rPr>
            <w:noProof/>
            <w:webHidden/>
          </w:rPr>
          <w:tab/>
        </w:r>
        <w:r>
          <w:rPr>
            <w:noProof/>
            <w:webHidden/>
          </w:rPr>
          <w:fldChar w:fldCharType="begin"/>
        </w:r>
        <w:r>
          <w:rPr>
            <w:noProof/>
            <w:webHidden/>
          </w:rPr>
          <w:instrText xml:space="preserve"> PAGEREF _Toc499217422 \h </w:instrText>
        </w:r>
        <w:r>
          <w:rPr>
            <w:noProof/>
            <w:webHidden/>
          </w:rPr>
        </w:r>
        <w:r>
          <w:rPr>
            <w:noProof/>
            <w:webHidden/>
          </w:rPr>
          <w:fldChar w:fldCharType="separate"/>
        </w:r>
        <w:r>
          <w:rPr>
            <w:noProof/>
            <w:webHidden/>
          </w:rPr>
          <w:t>2</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23" w:history="1">
        <w:r w:rsidRPr="00462E34">
          <w:rPr>
            <w:rStyle w:val="a9"/>
            <w:rFonts w:asciiTheme="minorEastAsia" w:hAnsiTheme="minorEastAsia" w:hint="eastAsia"/>
            <w:noProof/>
          </w:rPr>
          <w:t>三、基金托管人对基金管理人的业务监督和核查</w:t>
        </w:r>
        <w:r>
          <w:rPr>
            <w:noProof/>
            <w:webHidden/>
          </w:rPr>
          <w:tab/>
        </w:r>
        <w:r>
          <w:rPr>
            <w:noProof/>
            <w:webHidden/>
          </w:rPr>
          <w:fldChar w:fldCharType="begin"/>
        </w:r>
        <w:r>
          <w:rPr>
            <w:noProof/>
            <w:webHidden/>
          </w:rPr>
          <w:instrText xml:space="preserve"> PAGEREF _Toc499217423 \h </w:instrText>
        </w:r>
        <w:r>
          <w:rPr>
            <w:noProof/>
            <w:webHidden/>
          </w:rPr>
        </w:r>
        <w:r>
          <w:rPr>
            <w:noProof/>
            <w:webHidden/>
          </w:rPr>
          <w:fldChar w:fldCharType="separate"/>
        </w:r>
        <w:r>
          <w:rPr>
            <w:noProof/>
            <w:webHidden/>
          </w:rPr>
          <w:t>3</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24" w:history="1">
        <w:r w:rsidRPr="00462E34">
          <w:rPr>
            <w:rStyle w:val="a9"/>
            <w:rFonts w:asciiTheme="minorEastAsia" w:hAnsiTheme="minorEastAsia" w:hint="eastAsia"/>
            <w:noProof/>
          </w:rPr>
          <w:t>四、基金管理人对基金托管人的业务核查</w:t>
        </w:r>
        <w:r>
          <w:rPr>
            <w:noProof/>
            <w:webHidden/>
          </w:rPr>
          <w:tab/>
        </w:r>
        <w:r>
          <w:rPr>
            <w:noProof/>
            <w:webHidden/>
          </w:rPr>
          <w:fldChar w:fldCharType="begin"/>
        </w:r>
        <w:r>
          <w:rPr>
            <w:noProof/>
            <w:webHidden/>
          </w:rPr>
          <w:instrText xml:space="preserve"> PAGEREF _Toc499217424 \h </w:instrText>
        </w:r>
        <w:r>
          <w:rPr>
            <w:noProof/>
            <w:webHidden/>
          </w:rPr>
        </w:r>
        <w:r>
          <w:rPr>
            <w:noProof/>
            <w:webHidden/>
          </w:rPr>
          <w:fldChar w:fldCharType="separate"/>
        </w:r>
        <w:r>
          <w:rPr>
            <w:noProof/>
            <w:webHidden/>
          </w:rPr>
          <w:t>11</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25" w:history="1">
        <w:r w:rsidRPr="00462E34">
          <w:rPr>
            <w:rStyle w:val="a9"/>
            <w:rFonts w:asciiTheme="minorEastAsia" w:hAnsiTheme="minorEastAsia" w:hint="eastAsia"/>
            <w:noProof/>
          </w:rPr>
          <w:t>五、基金财产的保管</w:t>
        </w:r>
        <w:r>
          <w:rPr>
            <w:noProof/>
            <w:webHidden/>
          </w:rPr>
          <w:tab/>
        </w:r>
        <w:r>
          <w:rPr>
            <w:noProof/>
            <w:webHidden/>
          </w:rPr>
          <w:fldChar w:fldCharType="begin"/>
        </w:r>
        <w:r>
          <w:rPr>
            <w:noProof/>
            <w:webHidden/>
          </w:rPr>
          <w:instrText xml:space="preserve"> PAGEREF _Toc499217425 \h </w:instrText>
        </w:r>
        <w:r>
          <w:rPr>
            <w:noProof/>
            <w:webHidden/>
          </w:rPr>
        </w:r>
        <w:r>
          <w:rPr>
            <w:noProof/>
            <w:webHidden/>
          </w:rPr>
          <w:fldChar w:fldCharType="separate"/>
        </w:r>
        <w:r>
          <w:rPr>
            <w:noProof/>
            <w:webHidden/>
          </w:rPr>
          <w:t>11</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26" w:history="1">
        <w:r w:rsidRPr="00462E34">
          <w:rPr>
            <w:rStyle w:val="a9"/>
            <w:rFonts w:asciiTheme="minorEastAsia" w:hAnsiTheme="minorEastAsia" w:hint="eastAsia"/>
            <w:noProof/>
          </w:rPr>
          <w:t>六、指令的发送、确认及执行</w:t>
        </w:r>
        <w:r>
          <w:rPr>
            <w:noProof/>
            <w:webHidden/>
          </w:rPr>
          <w:tab/>
        </w:r>
        <w:r>
          <w:rPr>
            <w:noProof/>
            <w:webHidden/>
          </w:rPr>
          <w:fldChar w:fldCharType="begin"/>
        </w:r>
        <w:r>
          <w:rPr>
            <w:noProof/>
            <w:webHidden/>
          </w:rPr>
          <w:instrText xml:space="preserve"> PAGEREF _Toc499217426 \h </w:instrText>
        </w:r>
        <w:r>
          <w:rPr>
            <w:noProof/>
            <w:webHidden/>
          </w:rPr>
        </w:r>
        <w:r>
          <w:rPr>
            <w:noProof/>
            <w:webHidden/>
          </w:rPr>
          <w:fldChar w:fldCharType="separate"/>
        </w:r>
        <w:r>
          <w:rPr>
            <w:noProof/>
            <w:webHidden/>
          </w:rPr>
          <w:t>14</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27" w:history="1">
        <w:r w:rsidRPr="00462E34">
          <w:rPr>
            <w:rStyle w:val="a9"/>
            <w:rFonts w:asciiTheme="minorEastAsia" w:hAnsiTheme="minorEastAsia" w:hint="eastAsia"/>
            <w:noProof/>
          </w:rPr>
          <w:t>七、交易及清算交收安排</w:t>
        </w:r>
        <w:r>
          <w:rPr>
            <w:noProof/>
            <w:webHidden/>
          </w:rPr>
          <w:tab/>
        </w:r>
        <w:r>
          <w:rPr>
            <w:noProof/>
            <w:webHidden/>
          </w:rPr>
          <w:fldChar w:fldCharType="begin"/>
        </w:r>
        <w:r>
          <w:rPr>
            <w:noProof/>
            <w:webHidden/>
          </w:rPr>
          <w:instrText xml:space="preserve"> PAGEREF _Toc499217427 \h </w:instrText>
        </w:r>
        <w:r>
          <w:rPr>
            <w:noProof/>
            <w:webHidden/>
          </w:rPr>
        </w:r>
        <w:r>
          <w:rPr>
            <w:noProof/>
            <w:webHidden/>
          </w:rPr>
          <w:fldChar w:fldCharType="separate"/>
        </w:r>
        <w:r>
          <w:rPr>
            <w:noProof/>
            <w:webHidden/>
          </w:rPr>
          <w:t>17</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28" w:history="1">
        <w:r w:rsidRPr="00462E34">
          <w:rPr>
            <w:rStyle w:val="a9"/>
            <w:rFonts w:asciiTheme="minorEastAsia" w:hAnsiTheme="minorEastAsia" w:hint="eastAsia"/>
            <w:noProof/>
          </w:rPr>
          <w:t>八、基金资产净值计算和会计核算</w:t>
        </w:r>
        <w:r>
          <w:rPr>
            <w:noProof/>
            <w:webHidden/>
          </w:rPr>
          <w:tab/>
        </w:r>
        <w:r>
          <w:rPr>
            <w:noProof/>
            <w:webHidden/>
          </w:rPr>
          <w:fldChar w:fldCharType="begin"/>
        </w:r>
        <w:r>
          <w:rPr>
            <w:noProof/>
            <w:webHidden/>
          </w:rPr>
          <w:instrText xml:space="preserve"> PAGEREF _Toc499217428 \h </w:instrText>
        </w:r>
        <w:r>
          <w:rPr>
            <w:noProof/>
            <w:webHidden/>
          </w:rPr>
        </w:r>
        <w:r>
          <w:rPr>
            <w:noProof/>
            <w:webHidden/>
          </w:rPr>
          <w:fldChar w:fldCharType="separate"/>
        </w:r>
        <w:r>
          <w:rPr>
            <w:noProof/>
            <w:webHidden/>
          </w:rPr>
          <w:t>22</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29" w:history="1">
        <w:r w:rsidRPr="00462E34">
          <w:rPr>
            <w:rStyle w:val="a9"/>
            <w:rFonts w:asciiTheme="minorEastAsia" w:hAnsiTheme="minorEastAsia" w:hint="eastAsia"/>
            <w:noProof/>
          </w:rPr>
          <w:t>九、基金收益分配</w:t>
        </w:r>
        <w:r>
          <w:rPr>
            <w:noProof/>
            <w:webHidden/>
          </w:rPr>
          <w:tab/>
        </w:r>
        <w:r>
          <w:rPr>
            <w:noProof/>
            <w:webHidden/>
          </w:rPr>
          <w:fldChar w:fldCharType="begin"/>
        </w:r>
        <w:r>
          <w:rPr>
            <w:noProof/>
            <w:webHidden/>
          </w:rPr>
          <w:instrText xml:space="preserve"> PAGEREF _Toc499217429 \h </w:instrText>
        </w:r>
        <w:r>
          <w:rPr>
            <w:noProof/>
            <w:webHidden/>
          </w:rPr>
        </w:r>
        <w:r>
          <w:rPr>
            <w:noProof/>
            <w:webHidden/>
          </w:rPr>
          <w:fldChar w:fldCharType="separate"/>
        </w:r>
        <w:r>
          <w:rPr>
            <w:noProof/>
            <w:webHidden/>
          </w:rPr>
          <w:t>27</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0" w:history="1">
        <w:r w:rsidRPr="00462E34">
          <w:rPr>
            <w:rStyle w:val="a9"/>
            <w:rFonts w:asciiTheme="minorEastAsia" w:hAnsiTheme="minorEastAsia" w:hint="eastAsia"/>
            <w:noProof/>
          </w:rPr>
          <w:t>十、基金信息披露</w:t>
        </w:r>
        <w:r>
          <w:rPr>
            <w:noProof/>
            <w:webHidden/>
          </w:rPr>
          <w:tab/>
        </w:r>
        <w:r>
          <w:rPr>
            <w:noProof/>
            <w:webHidden/>
          </w:rPr>
          <w:fldChar w:fldCharType="begin"/>
        </w:r>
        <w:r>
          <w:rPr>
            <w:noProof/>
            <w:webHidden/>
          </w:rPr>
          <w:instrText xml:space="preserve"> PAGEREF _Toc499217430 \h </w:instrText>
        </w:r>
        <w:r>
          <w:rPr>
            <w:noProof/>
            <w:webHidden/>
          </w:rPr>
        </w:r>
        <w:r>
          <w:rPr>
            <w:noProof/>
            <w:webHidden/>
          </w:rPr>
          <w:fldChar w:fldCharType="separate"/>
        </w:r>
        <w:r>
          <w:rPr>
            <w:noProof/>
            <w:webHidden/>
          </w:rPr>
          <w:t>28</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1" w:history="1">
        <w:r w:rsidRPr="00462E34">
          <w:rPr>
            <w:rStyle w:val="a9"/>
            <w:rFonts w:asciiTheme="minorEastAsia" w:hAnsiTheme="minorEastAsia" w:hint="eastAsia"/>
            <w:noProof/>
          </w:rPr>
          <w:t>十一、基金费用</w:t>
        </w:r>
        <w:r>
          <w:rPr>
            <w:noProof/>
            <w:webHidden/>
          </w:rPr>
          <w:tab/>
        </w:r>
        <w:r>
          <w:rPr>
            <w:noProof/>
            <w:webHidden/>
          </w:rPr>
          <w:fldChar w:fldCharType="begin"/>
        </w:r>
        <w:r>
          <w:rPr>
            <w:noProof/>
            <w:webHidden/>
          </w:rPr>
          <w:instrText xml:space="preserve"> PAGEREF _Toc499217431 \h </w:instrText>
        </w:r>
        <w:r>
          <w:rPr>
            <w:noProof/>
            <w:webHidden/>
          </w:rPr>
        </w:r>
        <w:r>
          <w:rPr>
            <w:noProof/>
            <w:webHidden/>
          </w:rPr>
          <w:fldChar w:fldCharType="separate"/>
        </w:r>
        <w:r>
          <w:rPr>
            <w:noProof/>
            <w:webHidden/>
          </w:rPr>
          <w:t>30</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2" w:history="1">
        <w:r w:rsidRPr="00462E34">
          <w:rPr>
            <w:rStyle w:val="a9"/>
            <w:rFonts w:asciiTheme="minorEastAsia" w:hAnsiTheme="minorEastAsia" w:hint="eastAsia"/>
            <w:noProof/>
          </w:rPr>
          <w:t>十二、基金份额持有人名册的保管</w:t>
        </w:r>
        <w:r>
          <w:rPr>
            <w:noProof/>
            <w:webHidden/>
          </w:rPr>
          <w:tab/>
        </w:r>
        <w:r>
          <w:rPr>
            <w:noProof/>
            <w:webHidden/>
          </w:rPr>
          <w:fldChar w:fldCharType="begin"/>
        </w:r>
        <w:r>
          <w:rPr>
            <w:noProof/>
            <w:webHidden/>
          </w:rPr>
          <w:instrText xml:space="preserve"> PAGEREF _Toc499217432 \h </w:instrText>
        </w:r>
        <w:r>
          <w:rPr>
            <w:noProof/>
            <w:webHidden/>
          </w:rPr>
        </w:r>
        <w:r>
          <w:rPr>
            <w:noProof/>
            <w:webHidden/>
          </w:rPr>
          <w:fldChar w:fldCharType="separate"/>
        </w:r>
        <w:r>
          <w:rPr>
            <w:noProof/>
            <w:webHidden/>
          </w:rPr>
          <w:t>31</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3" w:history="1">
        <w:r w:rsidRPr="00462E34">
          <w:rPr>
            <w:rStyle w:val="a9"/>
            <w:rFonts w:asciiTheme="minorEastAsia" w:hAnsiTheme="minorEastAsia" w:hint="eastAsia"/>
            <w:noProof/>
          </w:rPr>
          <w:t>十三、基金有关文件档案的保存</w:t>
        </w:r>
        <w:r>
          <w:rPr>
            <w:noProof/>
            <w:webHidden/>
          </w:rPr>
          <w:tab/>
        </w:r>
        <w:r>
          <w:rPr>
            <w:noProof/>
            <w:webHidden/>
          </w:rPr>
          <w:fldChar w:fldCharType="begin"/>
        </w:r>
        <w:r>
          <w:rPr>
            <w:noProof/>
            <w:webHidden/>
          </w:rPr>
          <w:instrText xml:space="preserve"> PAGEREF _Toc499217433 \h </w:instrText>
        </w:r>
        <w:r>
          <w:rPr>
            <w:noProof/>
            <w:webHidden/>
          </w:rPr>
        </w:r>
        <w:r>
          <w:rPr>
            <w:noProof/>
            <w:webHidden/>
          </w:rPr>
          <w:fldChar w:fldCharType="separate"/>
        </w:r>
        <w:r>
          <w:rPr>
            <w:noProof/>
            <w:webHidden/>
          </w:rPr>
          <w:t>31</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4" w:history="1">
        <w:r w:rsidRPr="00462E34">
          <w:rPr>
            <w:rStyle w:val="a9"/>
            <w:rFonts w:asciiTheme="minorEastAsia" w:hAnsiTheme="minorEastAsia" w:hint="eastAsia"/>
            <w:noProof/>
          </w:rPr>
          <w:t>十四、基金管理人和基金托管人的更换</w:t>
        </w:r>
        <w:r>
          <w:rPr>
            <w:noProof/>
            <w:webHidden/>
          </w:rPr>
          <w:tab/>
        </w:r>
        <w:r>
          <w:rPr>
            <w:noProof/>
            <w:webHidden/>
          </w:rPr>
          <w:fldChar w:fldCharType="begin"/>
        </w:r>
        <w:r>
          <w:rPr>
            <w:noProof/>
            <w:webHidden/>
          </w:rPr>
          <w:instrText xml:space="preserve"> PAGEREF _Toc499217434 \h </w:instrText>
        </w:r>
        <w:r>
          <w:rPr>
            <w:noProof/>
            <w:webHidden/>
          </w:rPr>
        </w:r>
        <w:r>
          <w:rPr>
            <w:noProof/>
            <w:webHidden/>
          </w:rPr>
          <w:fldChar w:fldCharType="separate"/>
        </w:r>
        <w:r>
          <w:rPr>
            <w:noProof/>
            <w:webHidden/>
          </w:rPr>
          <w:t>32</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5" w:history="1">
        <w:r w:rsidRPr="00462E34">
          <w:rPr>
            <w:rStyle w:val="a9"/>
            <w:rFonts w:asciiTheme="minorEastAsia" w:hAnsiTheme="minorEastAsia" w:hint="eastAsia"/>
            <w:noProof/>
          </w:rPr>
          <w:t>十五、禁止行为</w:t>
        </w:r>
        <w:r>
          <w:rPr>
            <w:noProof/>
            <w:webHidden/>
          </w:rPr>
          <w:tab/>
        </w:r>
        <w:r>
          <w:rPr>
            <w:noProof/>
            <w:webHidden/>
          </w:rPr>
          <w:fldChar w:fldCharType="begin"/>
        </w:r>
        <w:r>
          <w:rPr>
            <w:noProof/>
            <w:webHidden/>
          </w:rPr>
          <w:instrText xml:space="preserve"> PAGEREF _Toc499217435 \h </w:instrText>
        </w:r>
        <w:r>
          <w:rPr>
            <w:noProof/>
            <w:webHidden/>
          </w:rPr>
        </w:r>
        <w:r>
          <w:rPr>
            <w:noProof/>
            <w:webHidden/>
          </w:rPr>
          <w:fldChar w:fldCharType="separate"/>
        </w:r>
        <w:r>
          <w:rPr>
            <w:noProof/>
            <w:webHidden/>
          </w:rPr>
          <w:t>34</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6" w:history="1">
        <w:r w:rsidRPr="00462E34">
          <w:rPr>
            <w:rStyle w:val="a9"/>
            <w:rFonts w:asciiTheme="minorEastAsia" w:hAnsiTheme="minorEastAsia" w:hint="eastAsia"/>
            <w:noProof/>
          </w:rPr>
          <w:t>十六、托管协议的变更、终止与基金财产的清算</w:t>
        </w:r>
        <w:r>
          <w:rPr>
            <w:noProof/>
            <w:webHidden/>
          </w:rPr>
          <w:tab/>
        </w:r>
        <w:r>
          <w:rPr>
            <w:noProof/>
            <w:webHidden/>
          </w:rPr>
          <w:fldChar w:fldCharType="begin"/>
        </w:r>
        <w:r>
          <w:rPr>
            <w:noProof/>
            <w:webHidden/>
          </w:rPr>
          <w:instrText xml:space="preserve"> PAGEREF _Toc499217436 \h </w:instrText>
        </w:r>
        <w:r>
          <w:rPr>
            <w:noProof/>
            <w:webHidden/>
          </w:rPr>
        </w:r>
        <w:r>
          <w:rPr>
            <w:noProof/>
            <w:webHidden/>
          </w:rPr>
          <w:fldChar w:fldCharType="separate"/>
        </w:r>
        <w:r>
          <w:rPr>
            <w:noProof/>
            <w:webHidden/>
          </w:rPr>
          <w:t>35</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7" w:history="1">
        <w:r w:rsidRPr="00462E34">
          <w:rPr>
            <w:rStyle w:val="a9"/>
            <w:rFonts w:asciiTheme="minorEastAsia" w:hAnsiTheme="minorEastAsia" w:hint="eastAsia"/>
            <w:noProof/>
          </w:rPr>
          <w:t>十七、违约责任</w:t>
        </w:r>
        <w:r>
          <w:rPr>
            <w:noProof/>
            <w:webHidden/>
          </w:rPr>
          <w:tab/>
        </w:r>
        <w:r>
          <w:rPr>
            <w:noProof/>
            <w:webHidden/>
          </w:rPr>
          <w:fldChar w:fldCharType="begin"/>
        </w:r>
        <w:r>
          <w:rPr>
            <w:noProof/>
            <w:webHidden/>
          </w:rPr>
          <w:instrText xml:space="preserve"> PAGEREF _Toc499217437 \h </w:instrText>
        </w:r>
        <w:r>
          <w:rPr>
            <w:noProof/>
            <w:webHidden/>
          </w:rPr>
        </w:r>
        <w:r>
          <w:rPr>
            <w:noProof/>
            <w:webHidden/>
          </w:rPr>
          <w:fldChar w:fldCharType="separate"/>
        </w:r>
        <w:r>
          <w:rPr>
            <w:noProof/>
            <w:webHidden/>
          </w:rPr>
          <w:t>37</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8" w:history="1">
        <w:r w:rsidRPr="00462E34">
          <w:rPr>
            <w:rStyle w:val="a9"/>
            <w:rFonts w:asciiTheme="minorEastAsia" w:hAnsiTheme="minorEastAsia" w:hint="eastAsia"/>
            <w:noProof/>
          </w:rPr>
          <w:t>十八、争议解决方式</w:t>
        </w:r>
        <w:r>
          <w:rPr>
            <w:noProof/>
            <w:webHidden/>
          </w:rPr>
          <w:tab/>
        </w:r>
        <w:r>
          <w:rPr>
            <w:noProof/>
            <w:webHidden/>
          </w:rPr>
          <w:fldChar w:fldCharType="begin"/>
        </w:r>
        <w:r>
          <w:rPr>
            <w:noProof/>
            <w:webHidden/>
          </w:rPr>
          <w:instrText xml:space="preserve"> PAGEREF _Toc499217438 \h </w:instrText>
        </w:r>
        <w:r>
          <w:rPr>
            <w:noProof/>
            <w:webHidden/>
          </w:rPr>
        </w:r>
        <w:r>
          <w:rPr>
            <w:noProof/>
            <w:webHidden/>
          </w:rPr>
          <w:fldChar w:fldCharType="separate"/>
        </w:r>
        <w:r>
          <w:rPr>
            <w:noProof/>
            <w:webHidden/>
          </w:rPr>
          <w:t>38</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39" w:history="1">
        <w:r w:rsidRPr="00462E34">
          <w:rPr>
            <w:rStyle w:val="a9"/>
            <w:rFonts w:asciiTheme="minorEastAsia" w:hAnsiTheme="minorEastAsia" w:hint="eastAsia"/>
            <w:noProof/>
          </w:rPr>
          <w:t>十九、托管协议的效力</w:t>
        </w:r>
        <w:r>
          <w:rPr>
            <w:noProof/>
            <w:webHidden/>
          </w:rPr>
          <w:tab/>
        </w:r>
        <w:r>
          <w:rPr>
            <w:noProof/>
            <w:webHidden/>
          </w:rPr>
          <w:fldChar w:fldCharType="begin"/>
        </w:r>
        <w:r>
          <w:rPr>
            <w:noProof/>
            <w:webHidden/>
          </w:rPr>
          <w:instrText xml:space="preserve"> PAGEREF _Toc499217439 \h </w:instrText>
        </w:r>
        <w:r>
          <w:rPr>
            <w:noProof/>
            <w:webHidden/>
          </w:rPr>
        </w:r>
        <w:r>
          <w:rPr>
            <w:noProof/>
            <w:webHidden/>
          </w:rPr>
          <w:fldChar w:fldCharType="separate"/>
        </w:r>
        <w:r>
          <w:rPr>
            <w:noProof/>
            <w:webHidden/>
          </w:rPr>
          <w:t>38</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40" w:history="1">
        <w:r w:rsidRPr="00462E34">
          <w:rPr>
            <w:rStyle w:val="a9"/>
            <w:rFonts w:asciiTheme="minorEastAsia" w:hAnsiTheme="minorEastAsia" w:hint="eastAsia"/>
            <w:noProof/>
          </w:rPr>
          <w:t>二十、其他事项</w:t>
        </w:r>
        <w:r>
          <w:rPr>
            <w:noProof/>
            <w:webHidden/>
          </w:rPr>
          <w:tab/>
        </w:r>
        <w:r>
          <w:rPr>
            <w:noProof/>
            <w:webHidden/>
          </w:rPr>
          <w:fldChar w:fldCharType="begin"/>
        </w:r>
        <w:r>
          <w:rPr>
            <w:noProof/>
            <w:webHidden/>
          </w:rPr>
          <w:instrText xml:space="preserve"> PAGEREF _Toc499217440 \h </w:instrText>
        </w:r>
        <w:r>
          <w:rPr>
            <w:noProof/>
            <w:webHidden/>
          </w:rPr>
        </w:r>
        <w:r>
          <w:rPr>
            <w:noProof/>
            <w:webHidden/>
          </w:rPr>
          <w:fldChar w:fldCharType="separate"/>
        </w:r>
        <w:r>
          <w:rPr>
            <w:noProof/>
            <w:webHidden/>
          </w:rPr>
          <w:t>39</w:t>
        </w:r>
        <w:r>
          <w:rPr>
            <w:noProof/>
            <w:webHidden/>
          </w:rPr>
          <w:fldChar w:fldCharType="end"/>
        </w:r>
      </w:hyperlink>
    </w:p>
    <w:p w:rsidR="001E1963" w:rsidRDefault="001E1963">
      <w:pPr>
        <w:pStyle w:val="21"/>
        <w:rPr>
          <w:rFonts w:asciiTheme="minorHAnsi" w:eastAsiaTheme="minorEastAsia" w:hAnsiTheme="minorHAnsi" w:cstheme="minorBidi"/>
          <w:noProof/>
          <w:szCs w:val="22"/>
        </w:rPr>
      </w:pPr>
      <w:hyperlink w:anchor="_Toc499217441" w:history="1">
        <w:r w:rsidRPr="00462E34">
          <w:rPr>
            <w:rStyle w:val="a9"/>
            <w:rFonts w:asciiTheme="minorEastAsia" w:hAnsiTheme="minorEastAsia" w:hint="eastAsia"/>
            <w:noProof/>
          </w:rPr>
          <w:t>二十一、托管协议的签订</w:t>
        </w:r>
        <w:r>
          <w:rPr>
            <w:noProof/>
            <w:webHidden/>
          </w:rPr>
          <w:tab/>
        </w:r>
        <w:r>
          <w:rPr>
            <w:noProof/>
            <w:webHidden/>
          </w:rPr>
          <w:fldChar w:fldCharType="begin"/>
        </w:r>
        <w:r>
          <w:rPr>
            <w:noProof/>
            <w:webHidden/>
          </w:rPr>
          <w:instrText xml:space="preserve"> PAGEREF _Toc499217441 \h </w:instrText>
        </w:r>
        <w:r>
          <w:rPr>
            <w:noProof/>
            <w:webHidden/>
          </w:rPr>
        </w:r>
        <w:r>
          <w:rPr>
            <w:noProof/>
            <w:webHidden/>
          </w:rPr>
          <w:fldChar w:fldCharType="separate"/>
        </w:r>
        <w:r>
          <w:rPr>
            <w:noProof/>
            <w:webHidden/>
          </w:rPr>
          <w:t>39</w:t>
        </w:r>
        <w:r>
          <w:rPr>
            <w:noProof/>
            <w:webHidden/>
          </w:rPr>
          <w:fldChar w:fldCharType="end"/>
        </w:r>
      </w:hyperlink>
    </w:p>
    <w:p w:rsidR="00F2175E" w:rsidRPr="001E1963" w:rsidRDefault="008C07EE" w:rsidP="001E1963">
      <w:pPr>
        <w:spacing w:line="360" w:lineRule="auto"/>
        <w:rPr>
          <w:rFonts w:asciiTheme="minorEastAsia" w:eastAsiaTheme="minorEastAsia" w:hAnsiTheme="minorEastAsia"/>
          <w:sz w:val="28"/>
        </w:rPr>
        <w:sectPr w:rsidR="00F2175E" w:rsidRPr="001E1963" w:rsidSect="008A0BF6">
          <w:headerReference w:type="default" r:id="rId8"/>
          <w:footerReference w:type="default" r:id="rId9"/>
          <w:pgSz w:w="11906" w:h="16838" w:code="9"/>
          <w:pgMar w:top="1418" w:right="1701" w:bottom="1418" w:left="1701" w:header="851" w:footer="992" w:gutter="0"/>
          <w:cols w:space="425"/>
          <w:docGrid w:type="lines" w:linePitch="312"/>
        </w:sectPr>
      </w:pPr>
      <w:r w:rsidRPr="001E1963">
        <w:rPr>
          <w:rFonts w:asciiTheme="minorEastAsia" w:eastAsiaTheme="minorEastAsia" w:hAnsiTheme="minorEastAsia" w:hint="eastAsia"/>
          <w:sz w:val="28"/>
        </w:rPr>
        <w:fldChar w:fldCharType="end"/>
      </w:r>
    </w:p>
    <w:p w:rsidR="008C07EE" w:rsidRPr="001E1963" w:rsidRDefault="008C07EE" w:rsidP="001E1963">
      <w:pPr>
        <w:spacing w:line="360" w:lineRule="auto"/>
        <w:rPr>
          <w:rFonts w:asciiTheme="minorEastAsia" w:eastAsiaTheme="minorEastAsia" w:hAnsiTheme="minorEastAsia"/>
          <w:sz w:val="24"/>
        </w:rPr>
      </w:pPr>
    </w:p>
    <w:p w:rsidR="008C07EE" w:rsidRPr="001E1963" w:rsidRDefault="008C07EE" w:rsidP="001E1963">
      <w:pPr>
        <w:widowControl/>
        <w:adjustRightInd w:val="0"/>
        <w:snapToGrid w:val="0"/>
        <w:spacing w:line="360" w:lineRule="auto"/>
        <w:ind w:firstLineChars="200" w:firstLine="480"/>
        <w:rPr>
          <w:rFonts w:asciiTheme="minorEastAsia" w:eastAsiaTheme="minorEastAsia" w:hAnsiTheme="minorEastAsia" w:cs="Arial"/>
          <w:kern w:val="0"/>
          <w:sz w:val="24"/>
        </w:rPr>
      </w:pPr>
      <w:r w:rsidRPr="001E1963">
        <w:rPr>
          <w:rFonts w:asciiTheme="minorEastAsia" w:eastAsiaTheme="minorEastAsia" w:hAnsiTheme="minorEastAsia" w:cs="Arial" w:hint="eastAsia"/>
          <w:kern w:val="0"/>
          <w:sz w:val="24"/>
        </w:rPr>
        <w:t>鉴于汇添富基金管理股份有限公司系一家依照中国法律合法成立并有效存续的股份有限公司，按照相关法律法规的规定具备担任基金管理人的资格和能力，拟募集发行汇添富价值创造定期开放混合型证券投资基金；</w:t>
      </w:r>
    </w:p>
    <w:p w:rsidR="008C07EE" w:rsidRPr="001E1963" w:rsidRDefault="008C07EE" w:rsidP="001E1963">
      <w:pPr>
        <w:widowControl/>
        <w:adjustRightInd w:val="0"/>
        <w:snapToGrid w:val="0"/>
        <w:spacing w:line="360" w:lineRule="auto"/>
        <w:ind w:firstLineChars="200" w:firstLine="480"/>
        <w:rPr>
          <w:rFonts w:asciiTheme="minorEastAsia" w:eastAsiaTheme="minorEastAsia" w:hAnsiTheme="minorEastAsia" w:cs="Arial"/>
          <w:kern w:val="0"/>
          <w:sz w:val="24"/>
        </w:rPr>
      </w:pPr>
      <w:r w:rsidRPr="001E1963">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8C07EE" w:rsidRPr="001E1963" w:rsidRDefault="008C07EE" w:rsidP="001E1963">
      <w:pPr>
        <w:widowControl/>
        <w:adjustRightInd w:val="0"/>
        <w:snapToGrid w:val="0"/>
        <w:spacing w:line="360" w:lineRule="auto"/>
        <w:ind w:firstLineChars="200" w:firstLine="480"/>
        <w:rPr>
          <w:rFonts w:asciiTheme="minorEastAsia" w:eastAsiaTheme="minorEastAsia" w:hAnsiTheme="minorEastAsia" w:cs="Arial"/>
          <w:kern w:val="0"/>
          <w:sz w:val="24"/>
        </w:rPr>
      </w:pPr>
      <w:r w:rsidRPr="001E1963">
        <w:rPr>
          <w:rFonts w:asciiTheme="minorEastAsia" w:eastAsiaTheme="minorEastAsia" w:hAnsiTheme="minorEastAsia" w:cs="Arial" w:hint="eastAsia"/>
          <w:kern w:val="0"/>
          <w:sz w:val="24"/>
        </w:rPr>
        <w:t>鉴于汇添富基金管理股份有限公司拟担任汇添富价值创造定期开放混合型证券投资基金的基金管理人，中国建设银行股份有限公司拟担任证券投资基金的基金托管人；</w:t>
      </w:r>
    </w:p>
    <w:p w:rsidR="008C07EE" w:rsidRPr="001E1963" w:rsidRDefault="008C07EE" w:rsidP="001E1963">
      <w:pPr>
        <w:widowControl/>
        <w:adjustRightInd w:val="0"/>
        <w:snapToGrid w:val="0"/>
        <w:spacing w:line="360" w:lineRule="auto"/>
        <w:ind w:firstLineChars="200" w:firstLine="480"/>
        <w:rPr>
          <w:rFonts w:asciiTheme="minorEastAsia" w:eastAsiaTheme="minorEastAsia" w:hAnsiTheme="minorEastAsia" w:cs="Arial"/>
          <w:kern w:val="0"/>
          <w:sz w:val="24"/>
        </w:rPr>
      </w:pPr>
      <w:r w:rsidRPr="001E1963">
        <w:rPr>
          <w:rFonts w:asciiTheme="minorEastAsia" w:eastAsiaTheme="minorEastAsia" w:hAnsiTheme="minorEastAsia" w:cs="Arial" w:hint="eastAsia"/>
          <w:kern w:val="0"/>
          <w:sz w:val="24"/>
        </w:rPr>
        <w:t>为明确汇添富价值创造定期开放混合型证券投资基金的基金管理人和基金托管人之间的权利义务关系，特制订本托管协议；</w:t>
      </w:r>
    </w:p>
    <w:p w:rsidR="008C07EE" w:rsidRPr="001E1963" w:rsidRDefault="008C07EE" w:rsidP="001E1963">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1E1963">
        <w:rPr>
          <w:rFonts w:asciiTheme="minorEastAsia" w:eastAsiaTheme="minorEastAsia" w:hAnsiTheme="minorEastAsia" w:cs="Arial" w:hint="eastAsia"/>
          <w:kern w:val="0"/>
          <w:sz w:val="24"/>
          <w:lang w:val="en-GB"/>
        </w:rPr>
        <w:t>除非另有约定，《</w:t>
      </w:r>
      <w:r w:rsidRPr="001E1963">
        <w:rPr>
          <w:rFonts w:asciiTheme="minorEastAsia" w:eastAsiaTheme="minorEastAsia" w:hAnsiTheme="minorEastAsia" w:cs="Arial" w:hint="eastAsia"/>
          <w:kern w:val="0"/>
          <w:sz w:val="24"/>
        </w:rPr>
        <w:t>汇添富价值创造定期开放混合型</w:t>
      </w:r>
      <w:r w:rsidRPr="001E1963">
        <w:rPr>
          <w:rFonts w:asciiTheme="minorEastAsia" w:eastAsiaTheme="minorEastAsia" w:hAnsiTheme="minorEastAsia" w:cs="Arial" w:hint="eastAsia"/>
          <w:kern w:val="0"/>
          <w:sz w:val="24"/>
          <w:lang w:val="en-GB"/>
        </w:rPr>
        <w:t>证券投资基金基金合同》(以下简称“基金合同”)中定义的术语在用于本托管协议时应具有相同的含义；若有抵触应以《基金合同》为准，并依其</w:t>
      </w:r>
      <w:r w:rsidRPr="001E1963">
        <w:rPr>
          <w:rFonts w:asciiTheme="minorEastAsia" w:eastAsiaTheme="minorEastAsia" w:hAnsiTheme="minorEastAsia" w:cs="Arial" w:hint="eastAsia"/>
          <w:kern w:val="0"/>
          <w:sz w:val="24"/>
        </w:rPr>
        <w:t>条款</w:t>
      </w:r>
      <w:r w:rsidRPr="001E1963">
        <w:rPr>
          <w:rFonts w:asciiTheme="minorEastAsia" w:eastAsiaTheme="minorEastAsia" w:hAnsiTheme="minorEastAsia" w:cs="Arial" w:hint="eastAsia"/>
          <w:kern w:val="0"/>
          <w:sz w:val="24"/>
          <w:lang w:val="en-GB"/>
        </w:rPr>
        <w:t>解释。</w:t>
      </w:r>
    </w:p>
    <w:p w:rsidR="008C07EE" w:rsidRPr="001E1963" w:rsidRDefault="008C07EE" w:rsidP="001E1963">
      <w:pPr>
        <w:spacing w:line="360" w:lineRule="auto"/>
        <w:rPr>
          <w:rFonts w:asciiTheme="minorEastAsia" w:eastAsiaTheme="minorEastAsia" w:hAnsiTheme="minorEastAsia"/>
          <w:sz w:val="24"/>
          <w:lang w:val="en-GB"/>
        </w:rPr>
      </w:pPr>
    </w:p>
    <w:p w:rsidR="008C07EE" w:rsidRPr="001E1963" w:rsidRDefault="008C07EE" w:rsidP="001E1963">
      <w:pPr>
        <w:pStyle w:val="2"/>
        <w:spacing w:line="360" w:lineRule="auto"/>
        <w:jc w:val="center"/>
        <w:rPr>
          <w:rFonts w:asciiTheme="minorEastAsia" w:eastAsiaTheme="minorEastAsia" w:hAnsiTheme="minorEastAsia"/>
        </w:rPr>
      </w:pPr>
      <w:bookmarkStart w:id="0" w:name="_Toc499217421"/>
      <w:r w:rsidRPr="001E1963">
        <w:rPr>
          <w:rFonts w:asciiTheme="minorEastAsia" w:eastAsiaTheme="minorEastAsia" w:hAnsiTheme="minorEastAsia" w:hint="eastAsia"/>
        </w:rPr>
        <w:t>一、基金托管协议当事人</w:t>
      </w:r>
      <w:bookmarkEnd w:id="0"/>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（一）基金管理人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名称：汇添富基金管理股份有限公司</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注册地址：上海市黄浦区大沽路288号6幢538室</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办公地址：上海市富城路99号震旦大厦</w:t>
      </w:r>
      <w:r w:rsidR="0033503E" w:rsidRPr="001E1963">
        <w:rPr>
          <w:rFonts w:asciiTheme="minorEastAsia" w:eastAsiaTheme="minorEastAsia" w:hAnsiTheme="minorEastAsia" w:cs="Arial"/>
          <w:sz w:val="24"/>
        </w:rPr>
        <w:t>21-23</w:t>
      </w:r>
      <w:r w:rsidRPr="001E1963">
        <w:rPr>
          <w:rFonts w:asciiTheme="minorEastAsia" w:eastAsiaTheme="minorEastAsia" w:hAnsiTheme="minorEastAsia" w:cs="Arial" w:hint="eastAsia"/>
          <w:sz w:val="24"/>
        </w:rPr>
        <w:t>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邮政编码：200120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法定代表人：李文</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成立日期：2015</w:t>
      </w:r>
      <w:r w:rsidRPr="001E1963">
        <w:rPr>
          <w:rStyle w:val="read"/>
          <w:rFonts w:asciiTheme="minorEastAsia" w:eastAsiaTheme="minorEastAsia" w:hAnsiTheme="minorEastAsia" w:cs="Arial" w:hint="eastAsia"/>
          <w:sz w:val="24"/>
        </w:rPr>
        <w:t>年2月3日</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批准设立机关及批准设立文号：中国证监会证监基金字</w:t>
      </w:r>
      <w:r w:rsidRPr="001E1963">
        <w:rPr>
          <w:rStyle w:val="read"/>
          <w:rFonts w:asciiTheme="minorEastAsia" w:eastAsiaTheme="minorEastAsia" w:hAnsiTheme="minorEastAsia" w:cs="Arial" w:hint="eastAsia"/>
          <w:sz w:val="24"/>
        </w:rPr>
        <w:t>[2005]5</w:t>
      </w:r>
      <w:r w:rsidRPr="001E1963">
        <w:rPr>
          <w:rFonts w:asciiTheme="minorEastAsia" w:eastAsiaTheme="minorEastAsia" w:hAnsiTheme="minorEastAsia" w:cs="Arial" w:hint="eastAsia"/>
          <w:sz w:val="24"/>
        </w:rPr>
        <w:t>号</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组织形式：股份有限公司</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注册资本：人民币</w:t>
      </w:r>
      <w:r w:rsidRPr="001E1963">
        <w:rPr>
          <w:rFonts w:asciiTheme="minorEastAsia" w:eastAsiaTheme="minorEastAsia" w:hAnsiTheme="minorEastAsia" w:cs="Arial"/>
          <w:sz w:val="24"/>
        </w:rPr>
        <w:t>132,724,224</w:t>
      </w:r>
      <w:r w:rsidRPr="001E1963">
        <w:rPr>
          <w:rStyle w:val="read"/>
          <w:rFonts w:asciiTheme="minorEastAsia" w:eastAsiaTheme="minorEastAsia" w:hAnsiTheme="minorEastAsia" w:cs="Arial" w:hint="eastAsia"/>
          <w:sz w:val="24"/>
        </w:rPr>
        <w:t>元</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存续期间：持续经营</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经营范围：基金管理业务、发起设立基金及中国证券监督管理委员会批准的</w:t>
      </w:r>
      <w:r w:rsidRPr="001E1963">
        <w:rPr>
          <w:rFonts w:asciiTheme="minorEastAsia" w:eastAsiaTheme="minorEastAsia" w:hAnsiTheme="minorEastAsia" w:cs="Arial" w:hint="eastAsia"/>
          <w:sz w:val="24"/>
        </w:rPr>
        <w:lastRenderedPageBreak/>
        <w:t>其他业务</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（二）基金托管人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名称：中国建设银行股份有限公司(简称：中国建设银行)</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住所：北京市西城区金融大街25号</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办公地址：北京市西城区闹市口大街1号院1号楼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邮政编码：100033</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法定代表人：王洪章</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1E1963">
          <w:rPr>
            <w:rFonts w:asciiTheme="minorEastAsia" w:eastAsiaTheme="minorEastAsia" w:hAnsiTheme="minorEastAsia" w:cs="Arial" w:hint="eastAsia"/>
            <w:sz w:val="24"/>
          </w:rPr>
          <w:t>2004年09月17日</w:t>
        </w:r>
      </w:smartTag>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基金托管业务批准文号：中国证监会证监基字[1998</w:t>
      </w:r>
      <w:bookmarkStart w:id="1" w:name="OLE_LINK3"/>
      <w:r w:rsidRPr="001E1963">
        <w:rPr>
          <w:rFonts w:asciiTheme="minorEastAsia" w:eastAsiaTheme="minorEastAsia" w:hAnsiTheme="minorEastAsia" w:cs="Arial" w:hint="eastAsia"/>
          <w:sz w:val="24"/>
        </w:rPr>
        <w:t>]</w:t>
      </w:r>
      <w:bookmarkEnd w:id="1"/>
      <w:r w:rsidRPr="001E1963">
        <w:rPr>
          <w:rFonts w:asciiTheme="minorEastAsia" w:eastAsiaTheme="minorEastAsia" w:hAnsiTheme="minorEastAsia" w:cs="Arial" w:hint="eastAsia"/>
          <w:sz w:val="24"/>
        </w:rPr>
        <w:t>12号</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组织形式：股份有限公司</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注册资本：</w:t>
      </w:r>
      <w:r w:rsidRPr="001E1963">
        <w:rPr>
          <w:rFonts w:asciiTheme="minorEastAsia" w:eastAsiaTheme="minorEastAsia" w:hAnsiTheme="minorEastAsia" w:hint="eastAsia"/>
          <w:sz w:val="24"/>
        </w:rPr>
        <w:t>贰仟伍佰亿壹仟零玖拾柒万柒仟肆佰捌拾陆元整</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存续期间：持续经营</w:t>
      </w:r>
    </w:p>
    <w:p w:rsidR="008C07EE" w:rsidRPr="001E1963" w:rsidRDefault="008C07EE" w:rsidP="001E1963">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C07EE" w:rsidRPr="001E1963" w:rsidRDefault="008C07EE" w:rsidP="001E1963">
      <w:pPr>
        <w:spacing w:line="360" w:lineRule="auto"/>
        <w:rPr>
          <w:rFonts w:asciiTheme="minorEastAsia" w:eastAsiaTheme="minorEastAsia" w:hAnsiTheme="minorEastAsia"/>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2" w:name="_Toc499217422"/>
      <w:r w:rsidRPr="001E1963">
        <w:rPr>
          <w:rFonts w:asciiTheme="minorEastAsia" w:eastAsiaTheme="minorEastAsia" w:hAnsiTheme="minorEastAsia" w:hint="eastAsia"/>
          <w:sz w:val="30"/>
        </w:rPr>
        <w:t>二、基金托管协议的依据、目的和原则</w:t>
      </w:r>
      <w:bookmarkEnd w:id="2"/>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szCs w:val="30"/>
        </w:rPr>
      </w:pPr>
      <w:r w:rsidRPr="001E1963">
        <w:rPr>
          <w:rFonts w:asciiTheme="minorEastAsia" w:eastAsiaTheme="minorEastAsia" w:hAnsiTheme="minorEastAsia" w:cs="Arial" w:hint="eastAsia"/>
          <w:sz w:val="24"/>
        </w:rPr>
        <w:t>（一）订立托管协议的依据</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（二）订立托管协议的目的</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szCs w:val="30"/>
        </w:rPr>
      </w:pPr>
      <w:r w:rsidRPr="001E1963">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（三）订立托管协议的原则</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基金管理人和基金托管人本着平等自愿、诚实信用、充分保护基金份额持有</w:t>
      </w:r>
      <w:r w:rsidRPr="001E1963">
        <w:rPr>
          <w:rFonts w:asciiTheme="minorEastAsia" w:eastAsiaTheme="minorEastAsia" w:hAnsiTheme="minorEastAsia" w:cs="Arial" w:hint="eastAsia"/>
          <w:sz w:val="24"/>
        </w:rPr>
        <w:lastRenderedPageBreak/>
        <w:t>人合法权益的原则，经协商一致，签订本协议。</w:t>
      </w:r>
    </w:p>
    <w:p w:rsidR="008C07EE" w:rsidRPr="001E1963" w:rsidRDefault="008C07EE" w:rsidP="001E1963">
      <w:pPr>
        <w:spacing w:line="360" w:lineRule="auto"/>
        <w:rPr>
          <w:rFonts w:asciiTheme="minorEastAsia" w:eastAsiaTheme="minorEastAsia" w:hAnsiTheme="minorEastAsia"/>
          <w:sz w:val="24"/>
        </w:rPr>
      </w:pPr>
    </w:p>
    <w:p w:rsidR="008C07EE" w:rsidRPr="001E1963" w:rsidRDefault="008C07EE" w:rsidP="001E1963">
      <w:pPr>
        <w:pStyle w:val="2"/>
        <w:spacing w:line="360" w:lineRule="auto"/>
        <w:jc w:val="center"/>
        <w:rPr>
          <w:rFonts w:asciiTheme="minorEastAsia" w:eastAsiaTheme="minorEastAsia" w:hAnsiTheme="minorEastAsia"/>
          <w:sz w:val="30"/>
          <w:szCs w:val="24"/>
        </w:rPr>
      </w:pPr>
      <w:bookmarkStart w:id="3" w:name="_Toc499217423"/>
      <w:r w:rsidRPr="001E1963">
        <w:rPr>
          <w:rFonts w:asciiTheme="minorEastAsia" w:eastAsiaTheme="minorEastAsia" w:hAnsiTheme="minorEastAsia" w:hint="eastAsia"/>
          <w:sz w:val="30"/>
        </w:rPr>
        <w:t>三、基金托管人对基金管理人的业务监督和核查</w:t>
      </w:r>
      <w:bookmarkEnd w:id="3"/>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本基金的投资范围为具有良好流动性的金融工具，包括国内依法发行上市的股票（含中小板、创业板及其他经中国证监会核准上市的股票）、港股通标的股票、债券（包括国债、央行票据、金融债券、企业债券、公司债券、中期票据、短期融资券、超短期融资券、次级债券、政府支持债券、地方政府债券、可交换债券、中小企业私募债券、可转换债券（含分离交易可转债）及其他经中国证监会允许投资的债券）、资产支持证券、债券回购、同业存单、银行存款（包括协议存款、定期存款及其他银行存款）、货币市场工具、权证、股指期货、股票期权、国债期货以及法律法规或中国证监会允许基金投资的其他金融工具(但须符合中国证监会相关规定)。</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szCs w:val="30"/>
        </w:rPr>
      </w:pPr>
      <w:r w:rsidRPr="001E1963">
        <w:rPr>
          <w:rFonts w:asciiTheme="minorEastAsia" w:eastAsiaTheme="minorEastAsia" w:hAnsiTheme="minorEastAsia" w:cs="Arial" w:hint="eastAsia"/>
          <w:sz w:val="24"/>
        </w:rPr>
        <w:t>基金的投资组合比例为：封闭期内，本基金投资于股票资产占基金资产的比例不低于60%（其中投资于港股通标的股票占股票资产的比例不超过50%），本基金投资于价值创造型股票占非现金基金资产的比例不低于80%；每次开放期前</w:t>
      </w:r>
      <w:r w:rsidR="00040ABD" w:rsidRPr="001E1963">
        <w:rPr>
          <w:rFonts w:asciiTheme="minorEastAsia" w:eastAsiaTheme="minorEastAsia" w:hAnsiTheme="minorEastAsia" w:cs="Arial" w:hint="eastAsia"/>
          <w:sz w:val="24"/>
        </w:rPr>
        <w:t>一</w:t>
      </w:r>
      <w:r w:rsidRPr="001E1963">
        <w:rPr>
          <w:rFonts w:asciiTheme="minorEastAsia" w:eastAsiaTheme="minorEastAsia" w:hAnsiTheme="minorEastAsia" w:cs="Arial" w:hint="eastAsia"/>
          <w:sz w:val="24"/>
        </w:rPr>
        <w:t>个月、开放期及开放期结束后</w:t>
      </w:r>
      <w:r w:rsidR="00040ABD" w:rsidRPr="001E1963">
        <w:rPr>
          <w:rFonts w:asciiTheme="minorEastAsia" w:eastAsiaTheme="minorEastAsia" w:hAnsiTheme="minorEastAsia" w:cs="Arial" w:hint="eastAsia"/>
          <w:sz w:val="24"/>
        </w:rPr>
        <w:t>一</w:t>
      </w:r>
      <w:r w:rsidRPr="001E1963">
        <w:rPr>
          <w:rFonts w:asciiTheme="minorEastAsia" w:eastAsiaTheme="minorEastAsia" w:hAnsiTheme="minorEastAsia" w:cs="Arial" w:hint="eastAsia"/>
          <w:sz w:val="24"/>
        </w:rPr>
        <w:t>个月的期间内，本基金投资不受上述比例限制。开放期内，每个交易日日终，在扣除股指期货、国债期货和股票期权合约需缴纳的交易保证金后，本基金持有的现金或到期日在一年以内的政府债券的比例合计不低于基金资产净值的5%；封闭期内，本基金持有现金或者到期日在一年以内的政府债券占基金资产净值的比例不受上述限制，但每个交易日日终在扣除股指期货、国债期货和股票期权合约需缴纳的交易保证金后，应当保持不低于交易保证金一</w:t>
      </w:r>
      <w:r w:rsidRPr="001E1963">
        <w:rPr>
          <w:rFonts w:asciiTheme="minorEastAsia" w:eastAsiaTheme="minorEastAsia" w:hAnsiTheme="minorEastAsia" w:cs="Arial" w:hint="eastAsia"/>
          <w:sz w:val="24"/>
        </w:rPr>
        <w:lastRenderedPageBreak/>
        <w:t>倍的现金</w:t>
      </w:r>
      <w:r w:rsidR="008A0BF6" w:rsidRPr="001E1963">
        <w:rPr>
          <w:rFonts w:asciiTheme="minorEastAsia" w:eastAsiaTheme="minorEastAsia" w:hAnsiTheme="minorEastAsia" w:cs="Arial" w:hint="eastAsia"/>
          <w:bCs/>
          <w:sz w:val="24"/>
        </w:rPr>
        <w:t>，本基金所指的现金不包括结算备付金、存出保证金、应收申购款等</w:t>
      </w:r>
      <w:r w:rsidRPr="001E1963">
        <w:rPr>
          <w:rFonts w:asciiTheme="minorEastAsia" w:eastAsiaTheme="minorEastAsia" w:hAnsiTheme="minorEastAsia" w:cs="Arial" w:hint="eastAsia"/>
          <w:sz w:val="24"/>
        </w:rPr>
        <w:t>。</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sz w:val="24"/>
        </w:rPr>
        <w:t>1.</w:t>
      </w:r>
      <w:r w:rsidRPr="001E1963">
        <w:rPr>
          <w:rFonts w:asciiTheme="minorEastAsia" w:eastAsiaTheme="minorEastAsia" w:hAnsiTheme="minorEastAsia" w:hint="eastAsia"/>
          <w:sz w:val="24"/>
        </w:rPr>
        <w:t>封闭期内，本基金投资于股票资产占基金资产的比例不低于60%（其中投资于港股通标的股票占股票资产的比例不超过50%），本基金投资于价值创造型股票占非现金基金资产的比例不低于80%；每次开放期前</w:t>
      </w:r>
      <w:r w:rsidR="00040ABD" w:rsidRPr="001E1963">
        <w:rPr>
          <w:rFonts w:asciiTheme="minorEastAsia" w:eastAsiaTheme="minorEastAsia" w:hAnsiTheme="minorEastAsia" w:hint="eastAsia"/>
          <w:sz w:val="24"/>
        </w:rPr>
        <w:t>一</w:t>
      </w:r>
      <w:r w:rsidRPr="001E1963">
        <w:rPr>
          <w:rFonts w:asciiTheme="minorEastAsia" w:eastAsiaTheme="minorEastAsia" w:hAnsiTheme="minorEastAsia" w:hint="eastAsia"/>
          <w:sz w:val="24"/>
        </w:rPr>
        <w:t>个月、开放期及开放期结束</w:t>
      </w:r>
      <w:r w:rsidR="00040ABD" w:rsidRPr="001E1963">
        <w:rPr>
          <w:rFonts w:asciiTheme="minorEastAsia" w:eastAsiaTheme="minorEastAsia" w:hAnsiTheme="minorEastAsia" w:hint="eastAsia"/>
          <w:sz w:val="24"/>
        </w:rPr>
        <w:t>后一个月</w:t>
      </w:r>
      <w:r w:rsidRPr="001E1963">
        <w:rPr>
          <w:rFonts w:asciiTheme="minorEastAsia" w:eastAsiaTheme="minorEastAsia" w:hAnsiTheme="minorEastAsia" w:hint="eastAsia"/>
          <w:sz w:val="24"/>
        </w:rPr>
        <w:t>的期间内，本基金投资不受上述比例限制；</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2.开放期内，每个交易日日终，在扣除股指期货、国债期货和股票期权合约需缴纳的交易保证金后，本基金持有的现金或到期日在一年以内的政府债券的比例合计不低于基金资产净值的5%；封闭期内，本基金持有现金或者到期日在一年以内的政府债券占基金资产净值的比例不受上述限制，但每个交易日日终在扣除股指期货、国债期货和股票期权合约需缴纳的交易保证金后，应当保持不低于交易保证金一倍的现金；</w:t>
      </w:r>
      <w:r w:rsidR="008A0BF6" w:rsidRPr="001E1963">
        <w:rPr>
          <w:rFonts w:asciiTheme="minorEastAsia" w:eastAsiaTheme="minorEastAsia" w:hAnsiTheme="minorEastAsia" w:hint="eastAsia"/>
          <w:sz w:val="24"/>
        </w:rPr>
        <w:t>本基金所指的现金不包括结算备付金、存出保证金、应收申购款等；</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3.本基金持有一家公司发行的证券，其市值（同一家公司在境内和香港同时上市的A+H股合计计算）不超过基金资产净值的10％；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4.本基金管理人管理且由本基金托管人托管的全部基金持有一家公司发行的证券（同一家公司在境内和香港同时上市的A+H股合并计算），不超过该证券的10%；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5.本基金持有的全部权证，其市值不得超过基金资产净值的3％；</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6.本基金管理人管理且由本基金托管人托管的全部基金持有的同一权证，不得超过该权证的10％；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7.本基金在任何交易日买入权证的总金额，不得超过上一交易日基金资产净值的0.5％；</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8.本基金投资于同一原始权益人的各类资产支持证券的比例，不得超过基金资产净值的10％；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9.本基金持有的全部资产支持证券，其市值不得超过基金资产净值的20％；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10.本基金持有的同一(指同一信用级别)资产支持证券的比例，不得超过该资产支持证券规模的10％；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11.本基金管理人管理且由本基金托管人托管的全部基金投资于同一原始权益人的各类资产支持证券，不得超过其各类资产支持证券合计规模的10％；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lastRenderedPageBreak/>
        <w:t>12.本基金应投资于信用级别评级为BBB以上(含BBB)的资产支持证券。基金持有资产支持证券期间，如果其信用等级下降、不再符合投资标准，应在评级报告发布之日起3个月内予以全部卖出；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13.基金财产参与股票发行申购，本基金所申报的金额不超过本基金的总资产，本基金所申报的股票数量不超过拟发行股票公司本次发行股票的总量；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14.本基金进入全国银行间同业市场进行债券回购的资金余额不得超过基金资产净值的40％；本基金在全国银行间同业市场中的债券回购最长期限为1年，债券回购到期后不得展期；</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15.本基金参与股指期货交易和国债期货交易，应当遵循下列要求：</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封闭期内，本基金在任何交易日日终，持有的买入股指期货和国债期货合约价值与有价证券市值之和，不得超过基金资产净值的100%；开放期内，本基金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2）本基金在任何交易日日终，持有的买入股指期货合约价值，不得超过基金资产净值的10%；在任何交易日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3）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本基金在开始进行期货投资之前，应与基金托管人、期货公司三方一同就期货开户、清算、估值、交收等事宜另行签署《期货投资托管操作三方备忘录》</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16.开放期内，本基金总资产不得超过基金净资产的140%；封闭期内，本基金</w:t>
      </w:r>
      <w:r w:rsidRPr="001E1963">
        <w:rPr>
          <w:rFonts w:asciiTheme="minorEastAsia" w:eastAsiaTheme="minorEastAsia" w:hAnsiTheme="minorEastAsia" w:hint="eastAsia"/>
          <w:sz w:val="24"/>
        </w:rPr>
        <w:lastRenderedPageBreak/>
        <w:t>的基金总资产不得超过基金净资产的200%；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17.本基金参与融资的，每个交易日日终，本基金持有的融资买入股票与其他有价证券市值之和，不得超过基金资产净值的95%；</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18.因未平仓的期权合约支付和收取的权利金总额不得超过基金资产净值的10%；</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19.开仓卖出认购期权的，应持有足额标的证券；开仓卖出认沽期权的，应持有合约行权所需的全额现金或交易所规则认可的可冲抵期权保证金的现金等价物；</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i/>
          <w:sz w:val="24"/>
        </w:rPr>
      </w:pPr>
      <w:r w:rsidRPr="001E1963">
        <w:rPr>
          <w:rFonts w:asciiTheme="minorEastAsia" w:eastAsiaTheme="minorEastAsia" w:hAnsiTheme="minorEastAsia" w:hint="eastAsia"/>
          <w:sz w:val="24"/>
        </w:rPr>
        <w:t>20.未平仓的期权合约面值不得超过基金资产净值的20%。其中，合约面值按照行权价乘以合约乘数计算；</w:t>
      </w:r>
      <w:r w:rsidRPr="001E1963">
        <w:rPr>
          <w:rFonts w:asciiTheme="minorEastAsia" w:eastAsiaTheme="minorEastAsia" w:hAnsiTheme="minorEastAsia"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21．</w:t>
      </w:r>
      <w:r w:rsidR="008A0BF6" w:rsidRPr="001E1963">
        <w:rPr>
          <w:rFonts w:asciiTheme="minorEastAsia" w:eastAsiaTheme="minorEastAsia" w:hAnsiTheme="minorEastAsia" w:hint="eastAsia"/>
          <w:sz w:val="24"/>
        </w:rPr>
        <w:t>开放期内，本基金投资流动性受限资产的市值合计不得超过本基金基金资产净值的15%；因证券市场波动、上市公司停牌、基金规模变动等基金管理人之外的因素致使基金投资比例不符合上述投资比例限制的，基金管理人不得主动新增流动性受限资产的投资；</w:t>
      </w:r>
    </w:p>
    <w:p w:rsidR="008A0BF6"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22.</w:t>
      </w:r>
      <w:r w:rsidR="008A0BF6" w:rsidRPr="001E1963">
        <w:rPr>
          <w:rFonts w:asciiTheme="minorEastAsia" w:eastAsiaTheme="minorEastAsia" w:hAnsiTheme="minorEastAsia" w:hint="eastAsia"/>
          <w:sz w:val="24"/>
        </w:rPr>
        <w:t>本基金管理人管理且由本基金托管人托管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同一基金管理人管理的且由本基金托管人托管的全部投资组合持有一家上市公司发行的可流通股票，不得超过该上市公司可流通股票的30%；</w:t>
      </w:r>
    </w:p>
    <w:p w:rsidR="008C07EE" w:rsidRPr="001E1963" w:rsidRDefault="008A0BF6"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23.</w:t>
      </w:r>
      <w:r w:rsidR="008C07EE" w:rsidRPr="001E1963">
        <w:rPr>
          <w:rFonts w:asciiTheme="minorEastAsia" w:eastAsiaTheme="minorEastAsia" w:hAnsiTheme="minorEastAsia" w:hint="eastAsia"/>
          <w:sz w:val="24"/>
        </w:rPr>
        <w:t>本基金持有单只中小企业私募债券，其市值不得超过本基金资产净值的10%，且其剩余期限不得超过本基金的剩余封闭运作期；</w:t>
      </w:r>
    </w:p>
    <w:p w:rsidR="008C07EE" w:rsidRPr="001E1963" w:rsidRDefault="008A0BF6"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24</w:t>
      </w:r>
      <w:r w:rsidR="008C07EE" w:rsidRPr="001E1963">
        <w:rPr>
          <w:rFonts w:asciiTheme="minorEastAsia" w:eastAsiaTheme="minorEastAsia" w:hAnsiTheme="minorEastAsia" w:hint="eastAsia"/>
          <w:sz w:val="24"/>
        </w:rPr>
        <w:t>.法律法规及中国证监会规定的和《基金合同》约定的其他投资限制。</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除上述第</w:t>
      </w:r>
      <w:r w:rsidR="008A0BF6" w:rsidRPr="001E1963">
        <w:rPr>
          <w:rFonts w:asciiTheme="minorEastAsia" w:eastAsiaTheme="minorEastAsia" w:hAnsiTheme="minorEastAsia" w:hint="eastAsia"/>
          <w:sz w:val="24"/>
        </w:rPr>
        <w:t>2、</w:t>
      </w:r>
      <w:r w:rsidRPr="001E1963">
        <w:rPr>
          <w:rFonts w:asciiTheme="minorEastAsia" w:eastAsiaTheme="minorEastAsia" w:hAnsiTheme="minorEastAsia" w:hint="eastAsia"/>
          <w:sz w:val="24"/>
        </w:rPr>
        <w:t>12</w:t>
      </w:r>
      <w:r w:rsidR="008A0BF6" w:rsidRPr="001E1963">
        <w:rPr>
          <w:rFonts w:asciiTheme="minorEastAsia" w:eastAsiaTheme="minorEastAsia" w:hAnsiTheme="minorEastAsia" w:hint="eastAsia"/>
          <w:sz w:val="24"/>
        </w:rPr>
        <w:t>、21</w:t>
      </w:r>
      <w:r w:rsidRPr="001E1963">
        <w:rPr>
          <w:rFonts w:asciiTheme="minorEastAsia" w:eastAsiaTheme="minorEastAsia" w:hAnsiTheme="minorEastAsia" w:hint="eastAsia"/>
          <w:sz w:val="24"/>
        </w:rPr>
        <w:t>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基金管理人应当自基金合同生效之日起</w:t>
      </w:r>
      <w:r w:rsidRPr="001E1963">
        <w:rPr>
          <w:rFonts w:asciiTheme="minorEastAsia" w:eastAsiaTheme="minorEastAsia" w:hAnsiTheme="minorEastAsia"/>
          <w:sz w:val="24"/>
        </w:rPr>
        <w:t>6</w:t>
      </w:r>
      <w:r w:rsidRPr="001E1963">
        <w:rPr>
          <w:rFonts w:asciiTheme="minorEastAsia" w:eastAsiaTheme="minorEastAsia" w:hAnsiTheme="minorEastAsia" w:hint="eastAsia"/>
          <w:sz w:val="24"/>
        </w:rPr>
        <w:t>个月内使基金的投资组合比例符合</w:t>
      </w:r>
      <w:r w:rsidRPr="001E1963">
        <w:rPr>
          <w:rFonts w:asciiTheme="minorEastAsia" w:eastAsiaTheme="minorEastAsia" w:hAnsiTheme="minorEastAsia" w:hint="eastAsia"/>
          <w:sz w:val="24"/>
        </w:rPr>
        <w:lastRenderedPageBreak/>
        <w:t>基金合同的有关约定。在上述期间内，本基金的投资范围、投资策略应当符合基金合同的约定。基金托管人对基金的投资的监督与检查自基金合同生效之日起开始。</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法律法规或监管部门取消或变更上述限制，如适用于本基金，基金管理人在履行适当程序后，则本基金投资不再受相关限制或按变更后的规定执行。</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（三）基金托管人</w:t>
      </w:r>
      <w:bookmarkStart w:id="4" w:name="OLE_LINK1"/>
      <w:r w:rsidRPr="001E1963">
        <w:rPr>
          <w:rFonts w:asciiTheme="minorEastAsia" w:eastAsiaTheme="minorEastAsia" w:hAnsiTheme="minorEastAsia" w:cs="Arial" w:hint="eastAsia"/>
          <w:sz w:val="24"/>
        </w:rPr>
        <w:t>根据有关法律法规的规定及《基金合同》的约定，</w:t>
      </w:r>
      <w:bookmarkEnd w:id="4"/>
      <w:r w:rsidRPr="001E1963">
        <w:rPr>
          <w:rFonts w:asciiTheme="minorEastAsia" w:eastAsiaTheme="minorEastAsia" w:hAnsiTheme="minorEastAsia" w:cs="Arial" w:hint="eastAsia"/>
          <w:sz w:val="24"/>
        </w:rPr>
        <w:t>对本托管协议第十五条第九款基金投资禁止行为通过事后监督方式进行监督。</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rPr>
      </w:pPr>
      <w:r w:rsidRPr="001E1963">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rPr>
      </w:pPr>
      <w:r w:rsidRPr="001E1963">
        <w:rPr>
          <w:rFonts w:asciiTheme="minorEastAsia" w:eastAsiaTheme="minorEastAsia" w:hAnsiTheme="minorEastAsia" w:cs="Arial" w:hint="eastAsia"/>
          <w:color w:val="000000"/>
          <w:sz w:val="24"/>
        </w:rPr>
        <w:t>基金管理人负责对交易对手的资信控制，按银行间债券市场的交易规则进行交易，并</w:t>
      </w:r>
      <w:r w:rsidRPr="001E1963">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E1963">
        <w:rPr>
          <w:rFonts w:asciiTheme="minorEastAsia" w:eastAsiaTheme="minorEastAsia" w:hAnsiTheme="minorEastAsia" w:cs="Arial" w:hint="eastAsia"/>
          <w:color w:val="000000"/>
          <w:sz w:val="24"/>
        </w:rPr>
        <w:t>基金托管人则根据银行间</w:t>
      </w:r>
      <w:r w:rsidRPr="001E1963">
        <w:rPr>
          <w:rFonts w:asciiTheme="minorEastAsia" w:eastAsiaTheme="minorEastAsia" w:hAnsiTheme="minorEastAsia" w:cs="Arial" w:hint="eastAsia"/>
          <w:color w:val="000000"/>
          <w:sz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（五）基金托管人根据有关法律法规的规定及《基金合同》的约定，对基金管理人投资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cs="Arial" w:hint="eastAsia"/>
          <w:sz w:val="24"/>
        </w:rPr>
        <w:t>进行监督。</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hint="eastAsia"/>
          <w:sz w:val="24"/>
        </w:rPr>
        <w:t>基金管理人投资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，应事先根据中国证监会相关规定，明确基金投资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的比例，</w:t>
      </w:r>
      <w:r w:rsidRPr="001E1963">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8C07EE" w:rsidRPr="001E1963" w:rsidRDefault="008A0BF6"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cs="Arial" w:hint="eastAsia"/>
          <w:sz w:val="24"/>
        </w:rPr>
        <w:t>1.本基金投资的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cs="Arial" w:hint="eastAsia"/>
          <w:sz w:val="24"/>
        </w:rPr>
        <w:t>本基金</w:t>
      </w:r>
      <w:r w:rsidRPr="001E1963">
        <w:rPr>
          <w:rFonts w:asciiTheme="minorEastAsia" w:eastAsiaTheme="minorEastAsia" w:hAnsiTheme="minorEastAsia" w:hint="eastAsia"/>
          <w:sz w:val="24"/>
        </w:rPr>
        <w:t>投资的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应保证登记存管在本基金名下，基金管理人负责相关工作的落实和协调，并确保基金托管人能够正常查询。因基金管理人原因产生的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登记存管问题，造成基金托管人无法安全保管本基金资产的责任与损失，及因</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存管直接影响本基金安全的责任及损失，由基金管理人承担。</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cs="Arial" w:hint="eastAsia"/>
          <w:sz w:val="24"/>
        </w:rPr>
        <w:t>本基金</w:t>
      </w:r>
      <w:r w:rsidRPr="001E1963">
        <w:rPr>
          <w:rFonts w:asciiTheme="minorEastAsia" w:eastAsiaTheme="minorEastAsia" w:hAnsiTheme="minorEastAsia" w:hint="eastAsia"/>
          <w:sz w:val="24"/>
        </w:rPr>
        <w:t>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，不得预付任何形式的保证金。</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cs="Arial" w:hint="eastAsia"/>
          <w:sz w:val="24"/>
        </w:rPr>
        <w:t>2.</w:t>
      </w:r>
      <w:r w:rsidRPr="001E1963">
        <w:rPr>
          <w:rFonts w:asciiTheme="minorEastAsia" w:eastAsiaTheme="minorEastAsia" w:hAnsiTheme="minorEastAsia" w:hint="eastAsia"/>
          <w:sz w:val="24"/>
        </w:rPr>
        <w:t>基金管理人投资非公开发行股票，应制订流动性风险处置预案并经其董事会批准。风险处置预案应包括但不限于因投资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需要解决的基金投资比例限制失调、基金流动性困难以及相关损失的应对解决措施，以及有关异常情况的处置。</w:t>
      </w:r>
      <w:r w:rsidRPr="001E1963">
        <w:rPr>
          <w:rFonts w:asciiTheme="minorEastAsia" w:eastAsiaTheme="minorEastAsia" w:hAnsiTheme="minorEastAsia" w:cs="Arial" w:hint="eastAsia"/>
          <w:sz w:val="24"/>
        </w:rPr>
        <w:t>基金管理人应在首次投资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cs="Arial" w:hint="eastAsia"/>
          <w:sz w:val="24"/>
        </w:rPr>
        <w:t>前向基金托管人提供</w:t>
      </w:r>
      <w:r w:rsidRPr="001E1963">
        <w:rPr>
          <w:rFonts w:asciiTheme="minorEastAsia" w:eastAsiaTheme="minorEastAsia" w:hAnsiTheme="minorEastAsia" w:hint="eastAsia"/>
          <w:sz w:val="24"/>
        </w:rPr>
        <w:t>基金投资非公开发行股票相关流动性风险处置预案。</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基金管理人对本基金投资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的流动性风险负责，确保对相关风险采取积极有效的措施，在合理的时间内有效解决基金运作的流动性问题。如因基金巨额赎回或市场发生剧烈变动等原因而导致基金现金周转困难时，基金管理</w:t>
      </w:r>
      <w:r w:rsidRPr="001E1963">
        <w:rPr>
          <w:rFonts w:asciiTheme="minorEastAsia" w:eastAsiaTheme="minorEastAsia" w:hAnsiTheme="minorEastAsia" w:hint="eastAsia"/>
          <w:sz w:val="24"/>
        </w:rPr>
        <w:lastRenderedPageBreak/>
        <w:t>人应保证提供足额现金确保基金的支付结算，并承担所有损失。对本基金因投资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导致的流动性风险，基金托管人不承担任何责任。如因基金管理人原因导致本基金出现损失致使基金托管人承担连带赔偿责任的，基金管理人应赔偿基金托管人由此遭受的损失。</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cs="Arial" w:hint="eastAsia"/>
          <w:sz w:val="24"/>
        </w:rPr>
        <w:t>3.</w:t>
      </w:r>
      <w:r w:rsidRPr="001E1963">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（1）中国证监会批准发行非公开发行股票的批准文件。</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（2）非公开发行股票有关发行数量、发行价格、锁定期等发行资料。</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hint="eastAsia"/>
          <w:sz w:val="24"/>
        </w:rPr>
        <w:t>（4）基金拟认购的数量、价格、总成本、账面价值。</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cs="Arial" w:hint="eastAsia"/>
          <w:sz w:val="24"/>
        </w:rPr>
        <w:t>4.</w:t>
      </w:r>
      <w:r w:rsidRPr="001E1963">
        <w:rPr>
          <w:rFonts w:asciiTheme="minorEastAsia" w:eastAsiaTheme="minorEastAsia" w:hAnsiTheme="minorEastAsia"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本基金有关投资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比例如违反有关限制规定，在合理期限内未能进行及时调整，基金管理人应在两个工作日内编制临时报告书，予以公告。</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cs="Arial" w:hint="eastAsia"/>
          <w:sz w:val="24"/>
        </w:rPr>
        <w:t>5.</w:t>
      </w:r>
      <w:r w:rsidRPr="001E1963">
        <w:rPr>
          <w:rFonts w:asciiTheme="minorEastAsia" w:eastAsiaTheme="minorEastAsia" w:hAnsiTheme="minorEastAsia" w:hint="eastAsia"/>
          <w:sz w:val="24"/>
        </w:rPr>
        <w:t>基金托管人根据有关规定有权对基金管理人进行以下事项监督：</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（1）本基金投资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时的法律法规遵守情况。</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（2）在基金投资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管理工作方面有关制度、流动性风险处置预案的建立与完善情况。</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（3）有关比例限制的执行情况。</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（4）信息披露情况。</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cs="Arial" w:hint="eastAsia"/>
          <w:sz w:val="24"/>
        </w:rPr>
        <w:t>6.</w:t>
      </w:r>
      <w:r w:rsidRPr="001E1963">
        <w:rPr>
          <w:rFonts w:asciiTheme="minorEastAsia" w:eastAsiaTheme="minorEastAsia" w:hAnsiTheme="minorEastAsia" w:hint="eastAsia"/>
          <w:sz w:val="24"/>
        </w:rPr>
        <w:t>相关法律法规对基金投资</w:t>
      </w:r>
      <w:r w:rsidR="008A0BF6" w:rsidRPr="001E1963">
        <w:rPr>
          <w:rFonts w:asciiTheme="minorEastAsia" w:eastAsiaTheme="minorEastAsia" w:hAnsiTheme="minorEastAsia" w:cs="Arial" w:hint="eastAsia"/>
          <w:sz w:val="24"/>
        </w:rPr>
        <w:t>流动性受限资产</w:t>
      </w:r>
      <w:r w:rsidRPr="001E1963">
        <w:rPr>
          <w:rFonts w:asciiTheme="minorEastAsia" w:eastAsiaTheme="minorEastAsia" w:hAnsiTheme="minorEastAsia" w:hint="eastAsia"/>
          <w:sz w:val="24"/>
        </w:rPr>
        <w:t>有新规定的，从其规定。</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基金托管人对基金投资中小企业私募债券是否符合比例限制进行事后监督，如发现异常情况，应及时以书面形式通知基金管理人。基金管理人应积极配合和</w:t>
      </w:r>
      <w:r w:rsidRPr="001E1963">
        <w:rPr>
          <w:rFonts w:asciiTheme="minorEastAsia" w:eastAsiaTheme="minorEastAsia" w:hAnsiTheme="minorEastAsia" w:cs="Arial" w:hint="eastAsia"/>
          <w:sz w:val="24"/>
        </w:rPr>
        <w:lastRenderedPageBreak/>
        <w:t>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C07EE" w:rsidRPr="001E1963" w:rsidRDefault="008C07EE" w:rsidP="001E1963">
      <w:pPr>
        <w:spacing w:line="360" w:lineRule="auto"/>
        <w:rPr>
          <w:rFonts w:asciiTheme="minorEastAsia" w:eastAsiaTheme="minorEastAsia" w:hAnsiTheme="minorEastAsia"/>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99217424"/>
      <w:r w:rsidRPr="001E1963">
        <w:rPr>
          <w:rFonts w:asciiTheme="minorEastAsia" w:eastAsiaTheme="minorEastAsia" w:hAnsiTheme="minorEastAsia"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证券账户等投资所需的账户、复核基金管理人计算的基金资产净值和基金份额净值、根据基金管理人指令办理清算交收、相关信息披露和监督基金投资运作等行为。</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C07EE" w:rsidRPr="001E1963" w:rsidRDefault="008C07EE" w:rsidP="001E1963">
      <w:pPr>
        <w:adjustRightInd w:val="0"/>
        <w:snapToGrid w:val="0"/>
        <w:spacing w:line="360" w:lineRule="auto"/>
        <w:rPr>
          <w:rFonts w:asciiTheme="minorEastAsia" w:eastAsiaTheme="minorEastAsia" w:hAnsiTheme="minorEastAsia"/>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99217425"/>
      <w:r w:rsidRPr="001E1963">
        <w:rPr>
          <w:rFonts w:asciiTheme="minorEastAsia" w:eastAsiaTheme="minorEastAsia" w:hAnsiTheme="minorEastAsia"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（一）基金财产保管的原则</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1.基金财产应独立于基金管理人、基金托管人的固有财产。</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2.基金托管人应安全保管基金财产。</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3.基金托管人按照规定开设基金财产的资金账户、证券账户等投资所需的账户。</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4.基金托管人对所托管的不同基金财产分别设置账户，确保基金财产的完整</w:t>
      </w:r>
      <w:r w:rsidRPr="001E1963">
        <w:rPr>
          <w:rFonts w:asciiTheme="minorEastAsia" w:eastAsiaTheme="minorEastAsia" w:hAnsiTheme="minorEastAsia" w:cs="Arial" w:hint="eastAsia"/>
          <w:sz w:val="24"/>
        </w:rPr>
        <w:lastRenderedPageBreak/>
        <w:t>与独立。</w:t>
      </w:r>
    </w:p>
    <w:p w:rsidR="008C07EE" w:rsidRPr="001E1963" w:rsidRDefault="008C07EE" w:rsidP="001E1963">
      <w:pPr>
        <w:adjustRightInd w:val="0"/>
        <w:snapToGrid w:val="0"/>
        <w:spacing w:line="360" w:lineRule="auto"/>
        <w:ind w:firstLine="480"/>
        <w:rPr>
          <w:rFonts w:asciiTheme="minorEastAsia" w:eastAsiaTheme="minorEastAsia" w:hAnsiTheme="minorEastAsia"/>
          <w:sz w:val="24"/>
        </w:rPr>
      </w:pPr>
      <w:r w:rsidRPr="001E1963">
        <w:rPr>
          <w:rFonts w:asciiTheme="minorEastAsia" w:eastAsiaTheme="minorEastAsia" w:hAnsiTheme="minorEastAsia" w:cs="Arial" w:hint="eastAsia"/>
          <w:sz w:val="24"/>
        </w:rPr>
        <w:t>5.基金托管人按照《基金合同》和本协议的约定保管基金财产，如有特殊情况双方可另行协商解决。基金</w:t>
      </w:r>
      <w:r w:rsidRPr="001E1963">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7.除依据法律法规和《基金合同》的规定外，基金托管人不得委托第三人托管基金财产。</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（二）基金募集期间及募集资金的验资</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3.若基金募集期限届满，未能达到《基金合同》生效的条件，由基金管理人按规定办理退款等事宜。</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（三）基金银行账户的开立和管理</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1.基金托管人应以本基金的名义在其营业机构开立基金的银行账户，并根据基金管理人合法合规的指令办理资金收付。本基金的银行预留印鉴由基金托管人保管和使用。</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3.基金银行账户的开立和管理应符合银行业监督管理机构的有关规定。</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4.在符合法律法规规定的条件下，基金托管人可以通过基金托管人专用账户办理基金资产的支付。</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（四）基金证券账户和结算备付金账户的开立和管理</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1.基金托管人在中国证券登记结算有限责任公司为基金开立基金托管人与基金联名的证券账户。</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3.基金证券账户的开立和证券账户卡的保管由基金托管人负责，账户资产的管理和运用由基金管理人负责。</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证券账户开户费由基金管理人先行垫付,待托管产品启始运营后，基金管理人可向基金托管人发送划款指令,将代垫开户费从本基金托管资金账户中扣还基金管理人。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A0BF6"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5.</w:t>
      </w:r>
      <w:r w:rsidR="008A0BF6" w:rsidRPr="001E1963">
        <w:rPr>
          <w:rFonts w:asciiTheme="minorEastAsia" w:eastAsiaTheme="minorEastAsia" w:hAnsiTheme="minorEastAsia"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8C07EE" w:rsidRPr="001E1963" w:rsidRDefault="008A0BF6"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6.</w:t>
      </w:r>
      <w:r w:rsidR="008C07EE" w:rsidRPr="001E1963">
        <w:rPr>
          <w:rFonts w:asciiTheme="minorEastAsia" w:eastAsia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（五）债券托管专户的开设和管理</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w:t>
      </w:r>
      <w:r w:rsidRPr="001E1963">
        <w:rPr>
          <w:rFonts w:asciiTheme="minorEastAsia" w:eastAsiaTheme="minorEastAsia" w:hAnsiTheme="minorEastAsia" w:cs="Arial" w:hint="eastAsia"/>
          <w:sz w:val="24"/>
        </w:rPr>
        <w:lastRenderedPageBreak/>
        <w:t>行间市场债券的结算。基金管理人和基金托管人共同代表基金签订全国银行间债券市场债券回购主协议。</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（六）其他账户的开立和管理</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2.法律法规等有关规定对相关账户的开立和管理另有规定的，从其规定办理。</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（七）基金财产投资的有关有价凭证等的保管</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rPr>
      </w:pPr>
      <w:r w:rsidRPr="001E1963">
        <w:rPr>
          <w:rFonts w:asciiTheme="minorEastAsia" w:eastAsiaTheme="minorEastAsia" w:hAnsiTheme="minorEastAsia" w:cs="Arial" w:hint="eastAsia"/>
          <w:sz w:val="24"/>
        </w:rPr>
        <w:t>基金财产投资的有关实物证券、银行</w:t>
      </w:r>
      <w:r w:rsidRPr="001E1963">
        <w:rPr>
          <w:rFonts w:asciiTheme="minorEastAsia" w:eastAsiaTheme="minorEastAsia" w:hAnsiTheme="minorEastAsia" w:hint="eastAsia"/>
          <w:sz w:val="24"/>
        </w:rPr>
        <w:t>存款开户证实书</w:t>
      </w:r>
      <w:r w:rsidRPr="001E1963">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（八）与基金财产有关的重大合同的保管</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30"/>
          <w:szCs w:val="30"/>
        </w:rPr>
      </w:pPr>
      <w:r w:rsidRPr="001E1963">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C07EE" w:rsidRPr="001E1963" w:rsidRDefault="008C07EE" w:rsidP="001E1963">
      <w:pPr>
        <w:spacing w:line="360" w:lineRule="auto"/>
        <w:rPr>
          <w:rFonts w:asciiTheme="minorEastAsia" w:eastAsiaTheme="minorEastAsia" w:hAnsiTheme="minorEastAsia"/>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99217426"/>
      <w:r w:rsidRPr="001E1963">
        <w:rPr>
          <w:rFonts w:asciiTheme="minorEastAsia" w:eastAsiaTheme="minorEastAsia" w:hAnsiTheme="minorEastAsia"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（一）基金管理人对发送指令人员的书面授权</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1.基金管理人应指定专人向基金托管人发送指令。</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（二）指令的内容</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1.指令包括付款指令以及其他资金划拨指令等。</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（三）指令的发送、确认及执行的时间和程序</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1.指令的发送</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基金管理人发送指令应采用加密传真方式或双方协商一致的其他方式。</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指令发出后，基金管理人应及时以电话方式向基金托管人确认。</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2.指令的确认</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基金托管人应指定专人接收基金管理人的指令，预先通知基金管理人其名单，</w:t>
      </w:r>
      <w:r w:rsidRPr="001E1963">
        <w:rPr>
          <w:rFonts w:asciiTheme="minorEastAsia" w:eastAsiaTheme="minorEastAsia" w:hAnsiTheme="minorEastAsia" w:cs="Arial" w:hint="eastAsia"/>
          <w:sz w:val="24"/>
        </w:rPr>
        <w:lastRenderedPageBreak/>
        <w:t>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3.指令的时间和执行</w:t>
      </w:r>
    </w:p>
    <w:p w:rsidR="008C07EE" w:rsidRPr="001E1963" w:rsidRDefault="008C07EE" w:rsidP="001E1963">
      <w:pPr>
        <w:pStyle w:val="ab"/>
        <w:spacing w:line="360" w:lineRule="auto"/>
        <w:ind w:firstLineChars="0"/>
        <w:rPr>
          <w:rFonts w:asciiTheme="minorEastAsia" w:eastAsiaTheme="minorEastAsia" w:hAnsiTheme="minorEastAsia" w:cs="Arial"/>
          <w:szCs w:val="24"/>
          <w:shd w:val="pct15" w:color="auto" w:fill="FFFFFF"/>
        </w:rPr>
      </w:pPr>
      <w:r w:rsidRPr="001E1963">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1E1963">
        <w:rPr>
          <w:rFonts w:asciiTheme="minorEastAsia" w:eastAsiaTheme="minorEastAsia" w:hAnsiTheme="minorEastAsia" w:cs="Arial" w:hint="eastAsia"/>
          <w:szCs w:val="24"/>
        </w:rPr>
        <w:t>对于中国证券登记结算有限责任公司实行T+0非担保交收的业务，基金管理人应在交易日14：00</w:t>
      </w:r>
      <w:r w:rsidRPr="001E1963">
        <w:rPr>
          <w:rFonts w:asciiTheme="minorEastAsia" w:eastAsiaTheme="minorEastAsia" w:hAnsiTheme="minorEastAsia" w:cs="Arial" w:hint="eastAsia"/>
        </w:rPr>
        <w:t>前</w:t>
      </w:r>
      <w:r w:rsidRPr="001E1963">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1E1963">
        <w:rPr>
          <w:rFonts w:asciiTheme="minorEastAsia" w:eastAsiaTheme="minorEastAsia" w:hAnsiTheme="minorEastAsia" w:cs="Arial" w:hint="eastAsia"/>
        </w:rPr>
        <w:t>结算参与人</w:t>
      </w:r>
      <w:r w:rsidRPr="001E1963">
        <w:rPr>
          <w:rFonts w:asciiTheme="minorEastAsia" w:eastAsiaTheme="minorEastAsia" w:hAnsiTheme="minorEastAsia" w:cs="Arial" w:hint="eastAsia"/>
          <w:szCs w:val="24"/>
        </w:rPr>
        <w:t>最低备付金带来的利息损失</w:t>
      </w:r>
      <w:r w:rsidRPr="001E1963">
        <w:rPr>
          <w:rFonts w:asciiTheme="minorEastAsia" w:eastAsiaTheme="minorEastAsia" w:hAnsiTheme="minorEastAsia" w:cs="Arial" w:hint="eastAsia"/>
        </w:rPr>
        <w:t>。</w:t>
      </w:r>
      <w:r w:rsidRPr="001E1963">
        <w:rPr>
          <w:rFonts w:asciiTheme="minorEastAsia" w:eastAsiaTheme="minorEastAsia" w:hAnsiTheme="minorEastAsia" w:cs="Arial" w:hint="eastAsia"/>
          <w:szCs w:val="24"/>
        </w:rPr>
        <w:t>基金管理人应确保基金托管人在执行指令时，基金资金账户有足够的资金余额，</w:t>
      </w:r>
      <w:r w:rsidRPr="001E1963">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8C07EE" w:rsidRPr="001E1963" w:rsidRDefault="008C07EE" w:rsidP="001E1963">
      <w:pPr>
        <w:pStyle w:val="ab"/>
        <w:spacing w:line="360" w:lineRule="auto"/>
        <w:ind w:firstLineChars="0"/>
        <w:rPr>
          <w:rFonts w:asciiTheme="minorEastAsia" w:eastAsiaTheme="minorEastAsia" w:hAnsiTheme="minorEastAsia" w:cs="Arial"/>
        </w:rPr>
      </w:pPr>
      <w:r w:rsidRPr="001E1963">
        <w:rPr>
          <w:rFonts w:asciiTheme="minorEastAsia" w:eastAsiaTheme="minorEastAsia" w:hAnsiTheme="minorEastAsia" w:cs="Arial" w:hint="eastAsia"/>
        </w:rPr>
        <w:t>（四）基金管理人发送错误指令的情形和处理程序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（五）基金托管人依照法律法规暂缓、拒绝执行指令的情形和处理程序</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若基金托管人发现基金管理人的指令违反法律法规，或者违反《基金合同》约定的，应当拒绝执行，立即通知基金管理人。</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（六）基金托管人未按照基金管理人指令执行的处理方法</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基金托管人由于自身原因，未按照基金管理人发送的指令执行并对基金财产或投资人造成的直接损失，由基金托管人</w:t>
      </w:r>
      <w:r w:rsidRPr="001E1963">
        <w:rPr>
          <w:rFonts w:asciiTheme="minorEastAsia" w:eastAsiaTheme="minorEastAsia" w:hAnsiTheme="minorEastAsia" w:hint="eastAsia"/>
          <w:sz w:val="24"/>
        </w:rPr>
        <w:t>赔偿由此造成的直接损失。</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（七）更换被授权人的程序</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1E1963">
        <w:rPr>
          <w:rFonts w:asciiTheme="minorEastAsia" w:eastAsiaTheme="minorEastAsia" w:hAnsiTheme="minorEastAsia" w:hint="eastAsia"/>
          <w:sz w:val="24"/>
        </w:rPr>
        <w:t>。</w:t>
      </w:r>
      <w:r w:rsidRPr="001E1963">
        <w:rPr>
          <w:rFonts w:asciiTheme="minorEastAsia" w:eastAsiaTheme="minorEastAsia" w:hAnsiTheme="minorEastAsia" w:cs="Arial" w:hint="eastAsia"/>
          <w:sz w:val="24"/>
        </w:rPr>
        <w:t>基金托管人更换接受基金管理人指令的人员，应提前通过录音电话通知基金管理人。</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（八）其他事项</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C07EE" w:rsidRPr="001E1963" w:rsidRDefault="008C07EE" w:rsidP="001E1963">
      <w:pPr>
        <w:adjustRightInd w:val="0"/>
        <w:snapToGrid w:val="0"/>
        <w:spacing w:line="360" w:lineRule="auto"/>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99217427"/>
      <w:r w:rsidRPr="001E1963">
        <w:rPr>
          <w:rFonts w:asciiTheme="minorEastAsia" w:eastAsiaTheme="minorEastAsia" w:hAnsiTheme="minorEastAsia"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（一）选择证券/期货买卖的证券/期货经营机构</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（二）基金投资证券后的清算交收安排</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1.清算与交割</w:t>
      </w:r>
    </w:p>
    <w:p w:rsidR="008C07EE" w:rsidRPr="001E1963" w:rsidRDefault="008C07EE" w:rsidP="001E1963">
      <w:pPr>
        <w:adjustRightInd w:val="0"/>
        <w:snapToGrid w:val="0"/>
        <w:spacing w:line="360" w:lineRule="auto"/>
        <w:ind w:firstLine="480"/>
        <w:rPr>
          <w:rFonts w:asciiTheme="minorEastAsia" w:eastAsiaTheme="minorEastAsia" w:hAnsiTheme="minorEastAsia"/>
          <w:sz w:val="24"/>
        </w:rPr>
      </w:pPr>
      <w:r w:rsidRPr="001E1963">
        <w:rPr>
          <w:rFonts w:asciiTheme="minorEastAsia" w:eastAsiaTheme="minorEastAsia" w:hAnsiTheme="minorEastAsia" w:hint="eastAsia"/>
          <w:sz w:val="24"/>
        </w:rPr>
        <w:t>基金管理人与基金托管人应根据有关法律法规及相关业务规则，签订《托管</w:t>
      </w:r>
    </w:p>
    <w:p w:rsidR="008C07EE" w:rsidRPr="001E1963" w:rsidRDefault="008C07EE" w:rsidP="001E1963">
      <w:pPr>
        <w:adjustRightInd w:val="0"/>
        <w:snapToGrid w:val="0"/>
        <w:spacing w:line="360" w:lineRule="auto"/>
        <w:rPr>
          <w:rFonts w:asciiTheme="minorEastAsia" w:eastAsiaTheme="minorEastAsia" w:hAnsiTheme="minorEastAsia"/>
          <w:sz w:val="24"/>
        </w:rPr>
      </w:pPr>
      <w:r w:rsidRPr="001E1963">
        <w:rPr>
          <w:rFonts w:asciiTheme="minorEastAsia" w:eastAsiaTheme="minorEastAsia" w:hAnsiTheme="minorEastAsia" w:hint="eastAsia"/>
          <w:sz w:val="24"/>
        </w:rPr>
        <w:t>银行证券资金结算协议》，如投资港股通，还需签订《证券投资基金港股通结算补充协议》，用以具体明确基金管理人与基金托管人在证券交易资金结算业务中的责任。</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8C07EE" w:rsidRPr="001E1963" w:rsidRDefault="008C07EE" w:rsidP="001E1963">
      <w:pPr>
        <w:adjustRightInd w:val="0"/>
        <w:snapToGrid w:val="0"/>
        <w:spacing w:line="360" w:lineRule="auto"/>
        <w:ind w:firstLine="480"/>
        <w:rPr>
          <w:rFonts w:asciiTheme="minorEastAsia" w:eastAsiaTheme="minorEastAsia" w:hAnsiTheme="minorEastAsia" w:cs="宋体"/>
          <w:color w:val="000000"/>
          <w:kern w:val="0"/>
          <w:sz w:val="24"/>
        </w:rPr>
      </w:pPr>
      <w:r w:rsidRPr="001E1963">
        <w:rPr>
          <w:rFonts w:asciiTheme="minorEastAsia" w:eastAsiaTheme="minorEastAsia" w:hAnsiTheme="minorEastAsia" w:cs="宋体" w:hint="eastAsia"/>
          <w:color w:val="000000"/>
          <w:kern w:val="0"/>
          <w:sz w:val="24"/>
        </w:rPr>
        <w:t>基金管理人应采取合理、必要措施，确保T日日终有足够的资金头寸完成 T+1日</w:t>
      </w:r>
      <w:r w:rsidRPr="001E1963">
        <w:rPr>
          <w:rFonts w:asciiTheme="minorEastAsia" w:eastAsiaTheme="minorEastAsia" w:hAnsiTheme="minorEastAsia" w:hint="eastAsia"/>
          <w:sz w:val="24"/>
        </w:rPr>
        <w:t>中国证券登记结算有限责任公司的资金</w:t>
      </w:r>
      <w:r w:rsidRPr="001E1963">
        <w:rPr>
          <w:rFonts w:asciiTheme="minorEastAsia" w:eastAsiaTheme="minorEastAsia" w:hAnsiTheme="minorEastAsia"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宋体" w:hint="eastAsia"/>
          <w:color w:val="000000"/>
          <w:kern w:val="0"/>
          <w:sz w:val="24"/>
        </w:rPr>
        <w:t>根据中国证券登记结算有限责任公司结算规定，基金管理人在进行融资回购</w:t>
      </w:r>
      <w:r w:rsidRPr="001E1963">
        <w:rPr>
          <w:rFonts w:asciiTheme="minorEastAsia" w:eastAsiaTheme="minorEastAsia" w:hAnsiTheme="minorEastAsia" w:cs="宋体" w:hint="eastAsia"/>
          <w:color w:val="000000"/>
          <w:kern w:val="0"/>
          <w:sz w:val="24"/>
        </w:rPr>
        <w:lastRenderedPageBreak/>
        <w:t>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实行场内T+0交收的资金清算按照基金托管人的相关规定流程执行。</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2.交易记录、资金和证券账目核对的时间和方式</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（1）交易记录的核对</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hint="eastAsia"/>
          <w:kern w:val="0"/>
          <w:sz w:val="24"/>
        </w:rPr>
        <w:t>基金管理人与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（2）资金账目的核对</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资金账目由基金管理人与基金托管人按日核实。</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（3）证券账目的核对</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基金管理人和基金托管人每交易日结束后核对基金交易所场内证券账目、期货账目，确保双方账目相符。基金管理人和基金托管人每月月末最后一个交易日核对非交易所场内的证券账目。</w:t>
      </w:r>
    </w:p>
    <w:p w:rsidR="008C07EE" w:rsidRPr="001E1963" w:rsidRDefault="008C07EE" w:rsidP="001E1963">
      <w:pPr>
        <w:adjustRightInd w:val="0"/>
        <w:snapToGrid w:val="0"/>
        <w:spacing w:line="360" w:lineRule="auto"/>
        <w:ind w:firstLine="480"/>
        <w:outlineLvl w:val="0"/>
        <w:rPr>
          <w:rFonts w:asciiTheme="minorEastAsia" w:eastAsiaTheme="minorEastAsia" w:hAnsiTheme="minorEastAsia" w:cs="Arial"/>
          <w:sz w:val="24"/>
        </w:rPr>
      </w:pPr>
      <w:bookmarkStart w:id="85" w:name="_GoBack"/>
      <w:bookmarkEnd w:id="85"/>
      <w:r w:rsidRPr="001E1963">
        <w:rPr>
          <w:rFonts w:asciiTheme="minorEastAsia" w:eastAsiaTheme="minorEastAsia" w:hAnsiTheme="minorEastAsia" w:cs="Arial" w:hint="eastAsia"/>
          <w:sz w:val="24"/>
        </w:rPr>
        <w:t>（三）基金申购和赎回业务处理的基本规定</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1.基金份额申购、赎回的确认、清算由基金管理人或其委托的登记机构负责。</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3.基金管理人应保证本基金（或本基金管理人委托）的登记机构每个工作日15:00前向基金托管人发送前一开放日上述有关数据，并保证相关数据的准确、完整。</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5.如基金管理人委托其他机构办理本基金的登记业务，应保证上述相关事宜按时进行。否则，由基金管理人承担相应的责任。</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6.关于清算专用账户的设立和管理</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为满足申购、赎回及分红资金汇划的需要，由基金管理人开立资金清算的专用账户，该账户由登记机构管理。</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8.赎回和分红资金划拨规定</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9.资金指令</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资金指令的格式、内容、发送、接收和确认方式等与投资指令相同。</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（四）申赎净额结算</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i/>
          <w:sz w:val="24"/>
        </w:rPr>
      </w:pPr>
      <w:r w:rsidRPr="001E1963">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T-2日申购申请对应申购金额与T-2日基金转换入申请对应金额之和)与应付资金(T-4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8C07EE" w:rsidRPr="001E1963" w:rsidRDefault="008C07EE" w:rsidP="001E1963">
      <w:pPr>
        <w:adjustRightInd w:val="0"/>
        <w:snapToGrid w:val="0"/>
        <w:spacing w:line="360" w:lineRule="auto"/>
        <w:ind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（五）基金转换</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rsidR="008C07EE" w:rsidRPr="001E1963" w:rsidRDefault="008C07EE" w:rsidP="001E1963">
      <w:pPr>
        <w:adjustRightInd w:val="0"/>
        <w:snapToGrid w:val="0"/>
        <w:spacing w:line="360" w:lineRule="auto"/>
        <w:ind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2.基金托管人将根据基金管理人传送的基金转换数据进行账务处理，具体资金清算和数据传递的时间、程序及托管协议当事人承担的权责按基金管理人届时的公告执行。</w:t>
      </w:r>
    </w:p>
    <w:p w:rsidR="008C07EE" w:rsidRPr="001E1963" w:rsidRDefault="008C07EE" w:rsidP="001E1963">
      <w:pPr>
        <w:adjustRightInd w:val="0"/>
        <w:snapToGrid w:val="0"/>
        <w:spacing w:line="360" w:lineRule="auto"/>
        <w:ind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3.本基金开展基金转换业务应按相关法律法规规定及《基金合同》的约定进行公告。</w:t>
      </w:r>
    </w:p>
    <w:p w:rsidR="008C07EE" w:rsidRPr="001E1963" w:rsidRDefault="008C07EE" w:rsidP="001E1963">
      <w:pPr>
        <w:adjustRightInd w:val="0"/>
        <w:snapToGrid w:val="0"/>
        <w:spacing w:line="360" w:lineRule="auto"/>
        <w:ind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（六）基金现金分红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1.基金管理人确定分红方案通知基金托管人，双方核定后</w:t>
      </w:r>
      <w:r w:rsidRPr="001E1963">
        <w:rPr>
          <w:rFonts w:asciiTheme="minorEastAsia" w:eastAsiaTheme="minorEastAsia" w:hAnsiTheme="minorEastAsia" w:hint="eastAsia"/>
          <w:sz w:val="24"/>
          <w:szCs w:val="18"/>
        </w:rPr>
        <w:t>依照《信息披露办法》的有关规定在中国证监会指定媒体上公告并</w:t>
      </w:r>
      <w:r w:rsidRPr="001E1963">
        <w:rPr>
          <w:rFonts w:asciiTheme="minorEastAsia" w:eastAsiaTheme="minorEastAsia" w:hAnsiTheme="minorEastAsia" w:hint="eastAsia"/>
          <w:sz w:val="24"/>
        </w:rPr>
        <w:t>报中国证监会备案</w:t>
      </w:r>
      <w:r w:rsidRPr="001E1963">
        <w:rPr>
          <w:rFonts w:asciiTheme="minorEastAsia" w:eastAsiaTheme="minorEastAsia" w:hAnsiTheme="minorEastAsia" w:cs="Arial" w:hint="eastAsia"/>
          <w:sz w:val="24"/>
        </w:rPr>
        <w:t>。</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8C07EE" w:rsidRPr="001E1963" w:rsidRDefault="008C07EE" w:rsidP="001E1963">
      <w:pPr>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3.基金管理人在下达指令时，应给基金托管人留出必需的划款时间。</w:t>
      </w:r>
    </w:p>
    <w:p w:rsidR="008C07EE" w:rsidRPr="001E1963" w:rsidRDefault="008C07EE" w:rsidP="001E1963">
      <w:pPr>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（七）投资银行存款的特别约定</w:t>
      </w:r>
    </w:p>
    <w:p w:rsidR="008C07EE" w:rsidRPr="001E1963" w:rsidRDefault="008C07EE" w:rsidP="001E1963">
      <w:pPr>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1.本基金投资银行存款前，基金管理人应与存款银行签订具体存款协议，包括但不限于以下内容：。</w:t>
      </w:r>
    </w:p>
    <w:p w:rsidR="008C07EE" w:rsidRPr="001E1963" w:rsidRDefault="008C07EE" w:rsidP="001E1963">
      <w:pPr>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rsidR="008C07EE" w:rsidRPr="001E1963" w:rsidRDefault="008C07EE" w:rsidP="001E1963">
      <w:pPr>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rsidR="008C07EE" w:rsidRPr="001E1963" w:rsidRDefault="008C07EE" w:rsidP="001E1963">
      <w:pPr>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（3）约定存款证实书的具体传递交接方式及交接期限。</w:t>
      </w:r>
    </w:p>
    <w:p w:rsidR="008C07EE" w:rsidRPr="001E1963" w:rsidRDefault="008C07EE" w:rsidP="001E1963">
      <w:pPr>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（4）资金划转过程中需要使用存款银行过渡账户的，存款银行须保证资金在过渡账户中不出现滞留，不被挪用。</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3.基金管理人投资银行存款或办理存款支取时，应提前书面通知基金托管人，以便基金托管人有足够的时间履行相应的业务操作程序。因发生逾期支取、提前</w:t>
      </w:r>
      <w:r w:rsidRPr="001E1963">
        <w:rPr>
          <w:rFonts w:asciiTheme="minorEastAsia" w:eastAsiaTheme="minorEastAsia" w:hAnsiTheme="minorEastAsia" w:cs="Arial" w:hint="eastAsia"/>
          <w:sz w:val="24"/>
        </w:rPr>
        <w:lastRenderedPageBreak/>
        <w:t>支取或部分提前支取，基金托管人不承担相应利息损失及逾期支取手续费。</w:t>
      </w:r>
    </w:p>
    <w:p w:rsidR="008C07EE" w:rsidRPr="001E1963" w:rsidRDefault="008C07EE" w:rsidP="001E1963">
      <w:pPr>
        <w:pStyle w:val="2"/>
        <w:spacing w:line="360" w:lineRule="auto"/>
        <w:jc w:val="center"/>
        <w:rPr>
          <w:rFonts w:asciiTheme="minorEastAsia" w:eastAsiaTheme="minorEastAsia" w:hAnsiTheme="minorEastAsia"/>
          <w:sz w:val="30"/>
        </w:rPr>
      </w:pPr>
      <w:r w:rsidRPr="001E1963">
        <w:rPr>
          <w:rFonts w:asciiTheme="minorEastAsia" w:eastAsiaTheme="minorEastAsia" w:hAnsiTheme="minorEastAsia" w:hint="eastAsia"/>
          <w:sz w:val="30"/>
        </w:rPr>
        <w:t xml:space="preserve"> </w:t>
      </w:r>
      <w:bookmarkStart w:id="86" w:name="_Toc499217428"/>
      <w:r w:rsidRPr="001E1963">
        <w:rPr>
          <w:rFonts w:asciiTheme="minorEastAsia" w:eastAsiaTheme="minorEastAsia" w:hAnsiTheme="minorEastAsia" w:hint="eastAsia"/>
          <w:sz w:val="30"/>
        </w:rPr>
        <w:t>八、基金资产净值计算和会计核算</w:t>
      </w:r>
      <w:bookmarkEnd w:id="86"/>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（一）基金资产净值的计算、复核与完成的时间及程序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资产净值是指基金资产总值减去负债后的金额。基金份额净值是按照每个估值日闭市后，基金资产净值除以当日发售在外的基金份额的余额数量计算，精确到0.0001元，小数点后第五位四舍五入。国家另有规定的，从其规定。</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基金管理人每个估值日计算基金资产净值及基金份额净值，并按规定公告。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rsidR="008C07EE" w:rsidRPr="001E1963" w:rsidRDefault="008C07EE" w:rsidP="001E1963">
      <w:pPr>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（二）基金资产估值方法和特殊情形的处理</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1.估值对象</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基金所拥有的股票、权证、债券、银行存款本息、应收款项、股指期货合约、国债期货合约、股票期权合约、其它投资等资产及负债。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2.估值方法</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本基金所持有的投资品种，按如下原则进行估值 ：</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（1）证券交易所上市的有价证券的估值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②交易所上市交易或挂牌转让的固定收益品种（基金合同另有规定的除外），选取估值日第三方估值机构提供的相应品种对应的估值净价估值。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③对在交易所市场上市交易的可转换债券，选取每日收盘价作为估值全价。</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④交易所上市不存在活跃市场的有价证券，采用估值技术确定公允价值。交</w:t>
      </w:r>
      <w:r w:rsidRPr="001E1963">
        <w:rPr>
          <w:rFonts w:asciiTheme="minorEastAsia" w:eastAsiaTheme="minorEastAsia" w:hAnsiTheme="minorEastAsia" w:cs="Arial" w:hint="eastAsia"/>
          <w:sz w:val="24"/>
        </w:rPr>
        <w:lastRenderedPageBreak/>
        <w:t>易所上市的资产支持证券，采用估值技术确定公允价值，在估值技术难以可靠计量公允价值的情况下，按成本估值。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（2）处于未上市期间的有价证券应区分如下情况处理：</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①送股、转增股、配股和公开增发的新股，按估值日在证券交易所挂牌的同一股票的估值方法估值；该日无交易的，以最近一日的市价（收盘价）估值；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②首次公开发行未上市的股票和权证，采用估值技术确定公允价值，在估值技术难以可靠计量公允价值的情况下，按成本估值；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（4）同一债券或股票同时在两个或两个以上市场交易的，按债券或股票所处的市场分别估值。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（5）中小企业私募债券采用估值技术确定公允价值，估值技术难以确定和计量其公允价值的，按成本估值。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（6）同业存单按估值日第三方估值机构提供的估值净价估值；选定的第三方估值机构未提供估值价格的，按成本估值。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（7）本基金投资股指期货合约，一般以股指期货当日结算价进行估值，估值当日无结算价的，且最近交易日后经济环境未发生重大变化的，采用最近交易日</w:t>
      </w:r>
      <w:r w:rsidRPr="001E1963">
        <w:rPr>
          <w:rFonts w:asciiTheme="minorEastAsia" w:eastAsiaTheme="minorEastAsia" w:hAnsiTheme="minorEastAsia" w:cs="Arial" w:hint="eastAsia"/>
          <w:sz w:val="24"/>
        </w:rPr>
        <w:lastRenderedPageBreak/>
        <w:t>结算价估值。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（8）本基金投资股票期权合约，一般以股票期权当日结算价进行估值，估值当日无结算价的，且最近交易日后经济环境未发生重大变化的，采用最近交易日结算价估值。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（9）本基金投资国债期货合约，一般以国债期货合约估值日的结算价估值。估值当日无结算价的，且最近交易日后经济环境未发生重大变化的，采用最近交易日结算价估值。</w:t>
      </w:r>
      <w:r w:rsidRPr="001E1963">
        <w:rPr>
          <w:rFonts w:asciiTheme="minorEastAsia" w:eastAsiaTheme="minorEastAsia" w:hAnsiTheme="minorEastAsia" w:cs="Arial"/>
          <w:sz w:val="24"/>
        </w:rPr>
        <w:t>如法律法规今后另有规定的，从其规定。</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10）估值计算中涉及港币或其他外币币种对人民币汇率的，将依据下列信息提供机构所提供的汇率为基准：当日中国人民银行或其授权机构公布的人民币汇率的中间价，或其他可以反映公允价值的汇率进行估值。</w:t>
      </w:r>
    </w:p>
    <w:p w:rsidR="008A0BF6"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（11）</w:t>
      </w:r>
      <w:r w:rsidR="008A0BF6" w:rsidRPr="001E1963">
        <w:rPr>
          <w:rFonts w:asciiTheme="minorEastAsia" w:eastAsiaTheme="minorEastAsia" w:hAnsiTheme="minorEastAsia" w:cs="Arial" w:hint="eastAsia"/>
          <w:sz w:val="24"/>
        </w:rPr>
        <w:t>当本基金发生大额申购或赎回情形时，基金管理人可以采用摆动定价机制，以确保基金估值的公平性。</w:t>
      </w:r>
    </w:p>
    <w:p w:rsidR="008C07EE" w:rsidRPr="001E1963" w:rsidRDefault="008A0BF6"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（12）</w:t>
      </w:r>
      <w:r w:rsidR="008C07EE" w:rsidRPr="001E1963">
        <w:rPr>
          <w:rFonts w:asciiTheme="minorEastAsia" w:eastAsiaTheme="minorEastAsia" w:hAnsiTheme="minorEastAsia" w:cs="Arial" w:hint="eastAsia"/>
          <w:sz w:val="24"/>
        </w:rPr>
        <w:t>如有确凿证据表明按上述方法进行估值不能客观反映其公允价值的，基金管理人可根据具体情况与基金托管人商定后，按最能反映公允价值的价格估值。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w:t>
      </w:r>
      <w:r w:rsidR="008A0BF6" w:rsidRPr="001E1963">
        <w:rPr>
          <w:rFonts w:asciiTheme="minorEastAsia" w:eastAsiaTheme="minorEastAsia" w:hAnsiTheme="minorEastAsia" w:cs="Arial" w:hint="eastAsia"/>
          <w:sz w:val="24"/>
        </w:rPr>
        <w:t>13</w:t>
      </w:r>
      <w:r w:rsidRPr="001E1963">
        <w:rPr>
          <w:rFonts w:asciiTheme="minorEastAsia" w:eastAsiaTheme="minorEastAsia" w:hAnsiTheme="minorEastAsia" w:cs="Arial" w:hint="eastAsia"/>
          <w:sz w:val="24"/>
        </w:rPr>
        <w:t>）相关法律法规以及监管部门有强制规定的，从其规定。如有新增事项，按国家最新规定估值。</w:t>
      </w:r>
    </w:p>
    <w:p w:rsidR="008C07EE" w:rsidRPr="001E1963" w:rsidRDefault="008C07EE" w:rsidP="001E1963">
      <w:pPr>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C07EE" w:rsidRPr="001E1963" w:rsidRDefault="008C07EE" w:rsidP="001E1963">
      <w:pPr>
        <w:adjustRightInd w:val="0"/>
        <w:snapToGrid w:val="0"/>
        <w:spacing w:line="360" w:lineRule="auto"/>
        <w:ind w:firstLine="480"/>
        <w:rPr>
          <w:rFonts w:asciiTheme="minorEastAsia" w:eastAsiaTheme="minorEastAsia" w:hAnsiTheme="minorEastAsia"/>
          <w:sz w:val="24"/>
          <w:szCs w:val="21"/>
        </w:rPr>
      </w:pPr>
      <w:r w:rsidRPr="001E1963">
        <w:rPr>
          <w:rFonts w:asciiTheme="minorEastAsia" w:eastAsiaTheme="minorEastAsia" w:hAnsiTheme="minorEastAsia"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8C07EE" w:rsidRPr="001E1963" w:rsidRDefault="008C07EE" w:rsidP="001E1963">
      <w:pPr>
        <w:adjustRightInd w:val="0"/>
        <w:snapToGrid w:val="0"/>
        <w:spacing w:line="360" w:lineRule="auto"/>
        <w:ind w:firstLine="480"/>
        <w:rPr>
          <w:rStyle w:val="read"/>
          <w:rFonts w:asciiTheme="minorEastAsia" w:eastAsiaTheme="minorEastAsia" w:hAnsiTheme="minorEastAsia" w:cs="Arial"/>
          <w:sz w:val="24"/>
        </w:rPr>
      </w:pPr>
      <w:r w:rsidRPr="001E1963">
        <w:rPr>
          <w:rStyle w:val="read"/>
          <w:rFonts w:asciiTheme="minorEastAsia" w:eastAsiaTheme="minorEastAsia" w:hAnsiTheme="minorEastAsia" w:cs="Arial" w:hint="eastAsia"/>
          <w:sz w:val="24"/>
        </w:rPr>
        <w:t>3.特殊情形的处理</w:t>
      </w:r>
    </w:p>
    <w:p w:rsidR="008C07EE" w:rsidRPr="001E1963" w:rsidRDefault="008C07EE" w:rsidP="001E1963">
      <w:pPr>
        <w:adjustRightInd w:val="0"/>
        <w:snapToGrid w:val="0"/>
        <w:spacing w:line="360" w:lineRule="auto"/>
        <w:ind w:firstLineChars="200" w:firstLine="480"/>
        <w:rPr>
          <w:rStyle w:val="read"/>
          <w:rFonts w:asciiTheme="minorEastAsia" w:eastAsiaTheme="minorEastAsia" w:hAnsiTheme="minorEastAsia"/>
          <w:sz w:val="24"/>
        </w:rPr>
      </w:pPr>
      <w:r w:rsidRPr="001E1963">
        <w:rPr>
          <w:rStyle w:val="read"/>
          <w:rFonts w:asciiTheme="minorEastAsia" w:eastAsiaTheme="minorEastAsia" w:hAnsiTheme="minorEastAsia" w:cs="Arial" w:hint="eastAsia"/>
          <w:sz w:val="24"/>
        </w:rPr>
        <w:t>基金管理人、基金托管人按估值方法的第(</w:t>
      </w:r>
      <w:r w:rsidR="008A0BF6" w:rsidRPr="001E1963">
        <w:rPr>
          <w:rStyle w:val="read"/>
          <w:rFonts w:asciiTheme="minorEastAsia" w:eastAsiaTheme="minorEastAsia" w:hAnsiTheme="minorEastAsia" w:cs="Arial" w:hint="eastAsia"/>
          <w:sz w:val="24"/>
        </w:rPr>
        <w:t>12</w:t>
      </w:r>
      <w:r w:rsidRPr="001E1963">
        <w:rPr>
          <w:rStyle w:val="read"/>
          <w:rFonts w:asciiTheme="minorEastAsia" w:eastAsiaTheme="minorEastAsia" w:hAnsiTheme="minorEastAsia" w:cs="Arial" w:hint="eastAsia"/>
          <w:sz w:val="24"/>
        </w:rPr>
        <w:t>)项进行估值时，所造成的误差不作为基金份</w:t>
      </w:r>
      <w:r w:rsidRPr="001E1963">
        <w:rPr>
          <w:rStyle w:val="read"/>
          <w:rFonts w:asciiTheme="minorEastAsia" w:eastAsiaTheme="minorEastAsia" w:hAnsiTheme="minorEastAsia" w:hint="eastAsia"/>
          <w:sz w:val="24"/>
        </w:rPr>
        <w:t>额净值错误处理。</w:t>
      </w:r>
    </w:p>
    <w:p w:rsidR="008C07EE" w:rsidRPr="001E1963" w:rsidRDefault="008C07EE" w:rsidP="001E1963">
      <w:pPr>
        <w:adjustRightInd w:val="0"/>
        <w:snapToGrid w:val="0"/>
        <w:spacing w:line="360" w:lineRule="auto"/>
        <w:ind w:firstLineChars="200" w:firstLine="480"/>
        <w:rPr>
          <w:rStyle w:val="read"/>
          <w:rFonts w:asciiTheme="minorEastAsia" w:eastAsiaTheme="minorEastAsia" w:hAnsiTheme="minorEastAsia"/>
          <w:sz w:val="24"/>
        </w:rPr>
      </w:pPr>
      <w:r w:rsidRPr="001E1963">
        <w:rPr>
          <w:rStyle w:val="read"/>
          <w:rFonts w:asciiTheme="minorEastAsia" w:eastAsiaTheme="minorEastAsia" w:hAnsiTheme="minorEastAsia" w:hint="eastAsia"/>
          <w:sz w:val="24"/>
        </w:rPr>
        <w:t>（三）基金份额净值错误的处理方式</w:t>
      </w:r>
    </w:p>
    <w:p w:rsidR="008C07EE" w:rsidRPr="001E1963" w:rsidRDefault="008C07EE" w:rsidP="001E1963">
      <w:pPr>
        <w:adjustRightInd w:val="0"/>
        <w:snapToGrid w:val="0"/>
        <w:spacing w:line="360" w:lineRule="auto"/>
        <w:ind w:firstLineChars="200" w:firstLine="480"/>
        <w:rPr>
          <w:rStyle w:val="read"/>
          <w:rFonts w:asciiTheme="minorEastAsia" w:eastAsiaTheme="minorEastAsia" w:hAnsiTheme="minorEastAsia"/>
          <w:sz w:val="24"/>
        </w:rPr>
      </w:pPr>
      <w:r w:rsidRPr="001E1963">
        <w:rPr>
          <w:rStyle w:val="read"/>
          <w:rFonts w:asciiTheme="minorEastAsia" w:eastAsiaTheme="minorEastAsia" w:hAnsiTheme="minorEastAsia" w:hint="eastAsia"/>
          <w:sz w:val="24"/>
        </w:rPr>
        <w:t>1.当基金份额净值小数点后4位以内(含第4位)发生差错时，视为基金份额净值错误；基金份额净值出现错误时，基金管理人应当立即予以纠正，通报基金</w:t>
      </w:r>
      <w:r w:rsidRPr="001E1963">
        <w:rPr>
          <w:rStyle w:val="read"/>
          <w:rFonts w:asciiTheme="minorEastAsia" w:eastAsiaTheme="minorEastAsia" w:hAnsiTheme="minorEastAsia" w:hint="eastAsia"/>
          <w:sz w:val="24"/>
        </w:rPr>
        <w:lastRenderedPageBreak/>
        <w:t>托管人，并采取合理的措施防止损失进一步扩大；错误偏差达到基金份额净值的0.25%时，基金管理人应当通报基金托管人并报中国证监会备案</w:t>
      </w:r>
      <w:r w:rsidRPr="001E1963">
        <w:rPr>
          <w:rFonts w:asciiTheme="minorEastAsia" w:eastAsiaTheme="minorEastAsia" w:hAnsiTheme="minorEastAsia" w:cs="Arial" w:hint="eastAsia"/>
          <w:sz w:val="24"/>
        </w:rPr>
        <w:t>；错误偏差达到基金份额净值的</w:t>
      </w:r>
      <w:r w:rsidRPr="001E1963">
        <w:rPr>
          <w:rFonts w:asciiTheme="minorEastAsia" w:eastAsiaTheme="minorEastAsia" w:hAnsiTheme="minorEastAsia" w:hint="eastAsia"/>
          <w:sz w:val="24"/>
        </w:rPr>
        <w:t>0.5%时，基金管理人应当公告</w:t>
      </w:r>
      <w:r w:rsidRPr="001E1963">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8C07EE" w:rsidRPr="001E1963" w:rsidRDefault="008C07EE" w:rsidP="001E1963">
      <w:pPr>
        <w:adjustRightInd w:val="0"/>
        <w:snapToGrid w:val="0"/>
        <w:spacing w:line="360" w:lineRule="auto"/>
        <w:ind w:firstLineChars="200" w:firstLine="480"/>
        <w:rPr>
          <w:rStyle w:val="read"/>
          <w:rFonts w:asciiTheme="minorEastAsia" w:eastAsiaTheme="minorEastAsia" w:hAnsiTheme="minorEastAsia"/>
          <w:sz w:val="24"/>
        </w:rPr>
      </w:pPr>
      <w:r w:rsidRPr="001E1963">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E1963">
        <w:rPr>
          <w:rFonts w:asciiTheme="minorEastAsia" w:eastAsiaTheme="minorEastAsia" w:hAnsiTheme="minorEastAsia" w:cs="Arial" w:hint="eastAsia"/>
          <w:sz w:val="24"/>
        </w:rPr>
        <w:t>损失，由基金管理人负责赔付。</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w:t>
      </w:r>
      <w:r w:rsidRPr="001E1963">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w:t>
      </w:r>
      <w:r w:rsidRPr="001E1963">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由于证券/期货交易所及登记结算公司发送的数据错误，或由于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4.基金管理人和基金托管人由于各自技术系统设置而产生的净值计算尾差，以基金管理人计算结果为准。</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5.前述内容如法律法规或者监管部门另有规定的，从其规定。如果行业另有通行做法，双方当事人应本着平等和保护基金份额持有人利益的原则进行协商。</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（四）暂停估值与公告基金份额净值的情形</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1.基金投资所涉及的证券/期货交易市场遇法定节假日或因其他原因暂停营业时；</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2.因不可抗力致使基金管理人、基金托管人无法准确评估基金资产价值时；</w:t>
      </w:r>
    </w:p>
    <w:p w:rsidR="008A0BF6"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3.</w:t>
      </w:r>
      <w:r w:rsidR="008A0BF6" w:rsidRPr="001E1963">
        <w:rPr>
          <w:rFonts w:asciiTheme="minorEastAsia" w:eastAsiaTheme="minorEastAsia" w:hAnsiTheme="minorEastAsia" w:cs="Arial" w:hint="eastAsia"/>
          <w:sz w:val="24"/>
        </w:rPr>
        <w:t>当前一估值日基金资产净值50%以上的资产出现无可参考的活跃市场价格且采用估值技术仍导致公允价值存在重大不确定性，并经与基金托管人协商确认后，基金管理人应当</w:t>
      </w:r>
      <w:r w:rsidR="00AF759F" w:rsidRPr="001E1963">
        <w:rPr>
          <w:rFonts w:asciiTheme="minorEastAsia" w:eastAsiaTheme="minorEastAsia" w:hAnsiTheme="minorEastAsia" w:cs="Arial" w:hint="eastAsia"/>
          <w:sz w:val="24"/>
        </w:rPr>
        <w:t>暂停估值</w:t>
      </w:r>
      <w:r w:rsidR="008A0BF6" w:rsidRPr="001E1963">
        <w:rPr>
          <w:rFonts w:asciiTheme="minorEastAsia" w:eastAsiaTheme="minorEastAsia" w:hAnsiTheme="minorEastAsia" w:cs="Arial" w:hint="eastAsia"/>
          <w:sz w:val="24"/>
        </w:rPr>
        <w:t>；</w:t>
      </w:r>
    </w:p>
    <w:p w:rsidR="008C07EE" w:rsidRPr="001E1963" w:rsidRDefault="008A0BF6"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4.</w:t>
      </w:r>
      <w:r w:rsidR="008C07EE" w:rsidRPr="001E1963">
        <w:rPr>
          <w:rFonts w:asciiTheme="minorEastAsia" w:eastAsiaTheme="minorEastAsia" w:hAnsiTheme="minorEastAsia" w:cs="Arial" w:hint="eastAsia"/>
          <w:sz w:val="24"/>
        </w:rPr>
        <w:t>中国证监会和《基金合同》认定的其他情形。</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（五）基金会计制度</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按国家有关部门规定的会计制度执行。</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（六）基金账册的建立</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（七）基金财务报表与报告的编制和复核</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1.财务报表的编制</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基金财务报表由基金管理人编制，基金托管人复核。</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2.报表复核</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3.财务报表的编制与复核时间安排</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(1)报表的编制</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应当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Pr="001E1963">
        <w:rPr>
          <w:rFonts w:asciiTheme="minorEastAsia" w:eastAsiaTheme="minorEastAsia" w:hAnsiTheme="minorEastAsia" w:cs="Arial" w:hint="eastAsia"/>
          <w:sz w:val="24"/>
        </w:rPr>
        <w:lastRenderedPageBreak/>
        <w:t>《基金合同》生效不足两个月的，基金管理人可以不编制当期季度报告、半年度报告或者年度报告。</w:t>
      </w:r>
    </w:p>
    <w:p w:rsidR="008C07EE" w:rsidRPr="001E1963" w:rsidRDefault="008C07EE" w:rsidP="001E1963">
      <w:pPr>
        <w:pStyle w:val="a0"/>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(2)报表的复核</w:t>
      </w:r>
    </w:p>
    <w:p w:rsidR="008C07EE" w:rsidRPr="001E1963" w:rsidRDefault="008C07EE" w:rsidP="001E1963">
      <w:pPr>
        <w:pStyle w:val="a0"/>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C07EE" w:rsidRPr="001E1963" w:rsidRDefault="008C07EE" w:rsidP="001E1963">
      <w:pPr>
        <w:pStyle w:val="a0"/>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基金管理人应留足充分的时间，便于基金托管人复核相关报表及报告。</w:t>
      </w:r>
    </w:p>
    <w:p w:rsidR="008C07EE" w:rsidRPr="001E1963" w:rsidRDefault="008C07EE" w:rsidP="001E1963">
      <w:pPr>
        <w:pStyle w:val="a0"/>
        <w:adjustRightInd w:val="0"/>
        <w:snapToGrid w:val="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8C07EE" w:rsidRPr="001E1963" w:rsidRDefault="008C07EE" w:rsidP="001E1963">
      <w:pPr>
        <w:pStyle w:val="a0"/>
        <w:adjustRightInd w:val="0"/>
        <w:snapToGrid w:val="0"/>
        <w:spacing w:line="360" w:lineRule="auto"/>
        <w:ind w:firstLineChars="0" w:firstLine="0"/>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87" w:name="_Toc499217429"/>
      <w:r w:rsidRPr="001E1963">
        <w:rPr>
          <w:rFonts w:asciiTheme="minorEastAsia" w:eastAsiaTheme="minorEastAsia" w:hAnsiTheme="minorEastAsia" w:hint="eastAsia"/>
          <w:sz w:val="30"/>
        </w:rPr>
        <w:t>九、基金收益分配</w:t>
      </w:r>
      <w:bookmarkEnd w:id="87"/>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（一）基金利润的构成</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基金利润指基金利息收入、投资收益、公允价值变动收益和其他收入扣除相关费用后的余额，基金已实现收益指基金利润减去公允价值变动收益后的余额。</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（二）基金可供分配利润</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基金可供分配利润指截至收益分配基准日基金未分配利润与未分配利润中已实现收益的孰低数。</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（三）基金收益分配的原则</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基金收益分配应遵循下列原则：</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1.每一基金份额享有同等分配权；</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2.本基金收益分配方式分为两种：现金分红与红利再投资；投资者可选择现金红利或将现金红利自动转为基金份额进行再投资；若投资者不选择，本基金默认的收益分配方式是现金分红；</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3.基金收益分配后基金份额净值不能低于面值，即基金收益分配基准日的基金份额净值减去每单位基金份额收益分配金额后不能低于面值；</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4.法律法规或监管机构另有规定的，从其规定。</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本基金每次收益分配比例详见届时基金管理人发布的公告。</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在不违反法律法规且对基金份额持有人利益无实质性不利影响的前提下，基金管理人可对基金收益分配原则进行调整，无需召开基金份额持有人大会。</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（四）基金收益分配的时间和程序</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本基金收益分配方案由基金管理人拟订，并由基金托管人复核，在2日内在指定媒介公告并报中国证监会备案。</w:t>
      </w:r>
      <w:r w:rsidRPr="001E1963">
        <w:rPr>
          <w:rFonts w:asciiTheme="minorEastAsia" w:eastAsiaTheme="minorEastAsia" w:hAnsiTheme="minorEastAsia" w:hint="eastAsia"/>
          <w:sz w:val="24"/>
        </w:rPr>
        <w:t>基金红利发放日距离收益分配基准日（即可供分配利润计算截止日）的时间不得超过15个工作日。</w:t>
      </w:r>
      <w:r w:rsidRPr="001E1963">
        <w:rPr>
          <w:rFonts w:asciiTheme="minorEastAsia" w:eastAsia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C07EE" w:rsidRPr="001E1963" w:rsidRDefault="008C07EE" w:rsidP="001E1963">
      <w:pPr>
        <w:adjustRightInd w:val="0"/>
        <w:snapToGrid w:val="0"/>
        <w:spacing w:line="360" w:lineRule="auto"/>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88" w:name="_Toc499217430"/>
      <w:r w:rsidRPr="001E1963">
        <w:rPr>
          <w:rFonts w:asciiTheme="minorEastAsia" w:eastAsiaTheme="minorEastAsia" w:hAnsiTheme="minorEastAsia" w:hint="eastAsia"/>
          <w:sz w:val="30"/>
        </w:rPr>
        <w:t>十、基金信息披露</w:t>
      </w:r>
      <w:bookmarkEnd w:id="88"/>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（一）保密义务</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1.非因基金管理人和基金托管人的原因导致保密信息被披露、泄露或公开；</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（二）信息披露的内容</w:t>
      </w:r>
    </w:p>
    <w:p w:rsidR="008C07EE" w:rsidRPr="001E1963" w:rsidRDefault="008C07EE" w:rsidP="001E1963">
      <w:pPr>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w:t>
      </w:r>
      <w:r w:rsidRPr="001E1963">
        <w:rPr>
          <w:rFonts w:asciiTheme="minorEastAsia" w:eastAsiaTheme="minorEastAsia" w:hAnsiTheme="minorEastAsia" w:cs="Arial" w:hint="eastAsia"/>
          <w:sz w:val="24"/>
        </w:rPr>
        <w:lastRenderedPageBreak/>
        <w:t>国证监会规定的其他信息。基金年度报告需经具有从事证券相关业务资格的会计师事务所审计后，方可披露。</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（三）基金托管人和基金管理人在信息披露中的职责和信息披露程序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1.职责</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对于不需要基金托管人复核的信息，基金管理人在公告前应告知基金托管人。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基金管理人和基金托管人应积极配合、互相监督，保证其履行按照法定方式和限时披露的义务。</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当出现下述情况时，基金管理人和基金托管人可暂停或延迟披露基金相关信息：</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(1)因不可抗力致使基金管理人、基金托管人无法准确评估基金资产价值时；</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(2)基金投资所涉及的证券/期货交易市场遇法定节假日或因其他原因暂停营业时；</w:t>
      </w:r>
    </w:p>
    <w:p w:rsidR="008A0BF6"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w:t>
      </w:r>
      <w:r w:rsidR="008A0BF6" w:rsidRPr="001E1963">
        <w:rPr>
          <w:rFonts w:asciiTheme="minorEastAsia" w:eastAsiaTheme="minorEastAsia" w:hAnsiTheme="minorEastAsia" w:cs="Arial" w:hint="eastAsia"/>
          <w:sz w:val="24"/>
        </w:rPr>
        <w:t>当前一估值日基金资产净值</w:t>
      </w:r>
      <w:r w:rsidR="008A0BF6" w:rsidRPr="001E1963">
        <w:rPr>
          <w:rFonts w:asciiTheme="minorEastAsia" w:eastAsiaTheme="minorEastAsia" w:hAnsiTheme="minorEastAsia" w:cs="Arial"/>
          <w:sz w:val="24"/>
        </w:rPr>
        <w:t>50%以上的资产出现无可参考的活跃市场价格且采用估值技术</w:t>
      </w:r>
      <w:r w:rsidR="008A0BF6" w:rsidRPr="001E1963">
        <w:rPr>
          <w:rFonts w:asciiTheme="minorEastAsia" w:eastAsiaTheme="minorEastAsia" w:hAnsiTheme="minorEastAsia" w:cs="Arial" w:hint="eastAsia"/>
          <w:sz w:val="24"/>
        </w:rPr>
        <w:t>仍导致公允价值存在重大不确定性，并经与基金托管人协商确认后，基金管理人应当暂停估值时；</w:t>
      </w:r>
    </w:p>
    <w:p w:rsidR="008C07EE" w:rsidRPr="001E1963" w:rsidRDefault="008A0BF6"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w:t>
      </w:r>
      <w:r w:rsidR="008C07EE" w:rsidRPr="001E1963">
        <w:rPr>
          <w:rFonts w:asciiTheme="minorEastAsia" w:eastAsiaTheme="minorEastAsia" w:hAnsiTheme="minorEastAsia" w:cs="Arial" w:hint="eastAsia"/>
          <w:sz w:val="24"/>
        </w:rPr>
        <w:t>法律法规规定、中国证监会和基金合同认定的其它情形。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3.信息文本的存放</w:t>
      </w:r>
    </w:p>
    <w:p w:rsidR="008C07EE" w:rsidRPr="001E1963" w:rsidRDefault="008C07EE" w:rsidP="001E1963">
      <w:pPr>
        <w:pStyle w:val="a0"/>
        <w:spacing w:line="360" w:lineRule="auto"/>
        <w:ind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基金合同、托管协议、招募说明书公布后，应当分别置备于基金管理人、基</w:t>
      </w:r>
      <w:r w:rsidRPr="001E1963">
        <w:rPr>
          <w:rFonts w:asciiTheme="minorEastAsia" w:eastAsiaTheme="minorEastAsia" w:hAnsiTheme="minorEastAsia" w:cs="Arial" w:hint="eastAsia"/>
          <w:sz w:val="24"/>
        </w:rPr>
        <w:lastRenderedPageBreak/>
        <w:t>金托管人和基金销售机构的住所，供公众查阅、复制。基金定期报告公布后，应当分别置备于基金管理人和基金托管人的住所，以供公众查阅、复制。</w:t>
      </w:r>
    </w:p>
    <w:p w:rsidR="008C07EE" w:rsidRPr="001E1963" w:rsidRDefault="008C07EE" w:rsidP="001E1963">
      <w:pPr>
        <w:pStyle w:val="a0"/>
        <w:spacing w:line="360" w:lineRule="auto"/>
        <w:ind w:firstLineChars="0" w:firstLine="0"/>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89" w:name="_Toc499217431"/>
      <w:r w:rsidRPr="001E1963">
        <w:rPr>
          <w:rFonts w:asciiTheme="minorEastAsia" w:eastAsiaTheme="minorEastAsia" w:hAnsiTheme="minorEastAsia" w:hint="eastAsia"/>
          <w:sz w:val="30"/>
        </w:rPr>
        <w:t>十一、基金费用</w:t>
      </w:r>
      <w:bookmarkEnd w:id="89"/>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（一）基金管理费的计提比例和计提方法</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本基金的管理费按前一日基金资产净值的</w:t>
      </w:r>
      <w:r w:rsidRPr="001E1963">
        <w:rPr>
          <w:rFonts w:asciiTheme="minorEastAsia" w:eastAsiaTheme="minorEastAsia" w:hAnsiTheme="minorEastAsia" w:cs="Arial"/>
          <w:sz w:val="24"/>
        </w:rPr>
        <w:t>1.50</w:t>
      </w:r>
      <w:r w:rsidRPr="001E1963">
        <w:rPr>
          <w:rFonts w:asciiTheme="minorEastAsia" w:eastAsiaTheme="minorEastAsia" w:hAnsiTheme="minorEastAsia" w:cs="Arial" w:hint="eastAsia"/>
          <w:sz w:val="24"/>
        </w:rPr>
        <w:t>%年费率计提。管理费的计算方法如下：</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H＝E×</w:t>
      </w:r>
      <w:r w:rsidRPr="001E1963">
        <w:rPr>
          <w:rFonts w:asciiTheme="minorEastAsia" w:eastAsiaTheme="minorEastAsia" w:hAnsiTheme="minorEastAsia" w:cs="Arial"/>
          <w:sz w:val="24"/>
        </w:rPr>
        <w:t>1.50</w:t>
      </w:r>
      <w:r w:rsidRPr="001E1963">
        <w:rPr>
          <w:rFonts w:asciiTheme="minorEastAsia" w:eastAsiaTheme="minorEastAsia" w:hAnsiTheme="minorEastAsia" w:cs="Arial" w:hint="eastAsia"/>
          <w:sz w:val="24"/>
        </w:rPr>
        <w:t>%÷当年天数</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H为每日应计提的基金管理费</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E为前一日的基金资产净值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（二）基金托管费的计提比例和计提方法</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本基金的托管费按前一日基金资产净值的0.25%年费率计提。托管费的计算方法如下：</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H＝E×0.25%÷当年天数</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H为每日应计提的基金托管费</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E为前一日的基金资产净值</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三）证券/期货账户开户费用、证券/期货交易费用、因投资港股通标的股票而产生的各项合理费用、基金财产划拨支付的银行费用、账户维护费、《基金合同》生效后与基金相关的信息披露费用、基金份额持有人大会费用、《基金合同》生效后与基金有关的会计师费、律师费、诉讼费和仲裁费等根据有关法律法规、《基金合同》及相应协议的规定，列入当期基金费用。</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（四）不列入基金费用的项目</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（五）基金管理费和基金托管费的复核程序、支付方式和时间</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1.复核程序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基金托管人对基金管理人计提的基金管理费和基金托管费等，根据本托管协</w:t>
      </w:r>
      <w:r w:rsidRPr="001E1963">
        <w:rPr>
          <w:rFonts w:asciiTheme="minorEastAsia" w:eastAsiaTheme="minorEastAsia" w:hAnsiTheme="minorEastAsia" w:cs="Arial" w:hint="eastAsia"/>
          <w:sz w:val="24"/>
        </w:rPr>
        <w:lastRenderedPageBreak/>
        <w:t>议和《基金合同》的有关规定进行复核。</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2.支付方式和时间</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在首期支付基金管理费前，基金管理人应向基金托管人出具正式函件指定基金管理费的收款账户。基金管理人如需要变更此账户，应提前5个工作日向基金托管人出具书面的收款账户变更通知。</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（七）违规处理方式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C07EE" w:rsidRPr="001E1963" w:rsidRDefault="008C07EE" w:rsidP="001E1963">
      <w:pPr>
        <w:adjustRightInd w:val="0"/>
        <w:snapToGrid w:val="0"/>
        <w:spacing w:line="360" w:lineRule="auto"/>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0" w:name="_Toc499217432"/>
      <w:r w:rsidRPr="001E1963">
        <w:rPr>
          <w:rFonts w:asciiTheme="minorEastAsia" w:eastAsiaTheme="minorEastAsia" w:hAnsiTheme="minorEastAsia" w:hint="eastAsia"/>
          <w:sz w:val="30"/>
        </w:rPr>
        <w:t>十二、基金份额持有人名册的保管</w:t>
      </w:r>
      <w:bookmarkEnd w:id="90"/>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保存期不少于20年。基金管理人和基金托管人应分别保管基金份额持有人名册，保存期不少于15年。如不能妥善保管，则按相关法规承担责任。</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1E1963">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rsidR="008C07EE" w:rsidRPr="001E1963" w:rsidRDefault="008C07EE" w:rsidP="001E1963">
      <w:pPr>
        <w:adjustRightInd w:val="0"/>
        <w:snapToGrid w:val="0"/>
        <w:spacing w:line="360" w:lineRule="auto"/>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1" w:name="_Toc499217433"/>
      <w:r w:rsidRPr="001E1963">
        <w:rPr>
          <w:rFonts w:asciiTheme="minorEastAsia" w:eastAsiaTheme="minorEastAsia" w:hAnsiTheme="minorEastAsia" w:hint="eastAsia"/>
          <w:sz w:val="30"/>
        </w:rPr>
        <w:t>十三、基金有关文件档案的保存</w:t>
      </w:r>
      <w:bookmarkEnd w:id="91"/>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（一）档案保存</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（二）合同档案的建立</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1.基金管理人签署重大合同文本后，应及时将合同文本正本送达基金托管人处。</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2.基金管理人应及时将与本基金账务处理、资金划拨等有关的合同、协议传真基金托管人。</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（三）变更与协助</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b/>
          <w:bCs/>
          <w:sz w:val="30"/>
          <w:szCs w:val="30"/>
        </w:rPr>
      </w:pPr>
      <w:r w:rsidRPr="001E1963">
        <w:rPr>
          <w:rFonts w:asciiTheme="minorEastAsia" w:eastAsiaTheme="minorEastAsia" w:hAnsiTheme="minorEastAsia" w:cs="Arial" w:hint="eastAsia"/>
          <w:sz w:val="24"/>
        </w:rPr>
        <w:t>若基金管理人/基金托管人发生变更，未变更的一方有义务协助变更后的接任人接收相应文件。</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8C07EE" w:rsidRPr="001E1963" w:rsidRDefault="008C07EE" w:rsidP="001E1963">
      <w:pPr>
        <w:adjustRightInd w:val="0"/>
        <w:snapToGrid w:val="0"/>
        <w:spacing w:line="360" w:lineRule="auto"/>
        <w:rPr>
          <w:rFonts w:asciiTheme="minorEastAsia" w:eastAsiaTheme="minorEastAsia" w:hAnsiTheme="minorEastAsia"/>
          <w:sz w:val="30"/>
          <w:szCs w:val="30"/>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2" w:name="_Toc499217434"/>
      <w:r w:rsidRPr="001E1963">
        <w:rPr>
          <w:rFonts w:asciiTheme="minorEastAsia" w:eastAsiaTheme="minorEastAsia" w:hAnsiTheme="minorEastAsia" w:hint="eastAsia"/>
          <w:sz w:val="30"/>
        </w:rPr>
        <w:t>十四、基金管理人和基金托管人的更换</w:t>
      </w:r>
      <w:bookmarkEnd w:id="92"/>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（一）基金管理人职责终止的情形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1.基金管理人职责终止的情形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有下列情形之一的，基金管理人职责终止：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(1)被依法取消基金管理资格；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(2)依法解散、被依法撤销或被依法宣告破产；</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(3)被基金份额持有人大会解任；</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(4)法律法规及中国证监会规定的和《基金合同》约定的其他情形。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2.基金管理人的更换程序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更换基金管理人必须依照如下程序进行：</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(1)提名：新任基金管理人由基金托管人</w:t>
      </w:r>
      <w:r w:rsidRPr="001E1963">
        <w:rPr>
          <w:rFonts w:asciiTheme="minorEastAsia" w:eastAsiaTheme="minorEastAsia" w:hAnsiTheme="minorEastAsia" w:hint="eastAsia"/>
          <w:sz w:val="24"/>
        </w:rPr>
        <w:t>或由单独或合计持有10%以上(含10%)基金份额的基金份额持有人</w:t>
      </w:r>
      <w:r w:rsidRPr="001E1963">
        <w:rPr>
          <w:rFonts w:asciiTheme="minorEastAsia" w:eastAsiaTheme="minorEastAsia" w:hAnsiTheme="minorEastAsia" w:cs="Arial" w:hint="eastAsia"/>
          <w:sz w:val="24"/>
        </w:rPr>
        <w:t>提名；</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w:t>
      </w:r>
      <w:r w:rsidRPr="001E1963">
        <w:rPr>
          <w:rFonts w:asciiTheme="minorEastAsia" w:eastAsiaTheme="minorEastAsia" w:hAnsiTheme="minorEastAsia" w:cs="Arial" w:hint="eastAsia"/>
          <w:sz w:val="24"/>
        </w:rPr>
        <w:lastRenderedPageBreak/>
        <w:t>之二以上(含三分之二)表决通过；</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(3)临时基金管理人：新任基金管理人产生之前，由中国证监会指定临时基金管理人；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(4)备案：基金份额持有人大会选任基金管理人的决议须报中国证监会备案；</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(5)公告：基金管理人更换后，由基金托管人在更换基金管理人的基金份额持有人大会决议生效后2日内在指定媒介公告；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30"/>
          <w:szCs w:val="30"/>
        </w:rPr>
      </w:pPr>
      <w:r w:rsidRPr="001E1963">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（二）基金托管人职责终止的情形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1.基金托管人职责终止的情形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有下列情形之一的，基金托管人职责终止：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(1)被依法取消基金托管资格；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(2)依法解散、被依法撤销或被依法宣告破产；</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(3)被基金份额持有人大会解任；</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(4)法律法规及中国证监会规定的和《基金合同》约定的其他情形。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2.基金托管人的更换程序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(1)提名：新任基金托管人由基金管理人</w:t>
      </w:r>
      <w:r w:rsidRPr="001E1963">
        <w:rPr>
          <w:rFonts w:asciiTheme="minorEastAsia" w:eastAsiaTheme="minorEastAsia" w:hAnsiTheme="minorEastAsia" w:hint="eastAsia"/>
          <w:sz w:val="24"/>
        </w:rPr>
        <w:t>或由单独或合计持有10%以上(含10%)基金份额的基金份额持有人</w:t>
      </w:r>
      <w:r w:rsidRPr="001E1963">
        <w:rPr>
          <w:rFonts w:asciiTheme="minorEastAsia" w:eastAsiaTheme="minorEastAsia" w:hAnsiTheme="minorEastAsia" w:cs="Arial" w:hint="eastAsia"/>
          <w:sz w:val="24"/>
        </w:rPr>
        <w:t>提名；</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(3)临时基金托管人：新任基金托管人产生之前，由中国证监会指定临时基金托管人；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(4)备案：基金份额持有人大会更换基金托管人的决议须报中国证监会备案；</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(5)公告：基金托管人更换后，由基金管理人在更换基金托管人的基金份额持有人大会决议生效后 2日内在指定媒介公告；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（三）基金管理人与基金托管人同时更换的条件和程序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2.基金管理人和基金托管人的更换分别按上述程序进行；</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3.公告：新任基金管理人和新任基金托管人应在更换基金管理人和基金托管人的基金份额持有人大会决议生效后2日内在指定媒介上联合公告。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8C07EE" w:rsidRPr="001E1963" w:rsidRDefault="008C07EE" w:rsidP="001E1963">
      <w:pPr>
        <w:adjustRightInd w:val="0"/>
        <w:snapToGrid w:val="0"/>
        <w:spacing w:line="360" w:lineRule="auto"/>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3" w:name="_Toc499217435"/>
      <w:r w:rsidRPr="001E1963">
        <w:rPr>
          <w:rFonts w:asciiTheme="minorEastAsia" w:eastAsiaTheme="minorEastAsia" w:hAnsiTheme="minorEastAsia" w:hint="eastAsia"/>
          <w:sz w:val="30"/>
        </w:rPr>
        <w:t>十五、禁止行为</w:t>
      </w:r>
      <w:bookmarkEnd w:id="93"/>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本协议当事人禁止从事的行为，包括但不限于：</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（一）基金管理人、基金托管人将其固有财产或者他人财产混同于基金财产从事证券投资。</w:t>
      </w:r>
    </w:p>
    <w:p w:rsidR="008C07EE" w:rsidRPr="001E1963" w:rsidRDefault="008C07EE" w:rsidP="001E1963">
      <w:pPr>
        <w:spacing w:line="360" w:lineRule="auto"/>
        <w:ind w:firstLineChars="200" w:firstLine="480"/>
        <w:rPr>
          <w:rFonts w:asciiTheme="minorEastAsia" w:eastAsiaTheme="minorEastAsia" w:hAnsiTheme="minorEastAsia"/>
        </w:rPr>
      </w:pPr>
      <w:r w:rsidRPr="001E1963">
        <w:rPr>
          <w:rFonts w:asciiTheme="minorEastAsia" w:eastAsiaTheme="minorEastAsia" w:hAnsiTheme="minorEastAsia" w:hint="eastAsia"/>
          <w:sz w:val="24"/>
        </w:rPr>
        <w:t>（二）基金管理人不公平地对待其管理的不同基金财产，基金托管人不公平地对待其托管的不同基金财产。</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（三）基金管理人、基金托管人利用基金财产为基金份额持有人以外的第三人牟取利益。</w:t>
      </w:r>
    </w:p>
    <w:p w:rsidR="008C07EE" w:rsidRPr="001E1963" w:rsidRDefault="008C07EE" w:rsidP="001E1963">
      <w:pPr>
        <w:spacing w:line="360" w:lineRule="auto"/>
        <w:ind w:firstLineChars="200" w:firstLine="480"/>
        <w:rPr>
          <w:rFonts w:asciiTheme="minorEastAsia" w:eastAsiaTheme="minorEastAsia" w:hAnsiTheme="minorEastAsia"/>
          <w:sz w:val="24"/>
        </w:rPr>
      </w:pPr>
      <w:r w:rsidRPr="001E1963">
        <w:rPr>
          <w:rFonts w:asciiTheme="minorEastAsia" w:eastAsiaTheme="minorEastAsia" w:hAnsiTheme="minorEastAsia" w:hint="eastAsia"/>
          <w:sz w:val="24"/>
        </w:rPr>
        <w:t>（四）基金管理人、基金托管人向基金份额持有人违规承诺收益或者承担损失。</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（五）基金管理人、基金托管人对他人泄漏基金运作和管理过程中任何尚未按法律法规规定的方式公开披露的信息。</w:t>
      </w:r>
    </w:p>
    <w:p w:rsidR="008C07EE" w:rsidRPr="001E1963" w:rsidRDefault="008C07EE" w:rsidP="001E1963">
      <w:pPr>
        <w:pStyle w:val="ab"/>
        <w:spacing w:line="360" w:lineRule="auto"/>
        <w:outlineLvl w:val="0"/>
        <w:rPr>
          <w:rFonts w:asciiTheme="minorEastAsia" w:eastAsiaTheme="minorEastAsia" w:hAnsiTheme="minorEastAsia" w:cs="Arial"/>
          <w:szCs w:val="24"/>
        </w:rPr>
      </w:pPr>
      <w:r w:rsidRPr="001E1963">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（七）基金管理人、基金托管人在行政上、财务上不独立, 其高级管理人员和其他从业人员相互兼职。</w:t>
      </w:r>
    </w:p>
    <w:p w:rsidR="008C07EE" w:rsidRPr="001E1963" w:rsidRDefault="008C07EE" w:rsidP="001E1963">
      <w:pPr>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rsidR="008C07EE" w:rsidRPr="001E1963" w:rsidRDefault="008C07EE" w:rsidP="001E1963">
      <w:pPr>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hint="eastAsia"/>
          <w:sz w:val="24"/>
        </w:rPr>
        <w:t>（九）</w:t>
      </w:r>
      <w:r w:rsidRPr="001E1963">
        <w:rPr>
          <w:rFonts w:asciiTheme="minorEastAsia" w:eastAsiaTheme="minorEastAsia" w:hAnsiTheme="minorEastAsia" w:cs="Arial" w:hint="eastAsia"/>
          <w:sz w:val="24"/>
        </w:rPr>
        <w:t>基金财产</w:t>
      </w:r>
      <w:r w:rsidRPr="001E1963">
        <w:rPr>
          <w:rFonts w:asciiTheme="minorEastAsia" w:eastAsiaTheme="minorEastAsia" w:hAnsiTheme="minorEastAsia"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如</w:t>
      </w:r>
      <w:r w:rsidRPr="001E1963">
        <w:rPr>
          <w:rFonts w:asciiTheme="minorEastAsia" w:eastAsiaTheme="minorEastAsia" w:hAnsiTheme="minorEastAsia" w:cs="Arial" w:hint="eastAsia"/>
          <w:sz w:val="24"/>
        </w:rPr>
        <w:t>法律法规或监管部门取消上述限制，基金管理人在履行适当程序后可不受上述规定的限制</w:t>
      </w:r>
      <w:r w:rsidRPr="001E1963">
        <w:rPr>
          <w:rFonts w:asciiTheme="minorEastAsia" w:eastAsiaTheme="minorEastAsia" w:hAnsiTheme="minorEastAsia" w:hint="eastAsia"/>
          <w:sz w:val="24"/>
        </w:rPr>
        <w:t>。</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（十）法律法规和《基金合同》禁止的其他行为，以及</w:t>
      </w:r>
      <w:r w:rsidRPr="001E1963">
        <w:rPr>
          <w:rFonts w:asciiTheme="minorEastAsia" w:eastAsiaTheme="minorEastAsia" w:hAnsiTheme="minorEastAsia" w:hint="eastAsia"/>
          <w:sz w:val="24"/>
        </w:rPr>
        <w:t>法律、行政法规和中国证监会规定禁止基金管理人、基金托管人从事的其他行为。</w:t>
      </w:r>
    </w:p>
    <w:p w:rsidR="008C07EE" w:rsidRPr="001E1963" w:rsidRDefault="008C07EE" w:rsidP="001E1963">
      <w:pPr>
        <w:adjustRightInd w:val="0"/>
        <w:snapToGrid w:val="0"/>
        <w:spacing w:line="360" w:lineRule="auto"/>
        <w:rPr>
          <w:rFonts w:asciiTheme="minorEastAsia" w:eastAsiaTheme="minorEastAsia" w:hAnsiTheme="minorEastAsia"/>
          <w:sz w:val="30"/>
          <w:szCs w:val="30"/>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4" w:name="_Toc499217436"/>
      <w:r w:rsidRPr="001E1963">
        <w:rPr>
          <w:rFonts w:asciiTheme="minorEastAsia" w:eastAsiaTheme="minorEastAsia" w:hAnsiTheme="minorEastAsia" w:hint="eastAsia"/>
          <w:sz w:val="30"/>
        </w:rPr>
        <w:t>十六、托管协议的变更、终止与基金财产的清算</w:t>
      </w:r>
      <w:bookmarkEnd w:id="94"/>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（一）托管协议的变更程序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30"/>
          <w:szCs w:val="30"/>
        </w:rPr>
      </w:pPr>
      <w:r w:rsidRPr="001E1963">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（二）托管协议终止的情形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1.《基金合同》终止；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2.基金托管人解散、依法被撤销、破产或由其他基金托管人接管基金资产；</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3.基金管理人解散、依法被撤销、破产或由其他基金管理人接管基金管理权；</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4.发生法律法规或《基金合同》规定的终止事项。</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（三）基金财产的清算</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1.基金财产清算小组：自出现《基金合同》终止事由之日起30个工作日内成立清算小组，基金管理人组织基金财产清算小组并在中国证监会的监督下进行基金清算。</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3.基金财产清算小组职责：基金财产清算小组负责基金财产的保管、清理、估价、变现和分配。基金财产清算小组可以依法进行必要的民事活动。</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4.基金财产清算程序：</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(1)《基金合同》终止情形出现时，由基金财产清算小组统一接管基金；</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(2)对基金财产和债权债务进行清理和确认；</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(3)对基金财产进行估值和变现；</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(4)制作清算报告；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(5)聘请会计师事务所对清算报告进行外部审计，聘请律师事务所对清算报告出具法律意见书；</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(6)将清算报告报中国证监会备案并公告；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(7)对基金剩余财产进行分配。</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5.基金财产清算的期限为6个月。</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6.清算费用</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7.基金财产清算剩余资产的分配：</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8.基金财产清算的公告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lastRenderedPageBreak/>
        <w:t>9.基金财产清算账册及文件的保存</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基金财产清算账册及有关文件由基金托管人保存15年以上。</w:t>
      </w:r>
    </w:p>
    <w:p w:rsidR="008C07EE" w:rsidRPr="001E1963" w:rsidRDefault="008C07EE" w:rsidP="001E1963">
      <w:pPr>
        <w:adjustRightInd w:val="0"/>
        <w:snapToGrid w:val="0"/>
        <w:spacing w:line="360" w:lineRule="auto"/>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5" w:name="_Toc499217437"/>
      <w:r w:rsidRPr="001E1963">
        <w:rPr>
          <w:rFonts w:asciiTheme="minorEastAsia" w:eastAsiaTheme="minorEastAsia" w:hAnsiTheme="minorEastAsia" w:hint="eastAsia"/>
          <w:sz w:val="30"/>
        </w:rPr>
        <w:t>十七、违约责任</w:t>
      </w:r>
      <w:bookmarkEnd w:id="95"/>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（一）基金管理人、基金托管人不履行本协议或履行本协议不符合约定的，应当承担违约责任。</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1.不可抗力；</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2.基金管理人和/或基金托管人按照当时有效的法律法规或中国证监会的规定作为或不作为而造成的损失等；</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3.基金管理人由于按照基金合同约定的投资原则行使或不行使其投资权而造成的损失等。</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（三）违约行为虽已发生，但本托管协议能够继续履行的，在最大限度地保护基金份额持有人利益的前提下，基金管理人和基金托管人应当继续履行本协议。</w:t>
      </w:r>
    </w:p>
    <w:p w:rsidR="008C07EE" w:rsidRPr="001E1963" w:rsidRDefault="008C07EE" w:rsidP="001E1963">
      <w:pPr>
        <w:adjustRightInd w:val="0"/>
        <w:snapToGrid w:val="0"/>
        <w:spacing w:line="360" w:lineRule="auto"/>
        <w:ind w:firstLineChars="200" w:firstLine="480"/>
        <w:outlineLvl w:val="0"/>
        <w:rPr>
          <w:rFonts w:asciiTheme="minorEastAsia" w:eastAsiaTheme="minorEastAsia" w:hAnsiTheme="minorEastAsia" w:cs="Arial"/>
          <w:sz w:val="24"/>
        </w:rPr>
      </w:pPr>
      <w:r w:rsidRPr="001E1963">
        <w:rPr>
          <w:rFonts w:asciiTheme="minorEastAsia" w:eastAsiaTheme="minorEastAsia" w:hAnsiTheme="minorEastAsia" w:cs="Arial" w:hint="eastAsia"/>
          <w:sz w:val="24"/>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C07EE" w:rsidRPr="001E1963" w:rsidRDefault="008C07EE" w:rsidP="001E1963">
      <w:pPr>
        <w:adjustRightInd w:val="0"/>
        <w:snapToGrid w:val="0"/>
        <w:spacing w:line="360" w:lineRule="auto"/>
        <w:outlineLvl w:val="0"/>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6" w:name="_Toc499217438"/>
      <w:r w:rsidRPr="001E1963">
        <w:rPr>
          <w:rFonts w:asciiTheme="minorEastAsia" w:eastAsiaTheme="minorEastAsia" w:hAnsiTheme="minorEastAsia" w:hint="eastAsia"/>
          <w:sz w:val="30"/>
        </w:rPr>
        <w:t>十八、争议解决方式</w:t>
      </w:r>
      <w:bookmarkEnd w:id="96"/>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本协议受中国法律管辖。</w:t>
      </w:r>
    </w:p>
    <w:p w:rsidR="008C07EE" w:rsidRPr="001E1963" w:rsidRDefault="008C07EE" w:rsidP="001E1963">
      <w:pPr>
        <w:adjustRightInd w:val="0"/>
        <w:snapToGrid w:val="0"/>
        <w:spacing w:line="360" w:lineRule="auto"/>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7" w:name="_Toc499217439"/>
      <w:r w:rsidRPr="001E1963">
        <w:rPr>
          <w:rFonts w:asciiTheme="minorEastAsia" w:eastAsiaTheme="minorEastAsia" w:hAnsiTheme="minorEastAsia" w:hint="eastAsia"/>
          <w:sz w:val="30"/>
        </w:rPr>
        <w:t>十九、托管协议的效力</w:t>
      </w:r>
      <w:bookmarkEnd w:id="97"/>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双方对托管协议的效力约定如下：</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（三）托管协议自生效之日起对托管协议当事人具有同等的法律约束力。</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sz w:val="30"/>
          <w:szCs w:val="30"/>
        </w:rPr>
      </w:pPr>
      <w:r w:rsidRPr="001E1963">
        <w:rPr>
          <w:rFonts w:asciiTheme="minorEastAsia" w:eastAsiaTheme="minorEastAsia" w:hAnsiTheme="minorEastAsia" w:cs="Arial" w:hint="eastAsia"/>
          <w:sz w:val="24"/>
        </w:rPr>
        <w:t>（四）本协议一式六份，协议双方各持二份，上报监管机构二份，每份具有同等的法律效力。</w:t>
      </w:r>
    </w:p>
    <w:p w:rsidR="008C07EE" w:rsidRPr="001E1963" w:rsidRDefault="008C07EE" w:rsidP="001E1963">
      <w:pPr>
        <w:adjustRightInd w:val="0"/>
        <w:snapToGrid w:val="0"/>
        <w:spacing w:line="360" w:lineRule="auto"/>
        <w:rPr>
          <w:rFonts w:asciiTheme="minorEastAsia" w:eastAsiaTheme="minorEastAsia" w:hAnsiTheme="minorEastAsia" w:cs="Arial"/>
          <w:sz w:val="24"/>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8" w:name="_Toc499217440"/>
      <w:r w:rsidRPr="001E1963">
        <w:rPr>
          <w:rFonts w:asciiTheme="minorEastAsia" w:eastAsiaTheme="minorEastAsia" w:hAnsiTheme="minorEastAsia" w:hint="eastAsia"/>
          <w:sz w:val="30"/>
        </w:rPr>
        <w:lastRenderedPageBreak/>
        <w:t>二十、其他事项</w:t>
      </w:r>
      <w:bookmarkEnd w:id="98"/>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如发生有权司法机关依法冻结基金份额持有人的基金份额时，基金管理人应予以配合，承担司法协助义务。</w:t>
      </w:r>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cs="Arial"/>
          <w:sz w:val="24"/>
        </w:rPr>
      </w:pPr>
      <w:r w:rsidRPr="001E1963">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8C07EE" w:rsidRPr="001E1963" w:rsidRDefault="008C07EE" w:rsidP="001E1963">
      <w:pPr>
        <w:adjustRightInd w:val="0"/>
        <w:snapToGrid w:val="0"/>
        <w:spacing w:line="360" w:lineRule="auto"/>
        <w:rPr>
          <w:rFonts w:asciiTheme="minorEastAsia" w:eastAsiaTheme="minorEastAsia" w:hAnsiTheme="minorEastAsia"/>
          <w:b/>
          <w:bCs/>
        </w:rPr>
      </w:pPr>
    </w:p>
    <w:p w:rsidR="008C07EE" w:rsidRPr="001E1963" w:rsidRDefault="008C07EE" w:rsidP="001E1963">
      <w:pPr>
        <w:pStyle w:val="2"/>
        <w:spacing w:line="360" w:lineRule="auto"/>
        <w:jc w:val="center"/>
        <w:rPr>
          <w:rFonts w:asciiTheme="minorEastAsia" w:eastAsiaTheme="minorEastAsia" w:hAnsiTheme="minorEastAsia"/>
          <w:sz w:val="30"/>
        </w:rPr>
      </w:pPr>
      <w:bookmarkStart w:id="99" w:name="_Toc499217441"/>
      <w:r w:rsidRPr="001E1963">
        <w:rPr>
          <w:rFonts w:asciiTheme="minorEastAsia" w:eastAsiaTheme="minorEastAsia" w:hAnsiTheme="minorEastAsia" w:hint="eastAsia"/>
          <w:sz w:val="30"/>
        </w:rPr>
        <w:t>二十一、托管协议的签订</w:t>
      </w:r>
      <w:bookmarkEnd w:id="99"/>
    </w:p>
    <w:p w:rsidR="008C07EE" w:rsidRPr="001E1963" w:rsidRDefault="008C07EE" w:rsidP="001E1963">
      <w:pPr>
        <w:adjustRightInd w:val="0"/>
        <w:snapToGrid w:val="0"/>
        <w:spacing w:line="360" w:lineRule="auto"/>
        <w:ind w:firstLineChars="200" w:firstLine="480"/>
        <w:rPr>
          <w:rFonts w:asciiTheme="minorEastAsia" w:eastAsiaTheme="minorEastAsia" w:hAnsiTheme="minorEastAsia"/>
        </w:rPr>
      </w:pPr>
      <w:r w:rsidRPr="001E1963">
        <w:rPr>
          <w:rFonts w:asciiTheme="minorEastAsia" w:eastAsiaTheme="minorEastAsia" w:hAnsiTheme="minorEastAsia" w:cs="Arial" w:hint="eastAsia"/>
          <w:sz w:val="24"/>
        </w:rPr>
        <w:t>本协议双方法定代表人或授权代表签章、签订地、签订日</w:t>
      </w:r>
      <w:r w:rsidR="00F448E9" w:rsidRPr="001E1963">
        <w:rPr>
          <w:rFonts w:asciiTheme="minorEastAsia" w:eastAsiaTheme="minorEastAsia" w:hAnsiTheme="minorEastAsia" w:hint="eastAsia"/>
          <w:sz w:val="24"/>
        </w:rPr>
        <w:t>。</w:t>
      </w:r>
    </w:p>
    <w:p w:rsidR="008B716D" w:rsidRPr="001E1963" w:rsidRDefault="008B716D" w:rsidP="001E1963">
      <w:pPr>
        <w:spacing w:line="360" w:lineRule="auto"/>
        <w:rPr>
          <w:rFonts w:asciiTheme="minorEastAsia" w:eastAsiaTheme="minorEastAsia" w:hAnsiTheme="minorEastAsia"/>
        </w:rPr>
      </w:pPr>
    </w:p>
    <w:sectPr w:rsidR="008B716D" w:rsidRPr="001E1963" w:rsidSect="00F2175E">
      <w:footerReference w:type="default" r:id="rId10"/>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5DA" w:rsidRDefault="00C915DA" w:rsidP="008C07EE">
      <w:r>
        <w:separator/>
      </w:r>
    </w:p>
  </w:endnote>
  <w:endnote w:type="continuationSeparator" w:id="0">
    <w:p w:rsidR="00C915DA" w:rsidRDefault="00C915DA" w:rsidP="008C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F6" w:rsidRDefault="008A0B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0BF6" w:rsidRDefault="008A0B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5E" w:rsidRDefault="00F2175E">
    <w:pPr>
      <w:pStyle w:val="a5"/>
      <w:jc w:val="center"/>
    </w:pPr>
  </w:p>
  <w:p w:rsidR="008A0BF6" w:rsidRDefault="008A0B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466000"/>
      <w:docPartObj>
        <w:docPartGallery w:val="Page Numbers (Bottom of Page)"/>
        <w:docPartUnique/>
      </w:docPartObj>
    </w:sdtPr>
    <w:sdtEndPr/>
    <w:sdtContent>
      <w:p w:rsidR="00F2175E" w:rsidRDefault="00F2175E">
        <w:pPr>
          <w:pStyle w:val="a5"/>
          <w:jc w:val="center"/>
        </w:pPr>
        <w:r>
          <w:fldChar w:fldCharType="begin"/>
        </w:r>
        <w:r>
          <w:instrText>PAGE   \* MERGEFORMAT</w:instrText>
        </w:r>
        <w:r>
          <w:fldChar w:fldCharType="separate"/>
        </w:r>
        <w:r w:rsidR="001E1963" w:rsidRPr="001E1963">
          <w:rPr>
            <w:noProof/>
            <w:lang w:val="zh-CN"/>
          </w:rPr>
          <w:t>20</w:t>
        </w:r>
        <w:r>
          <w:fldChar w:fldCharType="end"/>
        </w:r>
      </w:p>
    </w:sdtContent>
  </w:sdt>
  <w:p w:rsidR="00F2175E" w:rsidRDefault="00F217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5DA" w:rsidRDefault="00C915DA" w:rsidP="008C07EE">
      <w:r>
        <w:separator/>
      </w:r>
    </w:p>
  </w:footnote>
  <w:footnote w:type="continuationSeparator" w:id="0">
    <w:p w:rsidR="00C915DA" w:rsidRDefault="00C915DA" w:rsidP="008C0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F6" w:rsidRDefault="00F2175E" w:rsidP="00F2175E">
    <w:pPr>
      <w:pStyle w:val="a4"/>
      <w:jc w:val="left"/>
    </w:pPr>
    <w:r w:rsidRPr="00F2175E">
      <w:rPr>
        <w:rFonts w:hint="eastAsia"/>
      </w:rPr>
      <w:t>汇添富价值创造定期开放混合型</w:t>
    </w:r>
    <w:r>
      <w:rPr>
        <w:rFonts w:hint="eastAsia"/>
      </w:rPr>
      <w:t>证券投资</w:t>
    </w:r>
    <w:r>
      <w:t>基金</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8A"/>
    <w:rsid w:val="000000B0"/>
    <w:rsid w:val="000002C0"/>
    <w:rsid w:val="000013E9"/>
    <w:rsid w:val="00001858"/>
    <w:rsid w:val="00001BCA"/>
    <w:rsid w:val="00001CDB"/>
    <w:rsid w:val="000022BF"/>
    <w:rsid w:val="000022F1"/>
    <w:rsid w:val="000025B4"/>
    <w:rsid w:val="00002F32"/>
    <w:rsid w:val="000033AC"/>
    <w:rsid w:val="00003AE4"/>
    <w:rsid w:val="00003AF2"/>
    <w:rsid w:val="00003D25"/>
    <w:rsid w:val="00003F74"/>
    <w:rsid w:val="0000404A"/>
    <w:rsid w:val="000048D8"/>
    <w:rsid w:val="00004FC8"/>
    <w:rsid w:val="000051EB"/>
    <w:rsid w:val="0000524B"/>
    <w:rsid w:val="00005FEF"/>
    <w:rsid w:val="000060C2"/>
    <w:rsid w:val="00006164"/>
    <w:rsid w:val="00006347"/>
    <w:rsid w:val="000063D0"/>
    <w:rsid w:val="00006FF6"/>
    <w:rsid w:val="0000722B"/>
    <w:rsid w:val="000079E1"/>
    <w:rsid w:val="00007BCB"/>
    <w:rsid w:val="0001014F"/>
    <w:rsid w:val="0001023B"/>
    <w:rsid w:val="00010526"/>
    <w:rsid w:val="00010C07"/>
    <w:rsid w:val="00010DA5"/>
    <w:rsid w:val="00010EB6"/>
    <w:rsid w:val="00011613"/>
    <w:rsid w:val="00011698"/>
    <w:rsid w:val="00012D71"/>
    <w:rsid w:val="000130B9"/>
    <w:rsid w:val="0001339D"/>
    <w:rsid w:val="00013583"/>
    <w:rsid w:val="00014763"/>
    <w:rsid w:val="0001479E"/>
    <w:rsid w:val="00014A75"/>
    <w:rsid w:val="0001500E"/>
    <w:rsid w:val="00015093"/>
    <w:rsid w:val="00015AB9"/>
    <w:rsid w:val="00015FE3"/>
    <w:rsid w:val="00016058"/>
    <w:rsid w:val="00016987"/>
    <w:rsid w:val="00016999"/>
    <w:rsid w:val="000171C0"/>
    <w:rsid w:val="0001774A"/>
    <w:rsid w:val="00017886"/>
    <w:rsid w:val="00017A77"/>
    <w:rsid w:val="00017FB3"/>
    <w:rsid w:val="000205E3"/>
    <w:rsid w:val="0002065E"/>
    <w:rsid w:val="000213B8"/>
    <w:rsid w:val="000219EA"/>
    <w:rsid w:val="00021DAE"/>
    <w:rsid w:val="00021F50"/>
    <w:rsid w:val="00022485"/>
    <w:rsid w:val="00022A05"/>
    <w:rsid w:val="00022ED5"/>
    <w:rsid w:val="00023F2F"/>
    <w:rsid w:val="00023FF8"/>
    <w:rsid w:val="00024619"/>
    <w:rsid w:val="00024663"/>
    <w:rsid w:val="000246FD"/>
    <w:rsid w:val="00024D74"/>
    <w:rsid w:val="00025305"/>
    <w:rsid w:val="000253AE"/>
    <w:rsid w:val="000254F9"/>
    <w:rsid w:val="00025877"/>
    <w:rsid w:val="00025AB3"/>
    <w:rsid w:val="00025DBA"/>
    <w:rsid w:val="00025F2D"/>
    <w:rsid w:val="0002610B"/>
    <w:rsid w:val="00026D73"/>
    <w:rsid w:val="00026E55"/>
    <w:rsid w:val="00026F4E"/>
    <w:rsid w:val="00031411"/>
    <w:rsid w:val="00031446"/>
    <w:rsid w:val="000314E4"/>
    <w:rsid w:val="00031725"/>
    <w:rsid w:val="00031EFF"/>
    <w:rsid w:val="000321E6"/>
    <w:rsid w:val="00032419"/>
    <w:rsid w:val="00032492"/>
    <w:rsid w:val="000324F0"/>
    <w:rsid w:val="00032722"/>
    <w:rsid w:val="00032F5E"/>
    <w:rsid w:val="0003343B"/>
    <w:rsid w:val="00033CCE"/>
    <w:rsid w:val="00034084"/>
    <w:rsid w:val="000347BD"/>
    <w:rsid w:val="0003488B"/>
    <w:rsid w:val="00034D6B"/>
    <w:rsid w:val="00035716"/>
    <w:rsid w:val="000361C9"/>
    <w:rsid w:val="00036285"/>
    <w:rsid w:val="00036478"/>
    <w:rsid w:val="00036645"/>
    <w:rsid w:val="0003689A"/>
    <w:rsid w:val="00036D1C"/>
    <w:rsid w:val="000378E8"/>
    <w:rsid w:val="00040641"/>
    <w:rsid w:val="00040A9C"/>
    <w:rsid w:val="00040ABD"/>
    <w:rsid w:val="00040C24"/>
    <w:rsid w:val="00040DA2"/>
    <w:rsid w:val="0004153A"/>
    <w:rsid w:val="0004187B"/>
    <w:rsid w:val="00041F8E"/>
    <w:rsid w:val="000422B3"/>
    <w:rsid w:val="00042535"/>
    <w:rsid w:val="00042AE4"/>
    <w:rsid w:val="00042C33"/>
    <w:rsid w:val="00043753"/>
    <w:rsid w:val="000441C5"/>
    <w:rsid w:val="000446CD"/>
    <w:rsid w:val="00044835"/>
    <w:rsid w:val="00044854"/>
    <w:rsid w:val="00044B37"/>
    <w:rsid w:val="00044C33"/>
    <w:rsid w:val="00045F91"/>
    <w:rsid w:val="00046084"/>
    <w:rsid w:val="000460D9"/>
    <w:rsid w:val="000464C7"/>
    <w:rsid w:val="00046C6C"/>
    <w:rsid w:val="00047081"/>
    <w:rsid w:val="0004723E"/>
    <w:rsid w:val="00047663"/>
    <w:rsid w:val="00050A36"/>
    <w:rsid w:val="000513D6"/>
    <w:rsid w:val="00051A02"/>
    <w:rsid w:val="00051A9F"/>
    <w:rsid w:val="00051B9F"/>
    <w:rsid w:val="0005249C"/>
    <w:rsid w:val="000526CC"/>
    <w:rsid w:val="000532D2"/>
    <w:rsid w:val="00053970"/>
    <w:rsid w:val="000544C2"/>
    <w:rsid w:val="00054A40"/>
    <w:rsid w:val="00054DDD"/>
    <w:rsid w:val="000551E4"/>
    <w:rsid w:val="00055E38"/>
    <w:rsid w:val="00056020"/>
    <w:rsid w:val="0005640F"/>
    <w:rsid w:val="0005680F"/>
    <w:rsid w:val="00056B24"/>
    <w:rsid w:val="00056CFC"/>
    <w:rsid w:val="0005728C"/>
    <w:rsid w:val="00057719"/>
    <w:rsid w:val="0005777E"/>
    <w:rsid w:val="000577AE"/>
    <w:rsid w:val="000602D8"/>
    <w:rsid w:val="00060871"/>
    <w:rsid w:val="00060883"/>
    <w:rsid w:val="0006123D"/>
    <w:rsid w:val="0006162B"/>
    <w:rsid w:val="000624D6"/>
    <w:rsid w:val="00062D1E"/>
    <w:rsid w:val="00062FF8"/>
    <w:rsid w:val="00064229"/>
    <w:rsid w:val="00064ADF"/>
    <w:rsid w:val="00064B47"/>
    <w:rsid w:val="00065A2F"/>
    <w:rsid w:val="00066B97"/>
    <w:rsid w:val="00066D6D"/>
    <w:rsid w:val="00066DD4"/>
    <w:rsid w:val="00066EEE"/>
    <w:rsid w:val="0006742C"/>
    <w:rsid w:val="0006771C"/>
    <w:rsid w:val="000677C3"/>
    <w:rsid w:val="00067D5D"/>
    <w:rsid w:val="0007085E"/>
    <w:rsid w:val="0007149E"/>
    <w:rsid w:val="0007176A"/>
    <w:rsid w:val="000719C5"/>
    <w:rsid w:val="00071B16"/>
    <w:rsid w:val="000720FC"/>
    <w:rsid w:val="00072219"/>
    <w:rsid w:val="00072832"/>
    <w:rsid w:val="00072FDC"/>
    <w:rsid w:val="00073094"/>
    <w:rsid w:val="00073265"/>
    <w:rsid w:val="00073747"/>
    <w:rsid w:val="00073A42"/>
    <w:rsid w:val="0007433A"/>
    <w:rsid w:val="0007492F"/>
    <w:rsid w:val="00074960"/>
    <w:rsid w:val="00074B91"/>
    <w:rsid w:val="00075078"/>
    <w:rsid w:val="000752B7"/>
    <w:rsid w:val="00075625"/>
    <w:rsid w:val="00075BD5"/>
    <w:rsid w:val="0007697C"/>
    <w:rsid w:val="00076D17"/>
    <w:rsid w:val="00076D9C"/>
    <w:rsid w:val="00076E19"/>
    <w:rsid w:val="00076FB6"/>
    <w:rsid w:val="000772C7"/>
    <w:rsid w:val="000773F3"/>
    <w:rsid w:val="00077D3D"/>
    <w:rsid w:val="00077FA2"/>
    <w:rsid w:val="00080656"/>
    <w:rsid w:val="00080D9E"/>
    <w:rsid w:val="00080EBD"/>
    <w:rsid w:val="0008117F"/>
    <w:rsid w:val="000811FF"/>
    <w:rsid w:val="000821CB"/>
    <w:rsid w:val="000825AB"/>
    <w:rsid w:val="00082BBB"/>
    <w:rsid w:val="00082BE5"/>
    <w:rsid w:val="00082BF0"/>
    <w:rsid w:val="00083970"/>
    <w:rsid w:val="000840D6"/>
    <w:rsid w:val="0008433D"/>
    <w:rsid w:val="000845C3"/>
    <w:rsid w:val="00084842"/>
    <w:rsid w:val="00084CFA"/>
    <w:rsid w:val="0008524F"/>
    <w:rsid w:val="000852C1"/>
    <w:rsid w:val="00085783"/>
    <w:rsid w:val="00085863"/>
    <w:rsid w:val="000858A1"/>
    <w:rsid w:val="000861CF"/>
    <w:rsid w:val="000869B7"/>
    <w:rsid w:val="00086B7A"/>
    <w:rsid w:val="00086D4D"/>
    <w:rsid w:val="00086DE7"/>
    <w:rsid w:val="0008767B"/>
    <w:rsid w:val="000878A5"/>
    <w:rsid w:val="00087A25"/>
    <w:rsid w:val="00087A27"/>
    <w:rsid w:val="00087BC8"/>
    <w:rsid w:val="00087D9F"/>
    <w:rsid w:val="00087FBE"/>
    <w:rsid w:val="000901C3"/>
    <w:rsid w:val="00090AD9"/>
    <w:rsid w:val="000913C9"/>
    <w:rsid w:val="00091C8A"/>
    <w:rsid w:val="00092058"/>
    <w:rsid w:val="000923CB"/>
    <w:rsid w:val="00092547"/>
    <w:rsid w:val="00092825"/>
    <w:rsid w:val="00092E62"/>
    <w:rsid w:val="000931A2"/>
    <w:rsid w:val="00093374"/>
    <w:rsid w:val="000933E1"/>
    <w:rsid w:val="000936CA"/>
    <w:rsid w:val="000940D6"/>
    <w:rsid w:val="00094258"/>
    <w:rsid w:val="00094450"/>
    <w:rsid w:val="00094708"/>
    <w:rsid w:val="000947C0"/>
    <w:rsid w:val="000949B7"/>
    <w:rsid w:val="00094B96"/>
    <w:rsid w:val="0009511E"/>
    <w:rsid w:val="00095321"/>
    <w:rsid w:val="00095D2D"/>
    <w:rsid w:val="00096224"/>
    <w:rsid w:val="0009720B"/>
    <w:rsid w:val="0009726E"/>
    <w:rsid w:val="000975F2"/>
    <w:rsid w:val="000978BB"/>
    <w:rsid w:val="000979F4"/>
    <w:rsid w:val="00097CA2"/>
    <w:rsid w:val="000A00EB"/>
    <w:rsid w:val="000A0761"/>
    <w:rsid w:val="000A09A5"/>
    <w:rsid w:val="000A0A69"/>
    <w:rsid w:val="000A0E75"/>
    <w:rsid w:val="000A0F41"/>
    <w:rsid w:val="000A1437"/>
    <w:rsid w:val="000A15A7"/>
    <w:rsid w:val="000A15C6"/>
    <w:rsid w:val="000A1929"/>
    <w:rsid w:val="000A2028"/>
    <w:rsid w:val="000A269E"/>
    <w:rsid w:val="000A2B93"/>
    <w:rsid w:val="000A2F9B"/>
    <w:rsid w:val="000A3923"/>
    <w:rsid w:val="000A44AA"/>
    <w:rsid w:val="000A4DA3"/>
    <w:rsid w:val="000A5838"/>
    <w:rsid w:val="000A6143"/>
    <w:rsid w:val="000A62E7"/>
    <w:rsid w:val="000A6921"/>
    <w:rsid w:val="000A72C8"/>
    <w:rsid w:val="000A73B2"/>
    <w:rsid w:val="000A7CA1"/>
    <w:rsid w:val="000B0486"/>
    <w:rsid w:val="000B1838"/>
    <w:rsid w:val="000B1D7A"/>
    <w:rsid w:val="000B1E4E"/>
    <w:rsid w:val="000B2106"/>
    <w:rsid w:val="000B2761"/>
    <w:rsid w:val="000B3339"/>
    <w:rsid w:val="000B370D"/>
    <w:rsid w:val="000B3858"/>
    <w:rsid w:val="000B3993"/>
    <w:rsid w:val="000B44DD"/>
    <w:rsid w:val="000B4649"/>
    <w:rsid w:val="000B5160"/>
    <w:rsid w:val="000B5BC5"/>
    <w:rsid w:val="000B683E"/>
    <w:rsid w:val="000B713B"/>
    <w:rsid w:val="000B767C"/>
    <w:rsid w:val="000C0130"/>
    <w:rsid w:val="000C05F7"/>
    <w:rsid w:val="000C0967"/>
    <w:rsid w:val="000C099B"/>
    <w:rsid w:val="000C09C2"/>
    <w:rsid w:val="000C15DE"/>
    <w:rsid w:val="000C17C3"/>
    <w:rsid w:val="000C1F55"/>
    <w:rsid w:val="000C216A"/>
    <w:rsid w:val="000C266B"/>
    <w:rsid w:val="000C289D"/>
    <w:rsid w:val="000C2F80"/>
    <w:rsid w:val="000C32ED"/>
    <w:rsid w:val="000C337D"/>
    <w:rsid w:val="000C3B4F"/>
    <w:rsid w:val="000C3B90"/>
    <w:rsid w:val="000C4584"/>
    <w:rsid w:val="000C4654"/>
    <w:rsid w:val="000C4706"/>
    <w:rsid w:val="000C53B1"/>
    <w:rsid w:val="000C56D7"/>
    <w:rsid w:val="000C577B"/>
    <w:rsid w:val="000C5933"/>
    <w:rsid w:val="000C5A1F"/>
    <w:rsid w:val="000C6684"/>
    <w:rsid w:val="000C6723"/>
    <w:rsid w:val="000C698C"/>
    <w:rsid w:val="000C6A92"/>
    <w:rsid w:val="000C6D55"/>
    <w:rsid w:val="000C6E51"/>
    <w:rsid w:val="000C718E"/>
    <w:rsid w:val="000C7326"/>
    <w:rsid w:val="000C7888"/>
    <w:rsid w:val="000C7C07"/>
    <w:rsid w:val="000D00A7"/>
    <w:rsid w:val="000D03B7"/>
    <w:rsid w:val="000D0E6E"/>
    <w:rsid w:val="000D11EC"/>
    <w:rsid w:val="000D151C"/>
    <w:rsid w:val="000D1711"/>
    <w:rsid w:val="000D1940"/>
    <w:rsid w:val="000D19AB"/>
    <w:rsid w:val="000D19AC"/>
    <w:rsid w:val="000D1B07"/>
    <w:rsid w:val="000D26A1"/>
    <w:rsid w:val="000D299D"/>
    <w:rsid w:val="000D2D35"/>
    <w:rsid w:val="000D2F29"/>
    <w:rsid w:val="000D3369"/>
    <w:rsid w:val="000D3432"/>
    <w:rsid w:val="000D346D"/>
    <w:rsid w:val="000D34AF"/>
    <w:rsid w:val="000D359F"/>
    <w:rsid w:val="000D35AB"/>
    <w:rsid w:val="000D45DF"/>
    <w:rsid w:val="000D46F1"/>
    <w:rsid w:val="000D4B44"/>
    <w:rsid w:val="000D5080"/>
    <w:rsid w:val="000D5733"/>
    <w:rsid w:val="000D57C5"/>
    <w:rsid w:val="000D608C"/>
    <w:rsid w:val="000D6250"/>
    <w:rsid w:val="000D660C"/>
    <w:rsid w:val="000D71C8"/>
    <w:rsid w:val="000D7B20"/>
    <w:rsid w:val="000E0434"/>
    <w:rsid w:val="000E04C7"/>
    <w:rsid w:val="000E0759"/>
    <w:rsid w:val="000E0825"/>
    <w:rsid w:val="000E0B71"/>
    <w:rsid w:val="000E0E76"/>
    <w:rsid w:val="000E118F"/>
    <w:rsid w:val="000E1357"/>
    <w:rsid w:val="000E1F08"/>
    <w:rsid w:val="000E22AF"/>
    <w:rsid w:val="000E2F23"/>
    <w:rsid w:val="000E3897"/>
    <w:rsid w:val="000E3B8E"/>
    <w:rsid w:val="000E426E"/>
    <w:rsid w:val="000E4632"/>
    <w:rsid w:val="000E4ACF"/>
    <w:rsid w:val="000E4FF2"/>
    <w:rsid w:val="000E59C1"/>
    <w:rsid w:val="000E6633"/>
    <w:rsid w:val="000E687A"/>
    <w:rsid w:val="000E689B"/>
    <w:rsid w:val="000E7074"/>
    <w:rsid w:val="000E726C"/>
    <w:rsid w:val="000E7646"/>
    <w:rsid w:val="000E7955"/>
    <w:rsid w:val="000E7AA5"/>
    <w:rsid w:val="000E7B59"/>
    <w:rsid w:val="000F01FF"/>
    <w:rsid w:val="000F0635"/>
    <w:rsid w:val="000F0994"/>
    <w:rsid w:val="000F1580"/>
    <w:rsid w:val="000F286D"/>
    <w:rsid w:val="000F2C9A"/>
    <w:rsid w:val="000F2F7E"/>
    <w:rsid w:val="000F3811"/>
    <w:rsid w:val="000F3D09"/>
    <w:rsid w:val="000F445A"/>
    <w:rsid w:val="000F4DB1"/>
    <w:rsid w:val="000F5603"/>
    <w:rsid w:val="000F585C"/>
    <w:rsid w:val="000F5C3D"/>
    <w:rsid w:val="000F5DC8"/>
    <w:rsid w:val="000F60F8"/>
    <w:rsid w:val="000F63F3"/>
    <w:rsid w:val="000F66EE"/>
    <w:rsid w:val="000F6F8F"/>
    <w:rsid w:val="000F749F"/>
    <w:rsid w:val="000F7BF5"/>
    <w:rsid w:val="000F7C81"/>
    <w:rsid w:val="000F7DF0"/>
    <w:rsid w:val="001003F3"/>
    <w:rsid w:val="00100554"/>
    <w:rsid w:val="001006BF"/>
    <w:rsid w:val="00101889"/>
    <w:rsid w:val="001020AB"/>
    <w:rsid w:val="00102208"/>
    <w:rsid w:val="001025E0"/>
    <w:rsid w:val="001029A0"/>
    <w:rsid w:val="00102A14"/>
    <w:rsid w:val="0010304D"/>
    <w:rsid w:val="00103565"/>
    <w:rsid w:val="00103671"/>
    <w:rsid w:val="00103EAD"/>
    <w:rsid w:val="00104353"/>
    <w:rsid w:val="001047C4"/>
    <w:rsid w:val="001047F6"/>
    <w:rsid w:val="001049E1"/>
    <w:rsid w:val="00105AF4"/>
    <w:rsid w:val="001061E1"/>
    <w:rsid w:val="00106299"/>
    <w:rsid w:val="0010630E"/>
    <w:rsid w:val="0010645B"/>
    <w:rsid w:val="00107B91"/>
    <w:rsid w:val="00107C27"/>
    <w:rsid w:val="00110002"/>
    <w:rsid w:val="001107AD"/>
    <w:rsid w:val="001109D0"/>
    <w:rsid w:val="00110B9D"/>
    <w:rsid w:val="00110DC1"/>
    <w:rsid w:val="00110F17"/>
    <w:rsid w:val="001111A4"/>
    <w:rsid w:val="001111AF"/>
    <w:rsid w:val="00111A76"/>
    <w:rsid w:val="00112621"/>
    <w:rsid w:val="00112789"/>
    <w:rsid w:val="001127F3"/>
    <w:rsid w:val="00112B28"/>
    <w:rsid w:val="00112BC1"/>
    <w:rsid w:val="00113172"/>
    <w:rsid w:val="0011328B"/>
    <w:rsid w:val="00113560"/>
    <w:rsid w:val="00113661"/>
    <w:rsid w:val="00113BBC"/>
    <w:rsid w:val="00114175"/>
    <w:rsid w:val="00114179"/>
    <w:rsid w:val="00114339"/>
    <w:rsid w:val="001144A8"/>
    <w:rsid w:val="00114E3A"/>
    <w:rsid w:val="00114EBB"/>
    <w:rsid w:val="00114F8C"/>
    <w:rsid w:val="00115339"/>
    <w:rsid w:val="001154CE"/>
    <w:rsid w:val="00115D6C"/>
    <w:rsid w:val="00115F37"/>
    <w:rsid w:val="001160DD"/>
    <w:rsid w:val="001163E3"/>
    <w:rsid w:val="001165EF"/>
    <w:rsid w:val="001176D8"/>
    <w:rsid w:val="00117B99"/>
    <w:rsid w:val="00117C17"/>
    <w:rsid w:val="00117E45"/>
    <w:rsid w:val="001201B5"/>
    <w:rsid w:val="0012033C"/>
    <w:rsid w:val="0012082C"/>
    <w:rsid w:val="00120EE3"/>
    <w:rsid w:val="00121793"/>
    <w:rsid w:val="00121B16"/>
    <w:rsid w:val="00121F56"/>
    <w:rsid w:val="0012234D"/>
    <w:rsid w:val="00123BBA"/>
    <w:rsid w:val="00123EBC"/>
    <w:rsid w:val="00124388"/>
    <w:rsid w:val="001245C6"/>
    <w:rsid w:val="001249CD"/>
    <w:rsid w:val="0012575D"/>
    <w:rsid w:val="00126106"/>
    <w:rsid w:val="00126CC1"/>
    <w:rsid w:val="00127296"/>
    <w:rsid w:val="00127802"/>
    <w:rsid w:val="00127E80"/>
    <w:rsid w:val="00127EF9"/>
    <w:rsid w:val="0013009B"/>
    <w:rsid w:val="0013012B"/>
    <w:rsid w:val="001303FA"/>
    <w:rsid w:val="001304ED"/>
    <w:rsid w:val="001306AD"/>
    <w:rsid w:val="00130D3B"/>
    <w:rsid w:val="00130E08"/>
    <w:rsid w:val="001311CA"/>
    <w:rsid w:val="00131714"/>
    <w:rsid w:val="0013198F"/>
    <w:rsid w:val="00131B77"/>
    <w:rsid w:val="00131C43"/>
    <w:rsid w:val="00132911"/>
    <w:rsid w:val="00132931"/>
    <w:rsid w:val="00132B0F"/>
    <w:rsid w:val="00133B36"/>
    <w:rsid w:val="00134274"/>
    <w:rsid w:val="001344C5"/>
    <w:rsid w:val="00134B33"/>
    <w:rsid w:val="00134C94"/>
    <w:rsid w:val="001361E8"/>
    <w:rsid w:val="00136ACF"/>
    <w:rsid w:val="00137DBA"/>
    <w:rsid w:val="0014087D"/>
    <w:rsid w:val="00141149"/>
    <w:rsid w:val="00141176"/>
    <w:rsid w:val="00141CC3"/>
    <w:rsid w:val="00141F42"/>
    <w:rsid w:val="00141F95"/>
    <w:rsid w:val="00142CE0"/>
    <w:rsid w:val="00142D11"/>
    <w:rsid w:val="00142E28"/>
    <w:rsid w:val="00142ED7"/>
    <w:rsid w:val="00144463"/>
    <w:rsid w:val="0014486B"/>
    <w:rsid w:val="001448B2"/>
    <w:rsid w:val="00144BA0"/>
    <w:rsid w:val="00144E5F"/>
    <w:rsid w:val="00145080"/>
    <w:rsid w:val="00145412"/>
    <w:rsid w:val="0014584E"/>
    <w:rsid w:val="001459B7"/>
    <w:rsid w:val="00145BBC"/>
    <w:rsid w:val="00145F5E"/>
    <w:rsid w:val="00146160"/>
    <w:rsid w:val="00146771"/>
    <w:rsid w:val="00146F4A"/>
    <w:rsid w:val="0014783E"/>
    <w:rsid w:val="001501F3"/>
    <w:rsid w:val="0015106F"/>
    <w:rsid w:val="00151871"/>
    <w:rsid w:val="001518C2"/>
    <w:rsid w:val="00151A02"/>
    <w:rsid w:val="00151F35"/>
    <w:rsid w:val="00151F9A"/>
    <w:rsid w:val="001522AD"/>
    <w:rsid w:val="0015230B"/>
    <w:rsid w:val="0015291E"/>
    <w:rsid w:val="0015301E"/>
    <w:rsid w:val="00153235"/>
    <w:rsid w:val="00153914"/>
    <w:rsid w:val="0015403C"/>
    <w:rsid w:val="00154531"/>
    <w:rsid w:val="0015574B"/>
    <w:rsid w:val="00155BA5"/>
    <w:rsid w:val="001562D2"/>
    <w:rsid w:val="00156EEC"/>
    <w:rsid w:val="0015741D"/>
    <w:rsid w:val="00157922"/>
    <w:rsid w:val="00157B24"/>
    <w:rsid w:val="00157DA3"/>
    <w:rsid w:val="001600B7"/>
    <w:rsid w:val="001602AB"/>
    <w:rsid w:val="001605C1"/>
    <w:rsid w:val="001606AA"/>
    <w:rsid w:val="001606BD"/>
    <w:rsid w:val="00160A68"/>
    <w:rsid w:val="00160C4F"/>
    <w:rsid w:val="001615F2"/>
    <w:rsid w:val="0016206C"/>
    <w:rsid w:val="0016273C"/>
    <w:rsid w:val="001627CB"/>
    <w:rsid w:val="00162A46"/>
    <w:rsid w:val="00162A49"/>
    <w:rsid w:val="00162E79"/>
    <w:rsid w:val="00164116"/>
    <w:rsid w:val="0016476A"/>
    <w:rsid w:val="001647F5"/>
    <w:rsid w:val="00164B5D"/>
    <w:rsid w:val="0016557B"/>
    <w:rsid w:val="00165B49"/>
    <w:rsid w:val="00165D63"/>
    <w:rsid w:val="001663ED"/>
    <w:rsid w:val="00166469"/>
    <w:rsid w:val="00166601"/>
    <w:rsid w:val="001668FC"/>
    <w:rsid w:val="00166B8F"/>
    <w:rsid w:val="00166C8D"/>
    <w:rsid w:val="00166D59"/>
    <w:rsid w:val="00166DD7"/>
    <w:rsid w:val="00166F33"/>
    <w:rsid w:val="00170147"/>
    <w:rsid w:val="00170CC1"/>
    <w:rsid w:val="00170E1D"/>
    <w:rsid w:val="00170F43"/>
    <w:rsid w:val="00171151"/>
    <w:rsid w:val="00171A1A"/>
    <w:rsid w:val="00171BB7"/>
    <w:rsid w:val="00171E5F"/>
    <w:rsid w:val="00172311"/>
    <w:rsid w:val="00172397"/>
    <w:rsid w:val="00172848"/>
    <w:rsid w:val="00172885"/>
    <w:rsid w:val="00173209"/>
    <w:rsid w:val="00173649"/>
    <w:rsid w:val="001738E1"/>
    <w:rsid w:val="00173BFC"/>
    <w:rsid w:val="001742F0"/>
    <w:rsid w:val="001742FF"/>
    <w:rsid w:val="00174FDC"/>
    <w:rsid w:val="00175364"/>
    <w:rsid w:val="0017562E"/>
    <w:rsid w:val="00176384"/>
    <w:rsid w:val="001768E6"/>
    <w:rsid w:val="00176DB7"/>
    <w:rsid w:val="00177263"/>
    <w:rsid w:val="001776DE"/>
    <w:rsid w:val="00177D44"/>
    <w:rsid w:val="00177D5D"/>
    <w:rsid w:val="00177D71"/>
    <w:rsid w:val="0018007F"/>
    <w:rsid w:val="00180317"/>
    <w:rsid w:val="001806B8"/>
    <w:rsid w:val="00180908"/>
    <w:rsid w:val="00180B9E"/>
    <w:rsid w:val="0018279E"/>
    <w:rsid w:val="00182E38"/>
    <w:rsid w:val="00183780"/>
    <w:rsid w:val="001839EB"/>
    <w:rsid w:val="00183A6E"/>
    <w:rsid w:val="00184077"/>
    <w:rsid w:val="001843CF"/>
    <w:rsid w:val="001848F9"/>
    <w:rsid w:val="00184ABE"/>
    <w:rsid w:val="00184EE6"/>
    <w:rsid w:val="0018596E"/>
    <w:rsid w:val="0018597A"/>
    <w:rsid w:val="00185B4A"/>
    <w:rsid w:val="00185B71"/>
    <w:rsid w:val="00185CFB"/>
    <w:rsid w:val="00186B2C"/>
    <w:rsid w:val="00187381"/>
    <w:rsid w:val="001873A4"/>
    <w:rsid w:val="0018778E"/>
    <w:rsid w:val="00187B23"/>
    <w:rsid w:val="00187CAF"/>
    <w:rsid w:val="001904AD"/>
    <w:rsid w:val="001905B4"/>
    <w:rsid w:val="0019134A"/>
    <w:rsid w:val="0019195D"/>
    <w:rsid w:val="00191B64"/>
    <w:rsid w:val="00191BFB"/>
    <w:rsid w:val="00192191"/>
    <w:rsid w:val="001928AA"/>
    <w:rsid w:val="00192BE3"/>
    <w:rsid w:val="00192FE6"/>
    <w:rsid w:val="0019360C"/>
    <w:rsid w:val="00193CBF"/>
    <w:rsid w:val="00193D5F"/>
    <w:rsid w:val="001944BE"/>
    <w:rsid w:val="00194681"/>
    <w:rsid w:val="00195069"/>
    <w:rsid w:val="0019510D"/>
    <w:rsid w:val="0019540D"/>
    <w:rsid w:val="00195BC6"/>
    <w:rsid w:val="00195D3E"/>
    <w:rsid w:val="0019619E"/>
    <w:rsid w:val="001961D4"/>
    <w:rsid w:val="0019676A"/>
    <w:rsid w:val="00196A4B"/>
    <w:rsid w:val="0019798F"/>
    <w:rsid w:val="00197ED8"/>
    <w:rsid w:val="001A0B10"/>
    <w:rsid w:val="001A0B30"/>
    <w:rsid w:val="001A121C"/>
    <w:rsid w:val="001A1606"/>
    <w:rsid w:val="001A16CA"/>
    <w:rsid w:val="001A1AD0"/>
    <w:rsid w:val="001A1D93"/>
    <w:rsid w:val="001A21CD"/>
    <w:rsid w:val="001A2208"/>
    <w:rsid w:val="001A264B"/>
    <w:rsid w:val="001A2A44"/>
    <w:rsid w:val="001A2B3C"/>
    <w:rsid w:val="001A2E14"/>
    <w:rsid w:val="001A31CC"/>
    <w:rsid w:val="001A3518"/>
    <w:rsid w:val="001A3DF8"/>
    <w:rsid w:val="001A4411"/>
    <w:rsid w:val="001A4A4E"/>
    <w:rsid w:val="001A550B"/>
    <w:rsid w:val="001A5C73"/>
    <w:rsid w:val="001A5FD5"/>
    <w:rsid w:val="001A6C62"/>
    <w:rsid w:val="001A72BA"/>
    <w:rsid w:val="001A7D91"/>
    <w:rsid w:val="001A7FD1"/>
    <w:rsid w:val="001B000D"/>
    <w:rsid w:val="001B019A"/>
    <w:rsid w:val="001B0A21"/>
    <w:rsid w:val="001B0BFD"/>
    <w:rsid w:val="001B0E4C"/>
    <w:rsid w:val="001B1221"/>
    <w:rsid w:val="001B192C"/>
    <w:rsid w:val="001B2088"/>
    <w:rsid w:val="001B36D0"/>
    <w:rsid w:val="001B44D1"/>
    <w:rsid w:val="001B4889"/>
    <w:rsid w:val="001B4D67"/>
    <w:rsid w:val="001B5E8E"/>
    <w:rsid w:val="001B632E"/>
    <w:rsid w:val="001B659E"/>
    <w:rsid w:val="001B692F"/>
    <w:rsid w:val="001C057C"/>
    <w:rsid w:val="001C0AD4"/>
    <w:rsid w:val="001C0E7F"/>
    <w:rsid w:val="001C1015"/>
    <w:rsid w:val="001C150B"/>
    <w:rsid w:val="001C2480"/>
    <w:rsid w:val="001C292E"/>
    <w:rsid w:val="001C2F39"/>
    <w:rsid w:val="001C34A8"/>
    <w:rsid w:val="001C36EB"/>
    <w:rsid w:val="001C38EB"/>
    <w:rsid w:val="001C3A22"/>
    <w:rsid w:val="001C3C05"/>
    <w:rsid w:val="001C4410"/>
    <w:rsid w:val="001C4612"/>
    <w:rsid w:val="001C4708"/>
    <w:rsid w:val="001C49FB"/>
    <w:rsid w:val="001C4B4E"/>
    <w:rsid w:val="001C50FB"/>
    <w:rsid w:val="001C5291"/>
    <w:rsid w:val="001C59B9"/>
    <w:rsid w:val="001C5E75"/>
    <w:rsid w:val="001C6E33"/>
    <w:rsid w:val="001C6EF3"/>
    <w:rsid w:val="001C799F"/>
    <w:rsid w:val="001C7D98"/>
    <w:rsid w:val="001C7EC4"/>
    <w:rsid w:val="001D01E7"/>
    <w:rsid w:val="001D0C40"/>
    <w:rsid w:val="001D0F16"/>
    <w:rsid w:val="001D109F"/>
    <w:rsid w:val="001D114A"/>
    <w:rsid w:val="001D1991"/>
    <w:rsid w:val="001D2139"/>
    <w:rsid w:val="001D28C2"/>
    <w:rsid w:val="001D2922"/>
    <w:rsid w:val="001D2C05"/>
    <w:rsid w:val="001D2DD7"/>
    <w:rsid w:val="001D35BE"/>
    <w:rsid w:val="001D407F"/>
    <w:rsid w:val="001D4B1C"/>
    <w:rsid w:val="001D4BB5"/>
    <w:rsid w:val="001D4EC5"/>
    <w:rsid w:val="001D5AB8"/>
    <w:rsid w:val="001D61DA"/>
    <w:rsid w:val="001D6416"/>
    <w:rsid w:val="001D69CE"/>
    <w:rsid w:val="001D6CA5"/>
    <w:rsid w:val="001D6D70"/>
    <w:rsid w:val="001D73F6"/>
    <w:rsid w:val="001D7BD5"/>
    <w:rsid w:val="001D7E4D"/>
    <w:rsid w:val="001E0CA4"/>
    <w:rsid w:val="001E13E2"/>
    <w:rsid w:val="001E17E8"/>
    <w:rsid w:val="001E1963"/>
    <w:rsid w:val="001E1FE2"/>
    <w:rsid w:val="001E2205"/>
    <w:rsid w:val="001E279C"/>
    <w:rsid w:val="001E295C"/>
    <w:rsid w:val="001E2A90"/>
    <w:rsid w:val="001E2E18"/>
    <w:rsid w:val="001E33FA"/>
    <w:rsid w:val="001E35B8"/>
    <w:rsid w:val="001E401E"/>
    <w:rsid w:val="001E40C2"/>
    <w:rsid w:val="001E4547"/>
    <w:rsid w:val="001E45C8"/>
    <w:rsid w:val="001E4B3E"/>
    <w:rsid w:val="001E4FFF"/>
    <w:rsid w:val="001E5336"/>
    <w:rsid w:val="001E563C"/>
    <w:rsid w:val="001E5A4B"/>
    <w:rsid w:val="001E6416"/>
    <w:rsid w:val="001E6435"/>
    <w:rsid w:val="001E6CBD"/>
    <w:rsid w:val="001E7263"/>
    <w:rsid w:val="001E74A4"/>
    <w:rsid w:val="001E7601"/>
    <w:rsid w:val="001E7A8E"/>
    <w:rsid w:val="001F0219"/>
    <w:rsid w:val="001F028A"/>
    <w:rsid w:val="001F038B"/>
    <w:rsid w:val="001F0E58"/>
    <w:rsid w:val="001F0EC5"/>
    <w:rsid w:val="001F0F39"/>
    <w:rsid w:val="001F150A"/>
    <w:rsid w:val="001F1CB6"/>
    <w:rsid w:val="001F29EA"/>
    <w:rsid w:val="001F2B96"/>
    <w:rsid w:val="001F2CE2"/>
    <w:rsid w:val="001F2FC5"/>
    <w:rsid w:val="001F3E7C"/>
    <w:rsid w:val="001F3F52"/>
    <w:rsid w:val="001F4B57"/>
    <w:rsid w:val="001F4EF5"/>
    <w:rsid w:val="001F50E4"/>
    <w:rsid w:val="001F59BA"/>
    <w:rsid w:val="001F5A03"/>
    <w:rsid w:val="001F5DB9"/>
    <w:rsid w:val="001F650A"/>
    <w:rsid w:val="001F68CA"/>
    <w:rsid w:val="001F7D52"/>
    <w:rsid w:val="00201E03"/>
    <w:rsid w:val="0020222C"/>
    <w:rsid w:val="00202607"/>
    <w:rsid w:val="00202695"/>
    <w:rsid w:val="00202B26"/>
    <w:rsid w:val="00202C9D"/>
    <w:rsid w:val="002034AF"/>
    <w:rsid w:val="0020365A"/>
    <w:rsid w:val="002037BE"/>
    <w:rsid w:val="002039D7"/>
    <w:rsid w:val="00203B0A"/>
    <w:rsid w:val="0020437B"/>
    <w:rsid w:val="00204607"/>
    <w:rsid w:val="00204D12"/>
    <w:rsid w:val="002051C6"/>
    <w:rsid w:val="00205226"/>
    <w:rsid w:val="00205892"/>
    <w:rsid w:val="00205AC3"/>
    <w:rsid w:val="00205ED7"/>
    <w:rsid w:val="002060C0"/>
    <w:rsid w:val="00206309"/>
    <w:rsid w:val="00206431"/>
    <w:rsid w:val="00206524"/>
    <w:rsid w:val="0020653E"/>
    <w:rsid w:val="002068EC"/>
    <w:rsid w:val="00210B82"/>
    <w:rsid w:val="00210FF8"/>
    <w:rsid w:val="0021100C"/>
    <w:rsid w:val="002111B9"/>
    <w:rsid w:val="00211352"/>
    <w:rsid w:val="0021137C"/>
    <w:rsid w:val="0021188A"/>
    <w:rsid w:val="00211AB3"/>
    <w:rsid w:val="00211B49"/>
    <w:rsid w:val="00211D3E"/>
    <w:rsid w:val="00211DBE"/>
    <w:rsid w:val="00212306"/>
    <w:rsid w:val="002131DF"/>
    <w:rsid w:val="0021359C"/>
    <w:rsid w:val="00213A39"/>
    <w:rsid w:val="00213AC3"/>
    <w:rsid w:val="00213E21"/>
    <w:rsid w:val="0021412A"/>
    <w:rsid w:val="002145FE"/>
    <w:rsid w:val="0021460B"/>
    <w:rsid w:val="0021494F"/>
    <w:rsid w:val="002149EE"/>
    <w:rsid w:val="00214D8C"/>
    <w:rsid w:val="00214EE3"/>
    <w:rsid w:val="002151D7"/>
    <w:rsid w:val="00216022"/>
    <w:rsid w:val="00216080"/>
    <w:rsid w:val="002163EC"/>
    <w:rsid w:val="00216BD5"/>
    <w:rsid w:val="00217B7E"/>
    <w:rsid w:val="002203C3"/>
    <w:rsid w:val="00220555"/>
    <w:rsid w:val="002209F1"/>
    <w:rsid w:val="00220F2E"/>
    <w:rsid w:val="00221529"/>
    <w:rsid w:val="0022191E"/>
    <w:rsid w:val="002219EC"/>
    <w:rsid w:val="00221F20"/>
    <w:rsid w:val="00221F9B"/>
    <w:rsid w:val="00222169"/>
    <w:rsid w:val="002222FD"/>
    <w:rsid w:val="002224E5"/>
    <w:rsid w:val="002224EF"/>
    <w:rsid w:val="00222A1F"/>
    <w:rsid w:val="00222B04"/>
    <w:rsid w:val="00222C05"/>
    <w:rsid w:val="0022304E"/>
    <w:rsid w:val="0022444E"/>
    <w:rsid w:val="0022446D"/>
    <w:rsid w:val="00224470"/>
    <w:rsid w:val="00225067"/>
    <w:rsid w:val="002259A0"/>
    <w:rsid w:val="00225C7B"/>
    <w:rsid w:val="00225EC5"/>
    <w:rsid w:val="00226CFB"/>
    <w:rsid w:val="00226FC4"/>
    <w:rsid w:val="002271B0"/>
    <w:rsid w:val="002278A4"/>
    <w:rsid w:val="002301F2"/>
    <w:rsid w:val="002306CC"/>
    <w:rsid w:val="002307F2"/>
    <w:rsid w:val="00230A63"/>
    <w:rsid w:val="00230E1F"/>
    <w:rsid w:val="002315F0"/>
    <w:rsid w:val="002317BC"/>
    <w:rsid w:val="00232132"/>
    <w:rsid w:val="002322B2"/>
    <w:rsid w:val="00232869"/>
    <w:rsid w:val="0023304A"/>
    <w:rsid w:val="00233300"/>
    <w:rsid w:val="00233554"/>
    <w:rsid w:val="002335DA"/>
    <w:rsid w:val="00233E76"/>
    <w:rsid w:val="00233F8A"/>
    <w:rsid w:val="0023415E"/>
    <w:rsid w:val="0023417D"/>
    <w:rsid w:val="002343AE"/>
    <w:rsid w:val="00234C04"/>
    <w:rsid w:val="00234EFB"/>
    <w:rsid w:val="00235470"/>
    <w:rsid w:val="00235EBF"/>
    <w:rsid w:val="0023615A"/>
    <w:rsid w:val="00236BD3"/>
    <w:rsid w:val="0023721C"/>
    <w:rsid w:val="002377C9"/>
    <w:rsid w:val="002404D8"/>
    <w:rsid w:val="002405A8"/>
    <w:rsid w:val="00240C1B"/>
    <w:rsid w:val="00240D8C"/>
    <w:rsid w:val="00242640"/>
    <w:rsid w:val="002439E3"/>
    <w:rsid w:val="00243BE6"/>
    <w:rsid w:val="00243E38"/>
    <w:rsid w:val="00243EF8"/>
    <w:rsid w:val="0024450D"/>
    <w:rsid w:val="00244830"/>
    <w:rsid w:val="002448CE"/>
    <w:rsid w:val="00244D09"/>
    <w:rsid w:val="002453CF"/>
    <w:rsid w:val="00245579"/>
    <w:rsid w:val="00245620"/>
    <w:rsid w:val="00245713"/>
    <w:rsid w:val="002457FE"/>
    <w:rsid w:val="0024589A"/>
    <w:rsid w:val="002458F8"/>
    <w:rsid w:val="002458FA"/>
    <w:rsid w:val="00245A33"/>
    <w:rsid w:val="00246203"/>
    <w:rsid w:val="00246506"/>
    <w:rsid w:val="002466A8"/>
    <w:rsid w:val="00246B28"/>
    <w:rsid w:val="00246BFE"/>
    <w:rsid w:val="0024723C"/>
    <w:rsid w:val="00247442"/>
    <w:rsid w:val="002475E7"/>
    <w:rsid w:val="00247B5E"/>
    <w:rsid w:val="00247FDC"/>
    <w:rsid w:val="00250126"/>
    <w:rsid w:val="002506C3"/>
    <w:rsid w:val="0025080D"/>
    <w:rsid w:val="002519BA"/>
    <w:rsid w:val="0025239C"/>
    <w:rsid w:val="00252470"/>
    <w:rsid w:val="002529E7"/>
    <w:rsid w:val="00253026"/>
    <w:rsid w:val="002533E6"/>
    <w:rsid w:val="00253707"/>
    <w:rsid w:val="0025394B"/>
    <w:rsid w:val="002541CF"/>
    <w:rsid w:val="0025425D"/>
    <w:rsid w:val="0025441C"/>
    <w:rsid w:val="00254A44"/>
    <w:rsid w:val="00255C9F"/>
    <w:rsid w:val="00256261"/>
    <w:rsid w:val="0025653E"/>
    <w:rsid w:val="00256722"/>
    <w:rsid w:val="00256E30"/>
    <w:rsid w:val="00256E7C"/>
    <w:rsid w:val="002575C2"/>
    <w:rsid w:val="0025783E"/>
    <w:rsid w:val="002600EA"/>
    <w:rsid w:val="00260243"/>
    <w:rsid w:val="00260407"/>
    <w:rsid w:val="00260980"/>
    <w:rsid w:val="00260BD9"/>
    <w:rsid w:val="00260F6E"/>
    <w:rsid w:val="002616EB"/>
    <w:rsid w:val="00261954"/>
    <w:rsid w:val="00261C08"/>
    <w:rsid w:val="00262110"/>
    <w:rsid w:val="00262744"/>
    <w:rsid w:val="00262831"/>
    <w:rsid w:val="00262D65"/>
    <w:rsid w:val="00262F5E"/>
    <w:rsid w:val="00263093"/>
    <w:rsid w:val="002636B8"/>
    <w:rsid w:val="00263C0D"/>
    <w:rsid w:val="002658B2"/>
    <w:rsid w:val="0026628C"/>
    <w:rsid w:val="00266497"/>
    <w:rsid w:val="00266640"/>
    <w:rsid w:val="00266B03"/>
    <w:rsid w:val="002672E0"/>
    <w:rsid w:val="002675E4"/>
    <w:rsid w:val="002705B0"/>
    <w:rsid w:val="002705BB"/>
    <w:rsid w:val="00270AB4"/>
    <w:rsid w:val="00270B49"/>
    <w:rsid w:val="0027131A"/>
    <w:rsid w:val="00271A13"/>
    <w:rsid w:val="00271D47"/>
    <w:rsid w:val="00271D81"/>
    <w:rsid w:val="00272473"/>
    <w:rsid w:val="002726D3"/>
    <w:rsid w:val="00272E3E"/>
    <w:rsid w:val="00273303"/>
    <w:rsid w:val="00273C14"/>
    <w:rsid w:val="00274220"/>
    <w:rsid w:val="0027453E"/>
    <w:rsid w:val="0027463E"/>
    <w:rsid w:val="00274A4D"/>
    <w:rsid w:val="00274E5A"/>
    <w:rsid w:val="00274E87"/>
    <w:rsid w:val="00275220"/>
    <w:rsid w:val="00275289"/>
    <w:rsid w:val="002753A6"/>
    <w:rsid w:val="002754FA"/>
    <w:rsid w:val="0027564B"/>
    <w:rsid w:val="002757A1"/>
    <w:rsid w:val="002759BE"/>
    <w:rsid w:val="00275C48"/>
    <w:rsid w:val="00275C8A"/>
    <w:rsid w:val="00276647"/>
    <w:rsid w:val="00276CD6"/>
    <w:rsid w:val="0027756A"/>
    <w:rsid w:val="0027761E"/>
    <w:rsid w:val="002778A6"/>
    <w:rsid w:val="00277BCC"/>
    <w:rsid w:val="00277C73"/>
    <w:rsid w:val="0028132E"/>
    <w:rsid w:val="00281B0D"/>
    <w:rsid w:val="00281D13"/>
    <w:rsid w:val="00281D1D"/>
    <w:rsid w:val="00281D80"/>
    <w:rsid w:val="002823C1"/>
    <w:rsid w:val="0028245A"/>
    <w:rsid w:val="00282583"/>
    <w:rsid w:val="00282B3C"/>
    <w:rsid w:val="00282BBE"/>
    <w:rsid w:val="00283070"/>
    <w:rsid w:val="002833C9"/>
    <w:rsid w:val="002834C5"/>
    <w:rsid w:val="0028398F"/>
    <w:rsid w:val="00283FED"/>
    <w:rsid w:val="002841B3"/>
    <w:rsid w:val="002841FD"/>
    <w:rsid w:val="0028421E"/>
    <w:rsid w:val="002845A2"/>
    <w:rsid w:val="002846C7"/>
    <w:rsid w:val="00284942"/>
    <w:rsid w:val="00284B01"/>
    <w:rsid w:val="00285DA0"/>
    <w:rsid w:val="00285FBE"/>
    <w:rsid w:val="00286259"/>
    <w:rsid w:val="00286ABE"/>
    <w:rsid w:val="00290D32"/>
    <w:rsid w:val="00290FFE"/>
    <w:rsid w:val="002912DE"/>
    <w:rsid w:val="00291691"/>
    <w:rsid w:val="00291B76"/>
    <w:rsid w:val="00291CBA"/>
    <w:rsid w:val="00291FD0"/>
    <w:rsid w:val="002921E9"/>
    <w:rsid w:val="00292A87"/>
    <w:rsid w:val="00293587"/>
    <w:rsid w:val="00293E7D"/>
    <w:rsid w:val="00294E7E"/>
    <w:rsid w:val="00294ED8"/>
    <w:rsid w:val="002953DE"/>
    <w:rsid w:val="00295484"/>
    <w:rsid w:val="00295933"/>
    <w:rsid w:val="00295F9C"/>
    <w:rsid w:val="002962E8"/>
    <w:rsid w:val="00296BB9"/>
    <w:rsid w:val="00297AB1"/>
    <w:rsid w:val="00297AE9"/>
    <w:rsid w:val="002A00F4"/>
    <w:rsid w:val="002A0A01"/>
    <w:rsid w:val="002A1A2E"/>
    <w:rsid w:val="002A2482"/>
    <w:rsid w:val="002A2A53"/>
    <w:rsid w:val="002A2E74"/>
    <w:rsid w:val="002A333B"/>
    <w:rsid w:val="002A349B"/>
    <w:rsid w:val="002A357D"/>
    <w:rsid w:val="002A35C7"/>
    <w:rsid w:val="002A35D8"/>
    <w:rsid w:val="002A3642"/>
    <w:rsid w:val="002A45E7"/>
    <w:rsid w:val="002A46AD"/>
    <w:rsid w:val="002A4995"/>
    <w:rsid w:val="002A49C6"/>
    <w:rsid w:val="002A4CDF"/>
    <w:rsid w:val="002A50DB"/>
    <w:rsid w:val="002A51D8"/>
    <w:rsid w:val="002A535C"/>
    <w:rsid w:val="002A568C"/>
    <w:rsid w:val="002A5AF9"/>
    <w:rsid w:val="002A6FB3"/>
    <w:rsid w:val="002A7231"/>
    <w:rsid w:val="002A733F"/>
    <w:rsid w:val="002A7672"/>
    <w:rsid w:val="002A7714"/>
    <w:rsid w:val="002A7FE2"/>
    <w:rsid w:val="002B0D6F"/>
    <w:rsid w:val="002B1305"/>
    <w:rsid w:val="002B18B4"/>
    <w:rsid w:val="002B28CE"/>
    <w:rsid w:val="002B2B08"/>
    <w:rsid w:val="002B2D3E"/>
    <w:rsid w:val="002B2E97"/>
    <w:rsid w:val="002B3A7F"/>
    <w:rsid w:val="002B3E83"/>
    <w:rsid w:val="002B400C"/>
    <w:rsid w:val="002B5974"/>
    <w:rsid w:val="002B60DD"/>
    <w:rsid w:val="002B6698"/>
    <w:rsid w:val="002B6E38"/>
    <w:rsid w:val="002B716B"/>
    <w:rsid w:val="002C00F9"/>
    <w:rsid w:val="002C02BF"/>
    <w:rsid w:val="002C084F"/>
    <w:rsid w:val="002C0914"/>
    <w:rsid w:val="002C1CB9"/>
    <w:rsid w:val="002C1F88"/>
    <w:rsid w:val="002C2746"/>
    <w:rsid w:val="002C2DF2"/>
    <w:rsid w:val="002C3886"/>
    <w:rsid w:val="002C3A1D"/>
    <w:rsid w:val="002C3B37"/>
    <w:rsid w:val="002C4109"/>
    <w:rsid w:val="002C47E7"/>
    <w:rsid w:val="002C497B"/>
    <w:rsid w:val="002C4C6C"/>
    <w:rsid w:val="002C4EFE"/>
    <w:rsid w:val="002C5617"/>
    <w:rsid w:val="002C59C7"/>
    <w:rsid w:val="002C5AC3"/>
    <w:rsid w:val="002C5D0A"/>
    <w:rsid w:val="002C67AB"/>
    <w:rsid w:val="002C6BE6"/>
    <w:rsid w:val="002C6CC3"/>
    <w:rsid w:val="002C6DA1"/>
    <w:rsid w:val="002C6F0B"/>
    <w:rsid w:val="002C718C"/>
    <w:rsid w:val="002C7225"/>
    <w:rsid w:val="002C7A9D"/>
    <w:rsid w:val="002C7D83"/>
    <w:rsid w:val="002C7E5E"/>
    <w:rsid w:val="002C7F0E"/>
    <w:rsid w:val="002D0064"/>
    <w:rsid w:val="002D0167"/>
    <w:rsid w:val="002D0469"/>
    <w:rsid w:val="002D0554"/>
    <w:rsid w:val="002D1175"/>
    <w:rsid w:val="002D1212"/>
    <w:rsid w:val="002D21D2"/>
    <w:rsid w:val="002D26CA"/>
    <w:rsid w:val="002D2CC6"/>
    <w:rsid w:val="002D2FC7"/>
    <w:rsid w:val="002D3259"/>
    <w:rsid w:val="002D3929"/>
    <w:rsid w:val="002D5E25"/>
    <w:rsid w:val="002D6402"/>
    <w:rsid w:val="002D659B"/>
    <w:rsid w:val="002D67F1"/>
    <w:rsid w:val="002D7154"/>
    <w:rsid w:val="002D7580"/>
    <w:rsid w:val="002D77ED"/>
    <w:rsid w:val="002E1FFF"/>
    <w:rsid w:val="002E25EA"/>
    <w:rsid w:val="002E2958"/>
    <w:rsid w:val="002E3126"/>
    <w:rsid w:val="002E38B6"/>
    <w:rsid w:val="002E3A69"/>
    <w:rsid w:val="002E4213"/>
    <w:rsid w:val="002E461B"/>
    <w:rsid w:val="002E4C03"/>
    <w:rsid w:val="002E5E3F"/>
    <w:rsid w:val="002E6600"/>
    <w:rsid w:val="002E762D"/>
    <w:rsid w:val="002F0CBB"/>
    <w:rsid w:val="002F10E6"/>
    <w:rsid w:val="002F14C0"/>
    <w:rsid w:val="002F1B5E"/>
    <w:rsid w:val="002F1D32"/>
    <w:rsid w:val="002F2422"/>
    <w:rsid w:val="002F2916"/>
    <w:rsid w:val="002F2F0F"/>
    <w:rsid w:val="002F2FCB"/>
    <w:rsid w:val="002F33D0"/>
    <w:rsid w:val="002F3A9C"/>
    <w:rsid w:val="002F3D70"/>
    <w:rsid w:val="002F3DB5"/>
    <w:rsid w:val="002F56EF"/>
    <w:rsid w:val="002F5891"/>
    <w:rsid w:val="002F5E2D"/>
    <w:rsid w:val="002F625E"/>
    <w:rsid w:val="002F64AE"/>
    <w:rsid w:val="002F6DC1"/>
    <w:rsid w:val="002F6E48"/>
    <w:rsid w:val="002F6F59"/>
    <w:rsid w:val="002F7288"/>
    <w:rsid w:val="002F7887"/>
    <w:rsid w:val="002F790F"/>
    <w:rsid w:val="002F7947"/>
    <w:rsid w:val="002F7BE8"/>
    <w:rsid w:val="00300B89"/>
    <w:rsid w:val="00300F79"/>
    <w:rsid w:val="003010D6"/>
    <w:rsid w:val="00301230"/>
    <w:rsid w:val="003017B6"/>
    <w:rsid w:val="00302423"/>
    <w:rsid w:val="00302593"/>
    <w:rsid w:val="00302D06"/>
    <w:rsid w:val="00302E64"/>
    <w:rsid w:val="00302EFF"/>
    <w:rsid w:val="003036BC"/>
    <w:rsid w:val="00303866"/>
    <w:rsid w:val="003039F9"/>
    <w:rsid w:val="00303D91"/>
    <w:rsid w:val="00303EBF"/>
    <w:rsid w:val="003042D4"/>
    <w:rsid w:val="00304498"/>
    <w:rsid w:val="003047F0"/>
    <w:rsid w:val="00304FBE"/>
    <w:rsid w:val="003050BF"/>
    <w:rsid w:val="0030514A"/>
    <w:rsid w:val="0030519E"/>
    <w:rsid w:val="00305BB9"/>
    <w:rsid w:val="00306209"/>
    <w:rsid w:val="00306FB8"/>
    <w:rsid w:val="00307009"/>
    <w:rsid w:val="00307241"/>
    <w:rsid w:val="0030756E"/>
    <w:rsid w:val="00307BB2"/>
    <w:rsid w:val="00307D93"/>
    <w:rsid w:val="003103BF"/>
    <w:rsid w:val="00310536"/>
    <w:rsid w:val="00310E9C"/>
    <w:rsid w:val="00310F37"/>
    <w:rsid w:val="003114DB"/>
    <w:rsid w:val="00311595"/>
    <w:rsid w:val="0031192B"/>
    <w:rsid w:val="003119CB"/>
    <w:rsid w:val="00311F5F"/>
    <w:rsid w:val="00312140"/>
    <w:rsid w:val="0031294D"/>
    <w:rsid w:val="00312D26"/>
    <w:rsid w:val="0031328F"/>
    <w:rsid w:val="00313D69"/>
    <w:rsid w:val="00313E93"/>
    <w:rsid w:val="003141FC"/>
    <w:rsid w:val="003141FE"/>
    <w:rsid w:val="003145F6"/>
    <w:rsid w:val="00314FB3"/>
    <w:rsid w:val="0031525F"/>
    <w:rsid w:val="00315E00"/>
    <w:rsid w:val="0031602D"/>
    <w:rsid w:val="003167EA"/>
    <w:rsid w:val="0031686E"/>
    <w:rsid w:val="00316939"/>
    <w:rsid w:val="00316AE8"/>
    <w:rsid w:val="00316C1C"/>
    <w:rsid w:val="00317231"/>
    <w:rsid w:val="00317800"/>
    <w:rsid w:val="0031785D"/>
    <w:rsid w:val="00317C17"/>
    <w:rsid w:val="00320A31"/>
    <w:rsid w:val="00320A3A"/>
    <w:rsid w:val="00320C05"/>
    <w:rsid w:val="00320E5E"/>
    <w:rsid w:val="00320F66"/>
    <w:rsid w:val="00321CFD"/>
    <w:rsid w:val="00322C08"/>
    <w:rsid w:val="00323279"/>
    <w:rsid w:val="00323606"/>
    <w:rsid w:val="00323D3E"/>
    <w:rsid w:val="00324367"/>
    <w:rsid w:val="00324684"/>
    <w:rsid w:val="00325945"/>
    <w:rsid w:val="00325B29"/>
    <w:rsid w:val="00325B31"/>
    <w:rsid w:val="00325FB5"/>
    <w:rsid w:val="00326421"/>
    <w:rsid w:val="0032663C"/>
    <w:rsid w:val="00326D0F"/>
    <w:rsid w:val="00326DAC"/>
    <w:rsid w:val="0032718F"/>
    <w:rsid w:val="00327604"/>
    <w:rsid w:val="003277D8"/>
    <w:rsid w:val="00327B6E"/>
    <w:rsid w:val="00327BC0"/>
    <w:rsid w:val="0033082B"/>
    <w:rsid w:val="00330ECD"/>
    <w:rsid w:val="00330F2E"/>
    <w:rsid w:val="00331C3D"/>
    <w:rsid w:val="003324E6"/>
    <w:rsid w:val="003331FE"/>
    <w:rsid w:val="00333822"/>
    <w:rsid w:val="00333A3B"/>
    <w:rsid w:val="0033467B"/>
    <w:rsid w:val="003349EE"/>
    <w:rsid w:val="00334D68"/>
    <w:rsid w:val="0033503E"/>
    <w:rsid w:val="003351DB"/>
    <w:rsid w:val="0033549E"/>
    <w:rsid w:val="003355CB"/>
    <w:rsid w:val="00335C9B"/>
    <w:rsid w:val="003367D2"/>
    <w:rsid w:val="00337548"/>
    <w:rsid w:val="003375BA"/>
    <w:rsid w:val="00337679"/>
    <w:rsid w:val="00337A4C"/>
    <w:rsid w:val="00337A9F"/>
    <w:rsid w:val="00337DCC"/>
    <w:rsid w:val="00340117"/>
    <w:rsid w:val="00340155"/>
    <w:rsid w:val="0034038A"/>
    <w:rsid w:val="00340B9C"/>
    <w:rsid w:val="00341319"/>
    <w:rsid w:val="00341800"/>
    <w:rsid w:val="00341C04"/>
    <w:rsid w:val="00342102"/>
    <w:rsid w:val="0034228A"/>
    <w:rsid w:val="00342FCB"/>
    <w:rsid w:val="0034343C"/>
    <w:rsid w:val="003435A3"/>
    <w:rsid w:val="00343C0E"/>
    <w:rsid w:val="003449C1"/>
    <w:rsid w:val="00344C5C"/>
    <w:rsid w:val="00344DA3"/>
    <w:rsid w:val="00345AEC"/>
    <w:rsid w:val="00345E28"/>
    <w:rsid w:val="00345EDA"/>
    <w:rsid w:val="00345EF8"/>
    <w:rsid w:val="00345F2B"/>
    <w:rsid w:val="00346068"/>
    <w:rsid w:val="003461AD"/>
    <w:rsid w:val="00346559"/>
    <w:rsid w:val="00346978"/>
    <w:rsid w:val="003474DD"/>
    <w:rsid w:val="003476F3"/>
    <w:rsid w:val="00347895"/>
    <w:rsid w:val="00347988"/>
    <w:rsid w:val="00347B98"/>
    <w:rsid w:val="00350061"/>
    <w:rsid w:val="00350138"/>
    <w:rsid w:val="0035072B"/>
    <w:rsid w:val="00350994"/>
    <w:rsid w:val="00350ADA"/>
    <w:rsid w:val="0035111B"/>
    <w:rsid w:val="00351249"/>
    <w:rsid w:val="003513EC"/>
    <w:rsid w:val="003518A2"/>
    <w:rsid w:val="003519A9"/>
    <w:rsid w:val="00351DA6"/>
    <w:rsid w:val="003523E2"/>
    <w:rsid w:val="00352714"/>
    <w:rsid w:val="0035274B"/>
    <w:rsid w:val="00352980"/>
    <w:rsid w:val="003529AC"/>
    <w:rsid w:val="00352F15"/>
    <w:rsid w:val="003530F5"/>
    <w:rsid w:val="0035312C"/>
    <w:rsid w:val="00353201"/>
    <w:rsid w:val="0035325B"/>
    <w:rsid w:val="0035325C"/>
    <w:rsid w:val="00353780"/>
    <w:rsid w:val="003539D1"/>
    <w:rsid w:val="003541C6"/>
    <w:rsid w:val="00354271"/>
    <w:rsid w:val="00354A12"/>
    <w:rsid w:val="00354EAE"/>
    <w:rsid w:val="003550B3"/>
    <w:rsid w:val="003554B6"/>
    <w:rsid w:val="003555AA"/>
    <w:rsid w:val="003560FE"/>
    <w:rsid w:val="00356312"/>
    <w:rsid w:val="00356DCF"/>
    <w:rsid w:val="00357424"/>
    <w:rsid w:val="00357A9B"/>
    <w:rsid w:val="00360422"/>
    <w:rsid w:val="0036085D"/>
    <w:rsid w:val="00360C84"/>
    <w:rsid w:val="00361757"/>
    <w:rsid w:val="00361BBD"/>
    <w:rsid w:val="00362450"/>
    <w:rsid w:val="0036261D"/>
    <w:rsid w:val="00362D94"/>
    <w:rsid w:val="00363018"/>
    <w:rsid w:val="003635F1"/>
    <w:rsid w:val="0036372A"/>
    <w:rsid w:val="003639EC"/>
    <w:rsid w:val="00363DEE"/>
    <w:rsid w:val="00364383"/>
    <w:rsid w:val="003644D5"/>
    <w:rsid w:val="0036497F"/>
    <w:rsid w:val="00364CC4"/>
    <w:rsid w:val="00364E4E"/>
    <w:rsid w:val="003655A9"/>
    <w:rsid w:val="00365BED"/>
    <w:rsid w:val="0036605D"/>
    <w:rsid w:val="003661C7"/>
    <w:rsid w:val="00366A4C"/>
    <w:rsid w:val="00366E13"/>
    <w:rsid w:val="00367A2F"/>
    <w:rsid w:val="00367AE4"/>
    <w:rsid w:val="00370D36"/>
    <w:rsid w:val="003710FF"/>
    <w:rsid w:val="003712A6"/>
    <w:rsid w:val="0037134B"/>
    <w:rsid w:val="00371BE2"/>
    <w:rsid w:val="00371D04"/>
    <w:rsid w:val="00372847"/>
    <w:rsid w:val="00372C55"/>
    <w:rsid w:val="00372CDD"/>
    <w:rsid w:val="00373034"/>
    <w:rsid w:val="00373296"/>
    <w:rsid w:val="0037342E"/>
    <w:rsid w:val="003739C7"/>
    <w:rsid w:val="00373D19"/>
    <w:rsid w:val="003759BE"/>
    <w:rsid w:val="003765EB"/>
    <w:rsid w:val="00376CBE"/>
    <w:rsid w:val="00376DA8"/>
    <w:rsid w:val="00377555"/>
    <w:rsid w:val="00377B23"/>
    <w:rsid w:val="00377D7D"/>
    <w:rsid w:val="00377DF7"/>
    <w:rsid w:val="00380B43"/>
    <w:rsid w:val="00380F7E"/>
    <w:rsid w:val="00381129"/>
    <w:rsid w:val="003812C3"/>
    <w:rsid w:val="003815AB"/>
    <w:rsid w:val="00381669"/>
    <w:rsid w:val="00381FD1"/>
    <w:rsid w:val="00382244"/>
    <w:rsid w:val="00382427"/>
    <w:rsid w:val="00382AA0"/>
    <w:rsid w:val="00382AB2"/>
    <w:rsid w:val="00383B64"/>
    <w:rsid w:val="00383C4D"/>
    <w:rsid w:val="00383D8E"/>
    <w:rsid w:val="00383E4A"/>
    <w:rsid w:val="00384D27"/>
    <w:rsid w:val="00384D7A"/>
    <w:rsid w:val="003856E8"/>
    <w:rsid w:val="00386D02"/>
    <w:rsid w:val="00386F99"/>
    <w:rsid w:val="00387EB4"/>
    <w:rsid w:val="003901D7"/>
    <w:rsid w:val="00390349"/>
    <w:rsid w:val="00390A66"/>
    <w:rsid w:val="00390C0F"/>
    <w:rsid w:val="00391938"/>
    <w:rsid w:val="00392E4B"/>
    <w:rsid w:val="00393408"/>
    <w:rsid w:val="003934A3"/>
    <w:rsid w:val="00393AC3"/>
    <w:rsid w:val="00393C7B"/>
    <w:rsid w:val="00394196"/>
    <w:rsid w:val="00394CF6"/>
    <w:rsid w:val="00394D8B"/>
    <w:rsid w:val="003957C0"/>
    <w:rsid w:val="00395B19"/>
    <w:rsid w:val="00395F98"/>
    <w:rsid w:val="00396336"/>
    <w:rsid w:val="00396EFB"/>
    <w:rsid w:val="003974C1"/>
    <w:rsid w:val="003976DC"/>
    <w:rsid w:val="00397714"/>
    <w:rsid w:val="0039775D"/>
    <w:rsid w:val="00397791"/>
    <w:rsid w:val="00397B21"/>
    <w:rsid w:val="00397C24"/>
    <w:rsid w:val="00397E56"/>
    <w:rsid w:val="00397F67"/>
    <w:rsid w:val="00397F8C"/>
    <w:rsid w:val="003A099E"/>
    <w:rsid w:val="003A0D74"/>
    <w:rsid w:val="003A0E23"/>
    <w:rsid w:val="003A1016"/>
    <w:rsid w:val="003A1516"/>
    <w:rsid w:val="003A1A60"/>
    <w:rsid w:val="003A1CE2"/>
    <w:rsid w:val="003A1D26"/>
    <w:rsid w:val="003A1DE2"/>
    <w:rsid w:val="003A1EB1"/>
    <w:rsid w:val="003A22BE"/>
    <w:rsid w:val="003A2332"/>
    <w:rsid w:val="003A24A3"/>
    <w:rsid w:val="003A2561"/>
    <w:rsid w:val="003A2FAF"/>
    <w:rsid w:val="003A3175"/>
    <w:rsid w:val="003A3E56"/>
    <w:rsid w:val="003A4636"/>
    <w:rsid w:val="003A52C8"/>
    <w:rsid w:val="003A5840"/>
    <w:rsid w:val="003A6199"/>
    <w:rsid w:val="003A6229"/>
    <w:rsid w:val="003A629D"/>
    <w:rsid w:val="003A630D"/>
    <w:rsid w:val="003A68B9"/>
    <w:rsid w:val="003A762B"/>
    <w:rsid w:val="003A7732"/>
    <w:rsid w:val="003A7992"/>
    <w:rsid w:val="003B06A4"/>
    <w:rsid w:val="003B0A30"/>
    <w:rsid w:val="003B0FF7"/>
    <w:rsid w:val="003B122E"/>
    <w:rsid w:val="003B1C16"/>
    <w:rsid w:val="003B1EC0"/>
    <w:rsid w:val="003B2640"/>
    <w:rsid w:val="003B2AB4"/>
    <w:rsid w:val="003B2C10"/>
    <w:rsid w:val="003B2C30"/>
    <w:rsid w:val="003B2C34"/>
    <w:rsid w:val="003B2EF0"/>
    <w:rsid w:val="003B32AD"/>
    <w:rsid w:val="003B3350"/>
    <w:rsid w:val="003B3607"/>
    <w:rsid w:val="003B3BF2"/>
    <w:rsid w:val="003B3CD9"/>
    <w:rsid w:val="003B3E0D"/>
    <w:rsid w:val="003B44B6"/>
    <w:rsid w:val="003B44D3"/>
    <w:rsid w:val="003B480B"/>
    <w:rsid w:val="003B5102"/>
    <w:rsid w:val="003B54DC"/>
    <w:rsid w:val="003B5892"/>
    <w:rsid w:val="003B5C9D"/>
    <w:rsid w:val="003B5E93"/>
    <w:rsid w:val="003B617E"/>
    <w:rsid w:val="003B620D"/>
    <w:rsid w:val="003B6F70"/>
    <w:rsid w:val="003B7392"/>
    <w:rsid w:val="003C0A39"/>
    <w:rsid w:val="003C0B07"/>
    <w:rsid w:val="003C1384"/>
    <w:rsid w:val="003C157A"/>
    <w:rsid w:val="003C2E39"/>
    <w:rsid w:val="003C3226"/>
    <w:rsid w:val="003C3446"/>
    <w:rsid w:val="003C3B50"/>
    <w:rsid w:val="003C3B8E"/>
    <w:rsid w:val="003C3EA1"/>
    <w:rsid w:val="003C4468"/>
    <w:rsid w:val="003C47CB"/>
    <w:rsid w:val="003C4A53"/>
    <w:rsid w:val="003C4D07"/>
    <w:rsid w:val="003C514B"/>
    <w:rsid w:val="003C56BB"/>
    <w:rsid w:val="003C5D36"/>
    <w:rsid w:val="003C5F8C"/>
    <w:rsid w:val="003C6032"/>
    <w:rsid w:val="003C679B"/>
    <w:rsid w:val="003C6BAF"/>
    <w:rsid w:val="003C762C"/>
    <w:rsid w:val="003D06B8"/>
    <w:rsid w:val="003D0B76"/>
    <w:rsid w:val="003D159E"/>
    <w:rsid w:val="003D1ED3"/>
    <w:rsid w:val="003D24AC"/>
    <w:rsid w:val="003D2508"/>
    <w:rsid w:val="003D26A8"/>
    <w:rsid w:val="003D27C0"/>
    <w:rsid w:val="003D27D3"/>
    <w:rsid w:val="003D2880"/>
    <w:rsid w:val="003D2A96"/>
    <w:rsid w:val="003D2B1C"/>
    <w:rsid w:val="003D47B9"/>
    <w:rsid w:val="003D47D3"/>
    <w:rsid w:val="003D4C41"/>
    <w:rsid w:val="003D5826"/>
    <w:rsid w:val="003D6685"/>
    <w:rsid w:val="003D69D0"/>
    <w:rsid w:val="003D6BFC"/>
    <w:rsid w:val="003D70FD"/>
    <w:rsid w:val="003D73F8"/>
    <w:rsid w:val="003D7B6A"/>
    <w:rsid w:val="003E006A"/>
    <w:rsid w:val="003E1576"/>
    <w:rsid w:val="003E1896"/>
    <w:rsid w:val="003E194A"/>
    <w:rsid w:val="003E1D6F"/>
    <w:rsid w:val="003E1FA4"/>
    <w:rsid w:val="003E2EBC"/>
    <w:rsid w:val="003E32ED"/>
    <w:rsid w:val="003E3501"/>
    <w:rsid w:val="003E3710"/>
    <w:rsid w:val="003E3EF5"/>
    <w:rsid w:val="003E4167"/>
    <w:rsid w:val="003E4B06"/>
    <w:rsid w:val="003E4BE2"/>
    <w:rsid w:val="003E574B"/>
    <w:rsid w:val="003E5950"/>
    <w:rsid w:val="003E59BA"/>
    <w:rsid w:val="003E603F"/>
    <w:rsid w:val="003E6194"/>
    <w:rsid w:val="003E640E"/>
    <w:rsid w:val="003E6A06"/>
    <w:rsid w:val="003E71A0"/>
    <w:rsid w:val="003E72E3"/>
    <w:rsid w:val="003E73FC"/>
    <w:rsid w:val="003E780B"/>
    <w:rsid w:val="003E78EE"/>
    <w:rsid w:val="003E7D14"/>
    <w:rsid w:val="003E7F04"/>
    <w:rsid w:val="003E7F09"/>
    <w:rsid w:val="003F04C8"/>
    <w:rsid w:val="003F1D3F"/>
    <w:rsid w:val="003F1EBC"/>
    <w:rsid w:val="003F20ED"/>
    <w:rsid w:val="003F289C"/>
    <w:rsid w:val="003F2E1C"/>
    <w:rsid w:val="003F34E6"/>
    <w:rsid w:val="003F405B"/>
    <w:rsid w:val="003F5051"/>
    <w:rsid w:val="003F5D44"/>
    <w:rsid w:val="003F631A"/>
    <w:rsid w:val="003F6AE1"/>
    <w:rsid w:val="003F6FC6"/>
    <w:rsid w:val="003F7A70"/>
    <w:rsid w:val="003F7B05"/>
    <w:rsid w:val="003F7BBF"/>
    <w:rsid w:val="003F7DE5"/>
    <w:rsid w:val="003F7E5D"/>
    <w:rsid w:val="003F7F7D"/>
    <w:rsid w:val="0040014F"/>
    <w:rsid w:val="00400823"/>
    <w:rsid w:val="004011D9"/>
    <w:rsid w:val="0040188E"/>
    <w:rsid w:val="00401B2B"/>
    <w:rsid w:val="004021BE"/>
    <w:rsid w:val="004021D1"/>
    <w:rsid w:val="00402783"/>
    <w:rsid w:val="00402CEA"/>
    <w:rsid w:val="004033EA"/>
    <w:rsid w:val="00403B2A"/>
    <w:rsid w:val="00404C16"/>
    <w:rsid w:val="00404C52"/>
    <w:rsid w:val="00404C64"/>
    <w:rsid w:val="004053AA"/>
    <w:rsid w:val="004055FD"/>
    <w:rsid w:val="0040564B"/>
    <w:rsid w:val="0040628D"/>
    <w:rsid w:val="00407448"/>
    <w:rsid w:val="00407D79"/>
    <w:rsid w:val="00410244"/>
    <w:rsid w:val="004107A3"/>
    <w:rsid w:val="004110C5"/>
    <w:rsid w:val="00411498"/>
    <w:rsid w:val="00411FD6"/>
    <w:rsid w:val="00412CA3"/>
    <w:rsid w:val="004134DF"/>
    <w:rsid w:val="0041390F"/>
    <w:rsid w:val="004139C8"/>
    <w:rsid w:val="00413A5A"/>
    <w:rsid w:val="00413E03"/>
    <w:rsid w:val="00413FBD"/>
    <w:rsid w:val="00414013"/>
    <w:rsid w:val="00415293"/>
    <w:rsid w:val="00415482"/>
    <w:rsid w:val="004155CF"/>
    <w:rsid w:val="0041574C"/>
    <w:rsid w:val="00415D70"/>
    <w:rsid w:val="0041641D"/>
    <w:rsid w:val="00416C34"/>
    <w:rsid w:val="00416D28"/>
    <w:rsid w:val="00416E18"/>
    <w:rsid w:val="00417567"/>
    <w:rsid w:val="00417D38"/>
    <w:rsid w:val="0042012A"/>
    <w:rsid w:val="00420206"/>
    <w:rsid w:val="0042026F"/>
    <w:rsid w:val="00420CC7"/>
    <w:rsid w:val="00421121"/>
    <w:rsid w:val="004215D6"/>
    <w:rsid w:val="00422576"/>
    <w:rsid w:val="00422967"/>
    <w:rsid w:val="00422B45"/>
    <w:rsid w:val="00423007"/>
    <w:rsid w:val="00423016"/>
    <w:rsid w:val="00423532"/>
    <w:rsid w:val="004239CE"/>
    <w:rsid w:val="00423B01"/>
    <w:rsid w:val="00423BD0"/>
    <w:rsid w:val="00423F70"/>
    <w:rsid w:val="00424315"/>
    <w:rsid w:val="0042442C"/>
    <w:rsid w:val="0042451B"/>
    <w:rsid w:val="00424856"/>
    <w:rsid w:val="004249F0"/>
    <w:rsid w:val="00424E58"/>
    <w:rsid w:val="00425DD0"/>
    <w:rsid w:val="00426229"/>
    <w:rsid w:val="004272B9"/>
    <w:rsid w:val="004277B4"/>
    <w:rsid w:val="00427E45"/>
    <w:rsid w:val="00427EA9"/>
    <w:rsid w:val="00427F28"/>
    <w:rsid w:val="0043005D"/>
    <w:rsid w:val="00430697"/>
    <w:rsid w:val="00430712"/>
    <w:rsid w:val="004307A1"/>
    <w:rsid w:val="004308EF"/>
    <w:rsid w:val="00430B03"/>
    <w:rsid w:val="00431156"/>
    <w:rsid w:val="00431B95"/>
    <w:rsid w:val="00431DE2"/>
    <w:rsid w:val="00432812"/>
    <w:rsid w:val="0043293C"/>
    <w:rsid w:val="00432BD2"/>
    <w:rsid w:val="0043369A"/>
    <w:rsid w:val="00433873"/>
    <w:rsid w:val="004339D4"/>
    <w:rsid w:val="00434451"/>
    <w:rsid w:val="00434D81"/>
    <w:rsid w:val="004350F7"/>
    <w:rsid w:val="004353FE"/>
    <w:rsid w:val="00435EA0"/>
    <w:rsid w:val="00436774"/>
    <w:rsid w:val="00436970"/>
    <w:rsid w:val="00436E09"/>
    <w:rsid w:val="00440301"/>
    <w:rsid w:val="00440A6B"/>
    <w:rsid w:val="00440DD0"/>
    <w:rsid w:val="00441193"/>
    <w:rsid w:val="0044139D"/>
    <w:rsid w:val="00441754"/>
    <w:rsid w:val="00442843"/>
    <w:rsid w:val="004428C4"/>
    <w:rsid w:val="00442C46"/>
    <w:rsid w:val="00442DD1"/>
    <w:rsid w:val="00443250"/>
    <w:rsid w:val="0044381E"/>
    <w:rsid w:val="00444C29"/>
    <w:rsid w:val="00445163"/>
    <w:rsid w:val="0044528F"/>
    <w:rsid w:val="00445651"/>
    <w:rsid w:val="00445683"/>
    <w:rsid w:val="00445DC7"/>
    <w:rsid w:val="00446622"/>
    <w:rsid w:val="004468BA"/>
    <w:rsid w:val="00446E14"/>
    <w:rsid w:val="004471E7"/>
    <w:rsid w:val="0044756D"/>
    <w:rsid w:val="00447A25"/>
    <w:rsid w:val="00447A85"/>
    <w:rsid w:val="00447C25"/>
    <w:rsid w:val="004508A7"/>
    <w:rsid w:val="00450F51"/>
    <w:rsid w:val="0045151F"/>
    <w:rsid w:val="00451825"/>
    <w:rsid w:val="00451EF7"/>
    <w:rsid w:val="0045205A"/>
    <w:rsid w:val="004522A1"/>
    <w:rsid w:val="004523AF"/>
    <w:rsid w:val="004527D3"/>
    <w:rsid w:val="00452873"/>
    <w:rsid w:val="00453185"/>
    <w:rsid w:val="00454586"/>
    <w:rsid w:val="00454A05"/>
    <w:rsid w:val="0045594F"/>
    <w:rsid w:val="00455E78"/>
    <w:rsid w:val="00456156"/>
    <w:rsid w:val="00456E3E"/>
    <w:rsid w:val="00457352"/>
    <w:rsid w:val="00457422"/>
    <w:rsid w:val="00457BAF"/>
    <w:rsid w:val="00457D67"/>
    <w:rsid w:val="00457ED7"/>
    <w:rsid w:val="00460237"/>
    <w:rsid w:val="00460271"/>
    <w:rsid w:val="0046031F"/>
    <w:rsid w:val="004608D5"/>
    <w:rsid w:val="00460C94"/>
    <w:rsid w:val="00460F9A"/>
    <w:rsid w:val="0046104F"/>
    <w:rsid w:val="004616EA"/>
    <w:rsid w:val="00461F96"/>
    <w:rsid w:val="00462432"/>
    <w:rsid w:val="00462A79"/>
    <w:rsid w:val="00462F6F"/>
    <w:rsid w:val="00463ABF"/>
    <w:rsid w:val="00463B16"/>
    <w:rsid w:val="00463D51"/>
    <w:rsid w:val="00464C2C"/>
    <w:rsid w:val="00464D7A"/>
    <w:rsid w:val="00465029"/>
    <w:rsid w:val="00465075"/>
    <w:rsid w:val="0046513F"/>
    <w:rsid w:val="0046521C"/>
    <w:rsid w:val="00465670"/>
    <w:rsid w:val="00465F3E"/>
    <w:rsid w:val="0046602B"/>
    <w:rsid w:val="00466167"/>
    <w:rsid w:val="0046676B"/>
    <w:rsid w:val="00466D78"/>
    <w:rsid w:val="004675B3"/>
    <w:rsid w:val="0046774C"/>
    <w:rsid w:val="00467B4C"/>
    <w:rsid w:val="00467EC6"/>
    <w:rsid w:val="00467FF3"/>
    <w:rsid w:val="004700B1"/>
    <w:rsid w:val="004703BC"/>
    <w:rsid w:val="0047055C"/>
    <w:rsid w:val="00471358"/>
    <w:rsid w:val="004714C4"/>
    <w:rsid w:val="004715EE"/>
    <w:rsid w:val="004719BB"/>
    <w:rsid w:val="0047222B"/>
    <w:rsid w:val="004723A2"/>
    <w:rsid w:val="004724FC"/>
    <w:rsid w:val="0047314A"/>
    <w:rsid w:val="004736E4"/>
    <w:rsid w:val="00473E3E"/>
    <w:rsid w:val="00474034"/>
    <w:rsid w:val="0047444F"/>
    <w:rsid w:val="00474E3C"/>
    <w:rsid w:val="00474F13"/>
    <w:rsid w:val="00475169"/>
    <w:rsid w:val="004753F4"/>
    <w:rsid w:val="00475562"/>
    <w:rsid w:val="0047557A"/>
    <w:rsid w:val="00475645"/>
    <w:rsid w:val="004756EE"/>
    <w:rsid w:val="0047619A"/>
    <w:rsid w:val="0047673B"/>
    <w:rsid w:val="00476AAF"/>
    <w:rsid w:val="00476ADC"/>
    <w:rsid w:val="00476E23"/>
    <w:rsid w:val="004770F6"/>
    <w:rsid w:val="00477756"/>
    <w:rsid w:val="00477E0A"/>
    <w:rsid w:val="00477E55"/>
    <w:rsid w:val="004805A3"/>
    <w:rsid w:val="00480738"/>
    <w:rsid w:val="0048091D"/>
    <w:rsid w:val="004813FB"/>
    <w:rsid w:val="00481E7E"/>
    <w:rsid w:val="00482000"/>
    <w:rsid w:val="0048254A"/>
    <w:rsid w:val="00482C75"/>
    <w:rsid w:val="00482D2D"/>
    <w:rsid w:val="0048338E"/>
    <w:rsid w:val="004834FF"/>
    <w:rsid w:val="00483A88"/>
    <w:rsid w:val="00484664"/>
    <w:rsid w:val="00485083"/>
    <w:rsid w:val="004851EE"/>
    <w:rsid w:val="004856A9"/>
    <w:rsid w:val="00485A06"/>
    <w:rsid w:val="00485C60"/>
    <w:rsid w:val="0048627A"/>
    <w:rsid w:val="004868E3"/>
    <w:rsid w:val="00487258"/>
    <w:rsid w:val="004876F8"/>
    <w:rsid w:val="00487A26"/>
    <w:rsid w:val="00487B5A"/>
    <w:rsid w:val="00487B65"/>
    <w:rsid w:val="00487C96"/>
    <w:rsid w:val="00487E73"/>
    <w:rsid w:val="00490879"/>
    <w:rsid w:val="00490C5A"/>
    <w:rsid w:val="00490D25"/>
    <w:rsid w:val="00490F19"/>
    <w:rsid w:val="0049183A"/>
    <w:rsid w:val="00491C40"/>
    <w:rsid w:val="00491E25"/>
    <w:rsid w:val="00491F3A"/>
    <w:rsid w:val="00491F92"/>
    <w:rsid w:val="00492088"/>
    <w:rsid w:val="0049210D"/>
    <w:rsid w:val="00492319"/>
    <w:rsid w:val="004925EA"/>
    <w:rsid w:val="00492B30"/>
    <w:rsid w:val="00492D03"/>
    <w:rsid w:val="00492E66"/>
    <w:rsid w:val="004938B5"/>
    <w:rsid w:val="00493AC6"/>
    <w:rsid w:val="00494730"/>
    <w:rsid w:val="0049479C"/>
    <w:rsid w:val="00494E5F"/>
    <w:rsid w:val="00495123"/>
    <w:rsid w:val="004957E3"/>
    <w:rsid w:val="004960F8"/>
    <w:rsid w:val="0049674B"/>
    <w:rsid w:val="004967B6"/>
    <w:rsid w:val="0049740E"/>
    <w:rsid w:val="004A0542"/>
    <w:rsid w:val="004A0643"/>
    <w:rsid w:val="004A0A16"/>
    <w:rsid w:val="004A0DCD"/>
    <w:rsid w:val="004A0F7B"/>
    <w:rsid w:val="004A115F"/>
    <w:rsid w:val="004A12DD"/>
    <w:rsid w:val="004A17ED"/>
    <w:rsid w:val="004A28F7"/>
    <w:rsid w:val="004A2A89"/>
    <w:rsid w:val="004A2ABA"/>
    <w:rsid w:val="004A2C1B"/>
    <w:rsid w:val="004A2E47"/>
    <w:rsid w:val="004A3799"/>
    <w:rsid w:val="004A38EA"/>
    <w:rsid w:val="004A3CC5"/>
    <w:rsid w:val="004A3DC1"/>
    <w:rsid w:val="004A4503"/>
    <w:rsid w:val="004A4662"/>
    <w:rsid w:val="004A5B47"/>
    <w:rsid w:val="004A677F"/>
    <w:rsid w:val="004A6849"/>
    <w:rsid w:val="004A6F6E"/>
    <w:rsid w:val="004A7863"/>
    <w:rsid w:val="004A7B31"/>
    <w:rsid w:val="004A7C45"/>
    <w:rsid w:val="004A7E66"/>
    <w:rsid w:val="004B009B"/>
    <w:rsid w:val="004B0112"/>
    <w:rsid w:val="004B029A"/>
    <w:rsid w:val="004B046B"/>
    <w:rsid w:val="004B06E0"/>
    <w:rsid w:val="004B0754"/>
    <w:rsid w:val="004B1046"/>
    <w:rsid w:val="004B10B5"/>
    <w:rsid w:val="004B1598"/>
    <w:rsid w:val="004B1F18"/>
    <w:rsid w:val="004B3223"/>
    <w:rsid w:val="004B3651"/>
    <w:rsid w:val="004B3E4A"/>
    <w:rsid w:val="004B4F00"/>
    <w:rsid w:val="004B52B3"/>
    <w:rsid w:val="004B5685"/>
    <w:rsid w:val="004B5ED1"/>
    <w:rsid w:val="004B6191"/>
    <w:rsid w:val="004B63DA"/>
    <w:rsid w:val="004B6A5E"/>
    <w:rsid w:val="004B6DE0"/>
    <w:rsid w:val="004B6F08"/>
    <w:rsid w:val="004B717B"/>
    <w:rsid w:val="004B7AAD"/>
    <w:rsid w:val="004B7E20"/>
    <w:rsid w:val="004B7EDA"/>
    <w:rsid w:val="004C008A"/>
    <w:rsid w:val="004C03BC"/>
    <w:rsid w:val="004C0976"/>
    <w:rsid w:val="004C129D"/>
    <w:rsid w:val="004C15E6"/>
    <w:rsid w:val="004C1845"/>
    <w:rsid w:val="004C2226"/>
    <w:rsid w:val="004C237A"/>
    <w:rsid w:val="004C245F"/>
    <w:rsid w:val="004C2BEF"/>
    <w:rsid w:val="004C2CC0"/>
    <w:rsid w:val="004C2FAA"/>
    <w:rsid w:val="004C34CC"/>
    <w:rsid w:val="004C3671"/>
    <w:rsid w:val="004C39A4"/>
    <w:rsid w:val="004C3C95"/>
    <w:rsid w:val="004C47DC"/>
    <w:rsid w:val="004C49C9"/>
    <w:rsid w:val="004C4C63"/>
    <w:rsid w:val="004C5041"/>
    <w:rsid w:val="004C5290"/>
    <w:rsid w:val="004C534A"/>
    <w:rsid w:val="004C5EF5"/>
    <w:rsid w:val="004C60DD"/>
    <w:rsid w:val="004C645F"/>
    <w:rsid w:val="004C648E"/>
    <w:rsid w:val="004C6582"/>
    <w:rsid w:val="004C67FF"/>
    <w:rsid w:val="004C69E6"/>
    <w:rsid w:val="004C6C8B"/>
    <w:rsid w:val="004C6E3A"/>
    <w:rsid w:val="004C728B"/>
    <w:rsid w:val="004C7CCF"/>
    <w:rsid w:val="004D0174"/>
    <w:rsid w:val="004D020F"/>
    <w:rsid w:val="004D08F2"/>
    <w:rsid w:val="004D0DCE"/>
    <w:rsid w:val="004D0F1D"/>
    <w:rsid w:val="004D0F64"/>
    <w:rsid w:val="004D1212"/>
    <w:rsid w:val="004D158F"/>
    <w:rsid w:val="004D20E5"/>
    <w:rsid w:val="004D2260"/>
    <w:rsid w:val="004D22F3"/>
    <w:rsid w:val="004D2608"/>
    <w:rsid w:val="004D2ACA"/>
    <w:rsid w:val="004D304B"/>
    <w:rsid w:val="004D34AE"/>
    <w:rsid w:val="004D3713"/>
    <w:rsid w:val="004D37E5"/>
    <w:rsid w:val="004D4092"/>
    <w:rsid w:val="004D40AF"/>
    <w:rsid w:val="004D47B5"/>
    <w:rsid w:val="004D5579"/>
    <w:rsid w:val="004D5BB0"/>
    <w:rsid w:val="004D72F2"/>
    <w:rsid w:val="004D7494"/>
    <w:rsid w:val="004D769F"/>
    <w:rsid w:val="004D79C2"/>
    <w:rsid w:val="004D7FB7"/>
    <w:rsid w:val="004E0925"/>
    <w:rsid w:val="004E1088"/>
    <w:rsid w:val="004E19E6"/>
    <w:rsid w:val="004E1A75"/>
    <w:rsid w:val="004E25C1"/>
    <w:rsid w:val="004E2780"/>
    <w:rsid w:val="004E28EA"/>
    <w:rsid w:val="004E2AEB"/>
    <w:rsid w:val="004E2B07"/>
    <w:rsid w:val="004E37B3"/>
    <w:rsid w:val="004E42EF"/>
    <w:rsid w:val="004E4326"/>
    <w:rsid w:val="004E4924"/>
    <w:rsid w:val="004E49AD"/>
    <w:rsid w:val="004E4DAC"/>
    <w:rsid w:val="004E526B"/>
    <w:rsid w:val="004E53D7"/>
    <w:rsid w:val="004E59A8"/>
    <w:rsid w:val="004E5A06"/>
    <w:rsid w:val="004E6290"/>
    <w:rsid w:val="004E62D5"/>
    <w:rsid w:val="004E65CC"/>
    <w:rsid w:val="004E676D"/>
    <w:rsid w:val="004E7460"/>
    <w:rsid w:val="004E7591"/>
    <w:rsid w:val="004E7E3C"/>
    <w:rsid w:val="004F01B1"/>
    <w:rsid w:val="004F0A50"/>
    <w:rsid w:val="004F0C3F"/>
    <w:rsid w:val="004F0F98"/>
    <w:rsid w:val="004F132F"/>
    <w:rsid w:val="004F15EE"/>
    <w:rsid w:val="004F1840"/>
    <w:rsid w:val="004F18DB"/>
    <w:rsid w:val="004F1977"/>
    <w:rsid w:val="004F1A66"/>
    <w:rsid w:val="004F1C93"/>
    <w:rsid w:val="004F1E35"/>
    <w:rsid w:val="004F23DD"/>
    <w:rsid w:val="004F2A55"/>
    <w:rsid w:val="004F2B13"/>
    <w:rsid w:val="004F2F17"/>
    <w:rsid w:val="004F32C3"/>
    <w:rsid w:val="004F3A9A"/>
    <w:rsid w:val="004F425F"/>
    <w:rsid w:val="004F45D0"/>
    <w:rsid w:val="004F45D4"/>
    <w:rsid w:val="004F5263"/>
    <w:rsid w:val="004F5473"/>
    <w:rsid w:val="004F556D"/>
    <w:rsid w:val="004F562D"/>
    <w:rsid w:val="004F5EA4"/>
    <w:rsid w:val="004F6CBA"/>
    <w:rsid w:val="004F6FD9"/>
    <w:rsid w:val="004F75B5"/>
    <w:rsid w:val="004F7A72"/>
    <w:rsid w:val="004F7EE9"/>
    <w:rsid w:val="004F7F81"/>
    <w:rsid w:val="0050018A"/>
    <w:rsid w:val="00500286"/>
    <w:rsid w:val="0050036C"/>
    <w:rsid w:val="0050084B"/>
    <w:rsid w:val="0050086E"/>
    <w:rsid w:val="00500E87"/>
    <w:rsid w:val="00501060"/>
    <w:rsid w:val="005013E9"/>
    <w:rsid w:val="00501CB3"/>
    <w:rsid w:val="00501E77"/>
    <w:rsid w:val="00502149"/>
    <w:rsid w:val="005025CD"/>
    <w:rsid w:val="00502D67"/>
    <w:rsid w:val="00503370"/>
    <w:rsid w:val="00503E3D"/>
    <w:rsid w:val="00503F3C"/>
    <w:rsid w:val="005043F2"/>
    <w:rsid w:val="005047E2"/>
    <w:rsid w:val="0050534C"/>
    <w:rsid w:val="005056B1"/>
    <w:rsid w:val="005059B1"/>
    <w:rsid w:val="00505CFC"/>
    <w:rsid w:val="0050647C"/>
    <w:rsid w:val="005065A0"/>
    <w:rsid w:val="005069FB"/>
    <w:rsid w:val="00506B08"/>
    <w:rsid w:val="00506C5F"/>
    <w:rsid w:val="00507240"/>
    <w:rsid w:val="0050725E"/>
    <w:rsid w:val="00507320"/>
    <w:rsid w:val="00507376"/>
    <w:rsid w:val="0050754E"/>
    <w:rsid w:val="00507867"/>
    <w:rsid w:val="00507978"/>
    <w:rsid w:val="00507F82"/>
    <w:rsid w:val="0051021D"/>
    <w:rsid w:val="00510360"/>
    <w:rsid w:val="00510A51"/>
    <w:rsid w:val="00510B20"/>
    <w:rsid w:val="00510B35"/>
    <w:rsid w:val="00510ECB"/>
    <w:rsid w:val="00511531"/>
    <w:rsid w:val="005116CF"/>
    <w:rsid w:val="0051175D"/>
    <w:rsid w:val="00512374"/>
    <w:rsid w:val="00512845"/>
    <w:rsid w:val="00512CF0"/>
    <w:rsid w:val="005130F6"/>
    <w:rsid w:val="005132E9"/>
    <w:rsid w:val="00513375"/>
    <w:rsid w:val="005133AE"/>
    <w:rsid w:val="00513CBC"/>
    <w:rsid w:val="00513D9B"/>
    <w:rsid w:val="00513E8D"/>
    <w:rsid w:val="00514001"/>
    <w:rsid w:val="0051403E"/>
    <w:rsid w:val="00514093"/>
    <w:rsid w:val="00514222"/>
    <w:rsid w:val="00514D2B"/>
    <w:rsid w:val="005151AD"/>
    <w:rsid w:val="00515B17"/>
    <w:rsid w:val="00516EF1"/>
    <w:rsid w:val="005170E2"/>
    <w:rsid w:val="0051742D"/>
    <w:rsid w:val="0051744F"/>
    <w:rsid w:val="00520250"/>
    <w:rsid w:val="005206B7"/>
    <w:rsid w:val="00520875"/>
    <w:rsid w:val="00520F37"/>
    <w:rsid w:val="00520F4C"/>
    <w:rsid w:val="005215AB"/>
    <w:rsid w:val="00521D2D"/>
    <w:rsid w:val="005225EB"/>
    <w:rsid w:val="005227F0"/>
    <w:rsid w:val="00522C85"/>
    <w:rsid w:val="00523307"/>
    <w:rsid w:val="00523AA1"/>
    <w:rsid w:val="00523E4D"/>
    <w:rsid w:val="00524870"/>
    <w:rsid w:val="00524940"/>
    <w:rsid w:val="00524C93"/>
    <w:rsid w:val="00524DF6"/>
    <w:rsid w:val="00525045"/>
    <w:rsid w:val="00525EF3"/>
    <w:rsid w:val="00526108"/>
    <w:rsid w:val="00526638"/>
    <w:rsid w:val="00526829"/>
    <w:rsid w:val="005269CD"/>
    <w:rsid w:val="005271C9"/>
    <w:rsid w:val="005278EE"/>
    <w:rsid w:val="00527F39"/>
    <w:rsid w:val="005307D2"/>
    <w:rsid w:val="00531105"/>
    <w:rsid w:val="00531EC7"/>
    <w:rsid w:val="00532100"/>
    <w:rsid w:val="00532575"/>
    <w:rsid w:val="00532AC8"/>
    <w:rsid w:val="00532E74"/>
    <w:rsid w:val="005334F9"/>
    <w:rsid w:val="005340D2"/>
    <w:rsid w:val="005344DD"/>
    <w:rsid w:val="005347B5"/>
    <w:rsid w:val="005347CA"/>
    <w:rsid w:val="005348F8"/>
    <w:rsid w:val="00534BEF"/>
    <w:rsid w:val="00535591"/>
    <w:rsid w:val="005355AE"/>
    <w:rsid w:val="005357BE"/>
    <w:rsid w:val="00535947"/>
    <w:rsid w:val="00536740"/>
    <w:rsid w:val="00536A0C"/>
    <w:rsid w:val="00536C72"/>
    <w:rsid w:val="00536D69"/>
    <w:rsid w:val="00537AA5"/>
    <w:rsid w:val="00537FBF"/>
    <w:rsid w:val="00540E89"/>
    <w:rsid w:val="005413D4"/>
    <w:rsid w:val="005416F8"/>
    <w:rsid w:val="005419D4"/>
    <w:rsid w:val="00541CE9"/>
    <w:rsid w:val="00541F92"/>
    <w:rsid w:val="00542353"/>
    <w:rsid w:val="005428EF"/>
    <w:rsid w:val="005439A6"/>
    <w:rsid w:val="00543B8D"/>
    <w:rsid w:val="00543B90"/>
    <w:rsid w:val="00543CE2"/>
    <w:rsid w:val="005440F4"/>
    <w:rsid w:val="005443C4"/>
    <w:rsid w:val="00544799"/>
    <w:rsid w:val="0054483D"/>
    <w:rsid w:val="00544A94"/>
    <w:rsid w:val="0054585A"/>
    <w:rsid w:val="005460A9"/>
    <w:rsid w:val="005462BB"/>
    <w:rsid w:val="005464BF"/>
    <w:rsid w:val="005467AB"/>
    <w:rsid w:val="00547600"/>
    <w:rsid w:val="0055003D"/>
    <w:rsid w:val="00550755"/>
    <w:rsid w:val="00550DBF"/>
    <w:rsid w:val="00551146"/>
    <w:rsid w:val="00551700"/>
    <w:rsid w:val="00551817"/>
    <w:rsid w:val="0055188B"/>
    <w:rsid w:val="0055191C"/>
    <w:rsid w:val="00551E20"/>
    <w:rsid w:val="00551E8B"/>
    <w:rsid w:val="00552429"/>
    <w:rsid w:val="00552A5D"/>
    <w:rsid w:val="00553354"/>
    <w:rsid w:val="00553953"/>
    <w:rsid w:val="00554218"/>
    <w:rsid w:val="005543DA"/>
    <w:rsid w:val="0055472C"/>
    <w:rsid w:val="00554816"/>
    <w:rsid w:val="00554B17"/>
    <w:rsid w:val="00555A27"/>
    <w:rsid w:val="00555CDD"/>
    <w:rsid w:val="00555D17"/>
    <w:rsid w:val="00555DC8"/>
    <w:rsid w:val="00556003"/>
    <w:rsid w:val="0055694C"/>
    <w:rsid w:val="0055719C"/>
    <w:rsid w:val="005572A0"/>
    <w:rsid w:val="005577B0"/>
    <w:rsid w:val="00557A39"/>
    <w:rsid w:val="00557C80"/>
    <w:rsid w:val="00557CD1"/>
    <w:rsid w:val="00560299"/>
    <w:rsid w:val="00560B13"/>
    <w:rsid w:val="00560FC4"/>
    <w:rsid w:val="005611AD"/>
    <w:rsid w:val="00561210"/>
    <w:rsid w:val="0056136F"/>
    <w:rsid w:val="00561670"/>
    <w:rsid w:val="00561708"/>
    <w:rsid w:val="005617B4"/>
    <w:rsid w:val="00561D7F"/>
    <w:rsid w:val="00561FA1"/>
    <w:rsid w:val="0056288B"/>
    <w:rsid w:val="005629B3"/>
    <w:rsid w:val="00563063"/>
    <w:rsid w:val="005634DE"/>
    <w:rsid w:val="00563904"/>
    <w:rsid w:val="00563C31"/>
    <w:rsid w:val="0056405D"/>
    <w:rsid w:val="005640DD"/>
    <w:rsid w:val="00564198"/>
    <w:rsid w:val="00564AFD"/>
    <w:rsid w:val="0056505C"/>
    <w:rsid w:val="00565185"/>
    <w:rsid w:val="00566201"/>
    <w:rsid w:val="0056697F"/>
    <w:rsid w:val="00566C86"/>
    <w:rsid w:val="00566CE8"/>
    <w:rsid w:val="00566D0C"/>
    <w:rsid w:val="005671C8"/>
    <w:rsid w:val="00567561"/>
    <w:rsid w:val="00567B3B"/>
    <w:rsid w:val="00567EBA"/>
    <w:rsid w:val="00570923"/>
    <w:rsid w:val="00570BBE"/>
    <w:rsid w:val="005711F3"/>
    <w:rsid w:val="0057189C"/>
    <w:rsid w:val="00571A9C"/>
    <w:rsid w:val="00571B40"/>
    <w:rsid w:val="00571C35"/>
    <w:rsid w:val="00571E0B"/>
    <w:rsid w:val="00572472"/>
    <w:rsid w:val="00572A61"/>
    <w:rsid w:val="00572CC0"/>
    <w:rsid w:val="00572EB3"/>
    <w:rsid w:val="00573356"/>
    <w:rsid w:val="00573573"/>
    <w:rsid w:val="00573A98"/>
    <w:rsid w:val="00573AAB"/>
    <w:rsid w:val="00573EA9"/>
    <w:rsid w:val="00573EAF"/>
    <w:rsid w:val="00573F89"/>
    <w:rsid w:val="00574C55"/>
    <w:rsid w:val="00574C8C"/>
    <w:rsid w:val="00574E2E"/>
    <w:rsid w:val="00574FCA"/>
    <w:rsid w:val="0057517B"/>
    <w:rsid w:val="00575330"/>
    <w:rsid w:val="0057543F"/>
    <w:rsid w:val="005754FE"/>
    <w:rsid w:val="00575952"/>
    <w:rsid w:val="00575EAB"/>
    <w:rsid w:val="00576050"/>
    <w:rsid w:val="00577C22"/>
    <w:rsid w:val="0058099D"/>
    <w:rsid w:val="00580E80"/>
    <w:rsid w:val="0058196A"/>
    <w:rsid w:val="00581D48"/>
    <w:rsid w:val="00581E85"/>
    <w:rsid w:val="00581F96"/>
    <w:rsid w:val="005826E2"/>
    <w:rsid w:val="00583568"/>
    <w:rsid w:val="00583607"/>
    <w:rsid w:val="00584032"/>
    <w:rsid w:val="0058417E"/>
    <w:rsid w:val="00584643"/>
    <w:rsid w:val="0058481B"/>
    <w:rsid w:val="00585539"/>
    <w:rsid w:val="005855C8"/>
    <w:rsid w:val="005855CD"/>
    <w:rsid w:val="00586AD7"/>
    <w:rsid w:val="00586CF3"/>
    <w:rsid w:val="00586DCA"/>
    <w:rsid w:val="00586DDA"/>
    <w:rsid w:val="00586FC3"/>
    <w:rsid w:val="00587453"/>
    <w:rsid w:val="0058762D"/>
    <w:rsid w:val="00590AFB"/>
    <w:rsid w:val="005914D5"/>
    <w:rsid w:val="0059177B"/>
    <w:rsid w:val="00591835"/>
    <w:rsid w:val="005920EE"/>
    <w:rsid w:val="00592504"/>
    <w:rsid w:val="0059275F"/>
    <w:rsid w:val="005928FA"/>
    <w:rsid w:val="00592B20"/>
    <w:rsid w:val="00592C64"/>
    <w:rsid w:val="005931EB"/>
    <w:rsid w:val="00593CA2"/>
    <w:rsid w:val="00594184"/>
    <w:rsid w:val="005942C6"/>
    <w:rsid w:val="00594D8F"/>
    <w:rsid w:val="00594EAC"/>
    <w:rsid w:val="0059514C"/>
    <w:rsid w:val="0059545B"/>
    <w:rsid w:val="00596088"/>
    <w:rsid w:val="0059646B"/>
    <w:rsid w:val="00596634"/>
    <w:rsid w:val="00596EEB"/>
    <w:rsid w:val="005A01A4"/>
    <w:rsid w:val="005A01AE"/>
    <w:rsid w:val="005A050A"/>
    <w:rsid w:val="005A0A41"/>
    <w:rsid w:val="005A0BA0"/>
    <w:rsid w:val="005A0E42"/>
    <w:rsid w:val="005A1104"/>
    <w:rsid w:val="005A14F2"/>
    <w:rsid w:val="005A170A"/>
    <w:rsid w:val="005A1768"/>
    <w:rsid w:val="005A23D7"/>
    <w:rsid w:val="005A2543"/>
    <w:rsid w:val="005A2A32"/>
    <w:rsid w:val="005A2AA0"/>
    <w:rsid w:val="005A2DD4"/>
    <w:rsid w:val="005A3375"/>
    <w:rsid w:val="005A3851"/>
    <w:rsid w:val="005A4622"/>
    <w:rsid w:val="005A4683"/>
    <w:rsid w:val="005A4A0A"/>
    <w:rsid w:val="005A5199"/>
    <w:rsid w:val="005A600B"/>
    <w:rsid w:val="005A60F0"/>
    <w:rsid w:val="005A6690"/>
    <w:rsid w:val="005A674B"/>
    <w:rsid w:val="005A6DDA"/>
    <w:rsid w:val="005A6F21"/>
    <w:rsid w:val="005A7B0A"/>
    <w:rsid w:val="005B13C7"/>
    <w:rsid w:val="005B1A14"/>
    <w:rsid w:val="005B1BC8"/>
    <w:rsid w:val="005B1F1F"/>
    <w:rsid w:val="005B204B"/>
    <w:rsid w:val="005B24B6"/>
    <w:rsid w:val="005B2573"/>
    <w:rsid w:val="005B2F96"/>
    <w:rsid w:val="005B3158"/>
    <w:rsid w:val="005B38D3"/>
    <w:rsid w:val="005B39B9"/>
    <w:rsid w:val="005B3FD3"/>
    <w:rsid w:val="005B46A1"/>
    <w:rsid w:val="005B4FE6"/>
    <w:rsid w:val="005B5277"/>
    <w:rsid w:val="005B6024"/>
    <w:rsid w:val="005B6046"/>
    <w:rsid w:val="005B6387"/>
    <w:rsid w:val="005B685B"/>
    <w:rsid w:val="005C03D1"/>
    <w:rsid w:val="005C0A72"/>
    <w:rsid w:val="005C0DA4"/>
    <w:rsid w:val="005C0F78"/>
    <w:rsid w:val="005C1195"/>
    <w:rsid w:val="005C132A"/>
    <w:rsid w:val="005C15C2"/>
    <w:rsid w:val="005C15FF"/>
    <w:rsid w:val="005C2C87"/>
    <w:rsid w:val="005C2F6B"/>
    <w:rsid w:val="005C4247"/>
    <w:rsid w:val="005C42B3"/>
    <w:rsid w:val="005C4DCE"/>
    <w:rsid w:val="005C5214"/>
    <w:rsid w:val="005C5A43"/>
    <w:rsid w:val="005C62D4"/>
    <w:rsid w:val="005C71CE"/>
    <w:rsid w:val="005C7D88"/>
    <w:rsid w:val="005D02AC"/>
    <w:rsid w:val="005D065A"/>
    <w:rsid w:val="005D09B3"/>
    <w:rsid w:val="005D0C79"/>
    <w:rsid w:val="005D1406"/>
    <w:rsid w:val="005D1D20"/>
    <w:rsid w:val="005D1DD5"/>
    <w:rsid w:val="005D2705"/>
    <w:rsid w:val="005D2B7A"/>
    <w:rsid w:val="005D35CA"/>
    <w:rsid w:val="005D3A8C"/>
    <w:rsid w:val="005D4091"/>
    <w:rsid w:val="005D4105"/>
    <w:rsid w:val="005D472D"/>
    <w:rsid w:val="005D49F8"/>
    <w:rsid w:val="005D4D8D"/>
    <w:rsid w:val="005D4ED5"/>
    <w:rsid w:val="005D56D9"/>
    <w:rsid w:val="005D57AF"/>
    <w:rsid w:val="005D5AA5"/>
    <w:rsid w:val="005D6427"/>
    <w:rsid w:val="005D6A69"/>
    <w:rsid w:val="005D7138"/>
    <w:rsid w:val="005D73AE"/>
    <w:rsid w:val="005D7841"/>
    <w:rsid w:val="005D7BD7"/>
    <w:rsid w:val="005E02CD"/>
    <w:rsid w:val="005E04ED"/>
    <w:rsid w:val="005E07BE"/>
    <w:rsid w:val="005E08CE"/>
    <w:rsid w:val="005E0FA2"/>
    <w:rsid w:val="005E1038"/>
    <w:rsid w:val="005E136A"/>
    <w:rsid w:val="005E2325"/>
    <w:rsid w:val="005E2863"/>
    <w:rsid w:val="005E29D3"/>
    <w:rsid w:val="005E2C11"/>
    <w:rsid w:val="005E2D52"/>
    <w:rsid w:val="005E3273"/>
    <w:rsid w:val="005E35B6"/>
    <w:rsid w:val="005E3661"/>
    <w:rsid w:val="005E36CE"/>
    <w:rsid w:val="005E374F"/>
    <w:rsid w:val="005E3E20"/>
    <w:rsid w:val="005E479D"/>
    <w:rsid w:val="005E483E"/>
    <w:rsid w:val="005E4A86"/>
    <w:rsid w:val="005E5647"/>
    <w:rsid w:val="005E5CC9"/>
    <w:rsid w:val="005E672D"/>
    <w:rsid w:val="005E67D5"/>
    <w:rsid w:val="005E6920"/>
    <w:rsid w:val="005E6941"/>
    <w:rsid w:val="005E69A6"/>
    <w:rsid w:val="005E737A"/>
    <w:rsid w:val="005E74DE"/>
    <w:rsid w:val="005F034D"/>
    <w:rsid w:val="005F0427"/>
    <w:rsid w:val="005F0E9A"/>
    <w:rsid w:val="005F106E"/>
    <w:rsid w:val="005F1443"/>
    <w:rsid w:val="005F14E6"/>
    <w:rsid w:val="005F1563"/>
    <w:rsid w:val="005F16D0"/>
    <w:rsid w:val="005F18D5"/>
    <w:rsid w:val="005F1EBE"/>
    <w:rsid w:val="005F1F18"/>
    <w:rsid w:val="005F23CE"/>
    <w:rsid w:val="005F2438"/>
    <w:rsid w:val="005F27E2"/>
    <w:rsid w:val="005F2D83"/>
    <w:rsid w:val="005F3065"/>
    <w:rsid w:val="005F35A7"/>
    <w:rsid w:val="005F36DE"/>
    <w:rsid w:val="005F382A"/>
    <w:rsid w:val="005F3A54"/>
    <w:rsid w:val="005F3BE3"/>
    <w:rsid w:val="005F4585"/>
    <w:rsid w:val="005F4814"/>
    <w:rsid w:val="005F4AD7"/>
    <w:rsid w:val="005F4B90"/>
    <w:rsid w:val="005F6607"/>
    <w:rsid w:val="005F66C2"/>
    <w:rsid w:val="005F7314"/>
    <w:rsid w:val="005F782E"/>
    <w:rsid w:val="005F7939"/>
    <w:rsid w:val="005F7BFD"/>
    <w:rsid w:val="006002D4"/>
    <w:rsid w:val="006006D7"/>
    <w:rsid w:val="00600DF8"/>
    <w:rsid w:val="00600F29"/>
    <w:rsid w:val="006010C4"/>
    <w:rsid w:val="0060156E"/>
    <w:rsid w:val="006015F6"/>
    <w:rsid w:val="00601676"/>
    <w:rsid w:val="006017AC"/>
    <w:rsid w:val="0060187C"/>
    <w:rsid w:val="00601EFF"/>
    <w:rsid w:val="00601F8C"/>
    <w:rsid w:val="00602248"/>
    <w:rsid w:val="00602A9C"/>
    <w:rsid w:val="00602BA1"/>
    <w:rsid w:val="00602E15"/>
    <w:rsid w:val="0060443E"/>
    <w:rsid w:val="006045B1"/>
    <w:rsid w:val="006047A4"/>
    <w:rsid w:val="006048F5"/>
    <w:rsid w:val="00604AA2"/>
    <w:rsid w:val="00605041"/>
    <w:rsid w:val="00605180"/>
    <w:rsid w:val="00605256"/>
    <w:rsid w:val="00605408"/>
    <w:rsid w:val="00605961"/>
    <w:rsid w:val="00605B36"/>
    <w:rsid w:val="00606E46"/>
    <w:rsid w:val="00607225"/>
    <w:rsid w:val="006075A8"/>
    <w:rsid w:val="00607775"/>
    <w:rsid w:val="00607A61"/>
    <w:rsid w:val="00607E63"/>
    <w:rsid w:val="006105BE"/>
    <w:rsid w:val="0061071D"/>
    <w:rsid w:val="00610904"/>
    <w:rsid w:val="00610A41"/>
    <w:rsid w:val="0061109E"/>
    <w:rsid w:val="00611174"/>
    <w:rsid w:val="006111F1"/>
    <w:rsid w:val="006116FE"/>
    <w:rsid w:val="00611A5F"/>
    <w:rsid w:val="00611AF0"/>
    <w:rsid w:val="00611D5A"/>
    <w:rsid w:val="00611E61"/>
    <w:rsid w:val="00611F5D"/>
    <w:rsid w:val="00613440"/>
    <w:rsid w:val="006135C0"/>
    <w:rsid w:val="00613AE8"/>
    <w:rsid w:val="00613BF4"/>
    <w:rsid w:val="00613E44"/>
    <w:rsid w:val="00614A32"/>
    <w:rsid w:val="00614AE2"/>
    <w:rsid w:val="00614D6D"/>
    <w:rsid w:val="00614E87"/>
    <w:rsid w:val="00614FF0"/>
    <w:rsid w:val="00615144"/>
    <w:rsid w:val="006151C3"/>
    <w:rsid w:val="00615B08"/>
    <w:rsid w:val="00615F96"/>
    <w:rsid w:val="00616780"/>
    <w:rsid w:val="00616BF7"/>
    <w:rsid w:val="00616C9D"/>
    <w:rsid w:val="00616E86"/>
    <w:rsid w:val="006170A9"/>
    <w:rsid w:val="006170E6"/>
    <w:rsid w:val="00617442"/>
    <w:rsid w:val="006177A5"/>
    <w:rsid w:val="00617BF4"/>
    <w:rsid w:val="00617FF5"/>
    <w:rsid w:val="00620621"/>
    <w:rsid w:val="00620A00"/>
    <w:rsid w:val="00620EDD"/>
    <w:rsid w:val="00621089"/>
    <w:rsid w:val="00621384"/>
    <w:rsid w:val="00621539"/>
    <w:rsid w:val="006218D8"/>
    <w:rsid w:val="00622446"/>
    <w:rsid w:val="006225F3"/>
    <w:rsid w:val="00622A26"/>
    <w:rsid w:val="00622C4F"/>
    <w:rsid w:val="00622D98"/>
    <w:rsid w:val="00622FCA"/>
    <w:rsid w:val="00623998"/>
    <w:rsid w:val="00623CCC"/>
    <w:rsid w:val="00623E94"/>
    <w:rsid w:val="00624EB8"/>
    <w:rsid w:val="006254D6"/>
    <w:rsid w:val="00625666"/>
    <w:rsid w:val="0062572B"/>
    <w:rsid w:val="006257CA"/>
    <w:rsid w:val="006257F9"/>
    <w:rsid w:val="00625AF1"/>
    <w:rsid w:val="0062655A"/>
    <w:rsid w:val="00626EFD"/>
    <w:rsid w:val="006273D9"/>
    <w:rsid w:val="00627948"/>
    <w:rsid w:val="00627C87"/>
    <w:rsid w:val="0063025F"/>
    <w:rsid w:val="00630A68"/>
    <w:rsid w:val="0063183E"/>
    <w:rsid w:val="006319DD"/>
    <w:rsid w:val="006325DA"/>
    <w:rsid w:val="006325FC"/>
    <w:rsid w:val="00632D88"/>
    <w:rsid w:val="006331E0"/>
    <w:rsid w:val="0063342E"/>
    <w:rsid w:val="006336AC"/>
    <w:rsid w:val="0063382E"/>
    <w:rsid w:val="006338BA"/>
    <w:rsid w:val="00634535"/>
    <w:rsid w:val="006345CE"/>
    <w:rsid w:val="00634ABF"/>
    <w:rsid w:val="00634AD5"/>
    <w:rsid w:val="00634E59"/>
    <w:rsid w:val="00634F38"/>
    <w:rsid w:val="00635A99"/>
    <w:rsid w:val="00635BCB"/>
    <w:rsid w:val="00635E37"/>
    <w:rsid w:val="0063719F"/>
    <w:rsid w:val="00637B46"/>
    <w:rsid w:val="00637BBF"/>
    <w:rsid w:val="006408AF"/>
    <w:rsid w:val="00640F25"/>
    <w:rsid w:val="00640FCD"/>
    <w:rsid w:val="006410E0"/>
    <w:rsid w:val="006413BD"/>
    <w:rsid w:val="00641494"/>
    <w:rsid w:val="006414C6"/>
    <w:rsid w:val="00642026"/>
    <w:rsid w:val="006420DF"/>
    <w:rsid w:val="00642236"/>
    <w:rsid w:val="006424AA"/>
    <w:rsid w:val="006427C1"/>
    <w:rsid w:val="00642A0A"/>
    <w:rsid w:val="00642A1A"/>
    <w:rsid w:val="00642ED9"/>
    <w:rsid w:val="0064306A"/>
    <w:rsid w:val="00643331"/>
    <w:rsid w:val="006434BF"/>
    <w:rsid w:val="00643520"/>
    <w:rsid w:val="006437B4"/>
    <w:rsid w:val="00643DA4"/>
    <w:rsid w:val="00643DA5"/>
    <w:rsid w:val="00644437"/>
    <w:rsid w:val="00644E87"/>
    <w:rsid w:val="006452C6"/>
    <w:rsid w:val="00645415"/>
    <w:rsid w:val="0064574E"/>
    <w:rsid w:val="0064628F"/>
    <w:rsid w:val="006466FF"/>
    <w:rsid w:val="0064679E"/>
    <w:rsid w:val="00646BFD"/>
    <w:rsid w:val="00646ED7"/>
    <w:rsid w:val="006474AC"/>
    <w:rsid w:val="006474B2"/>
    <w:rsid w:val="00647607"/>
    <w:rsid w:val="00647D9A"/>
    <w:rsid w:val="00650F8A"/>
    <w:rsid w:val="00651CAC"/>
    <w:rsid w:val="00652742"/>
    <w:rsid w:val="00652DD2"/>
    <w:rsid w:val="0065305A"/>
    <w:rsid w:val="0065388B"/>
    <w:rsid w:val="00653969"/>
    <w:rsid w:val="006541B1"/>
    <w:rsid w:val="006546D0"/>
    <w:rsid w:val="006548E8"/>
    <w:rsid w:val="0065494D"/>
    <w:rsid w:val="006556CD"/>
    <w:rsid w:val="006559FC"/>
    <w:rsid w:val="00655D5F"/>
    <w:rsid w:val="00656114"/>
    <w:rsid w:val="0065622A"/>
    <w:rsid w:val="0065638A"/>
    <w:rsid w:val="006567CF"/>
    <w:rsid w:val="0065728F"/>
    <w:rsid w:val="00657546"/>
    <w:rsid w:val="006575A5"/>
    <w:rsid w:val="00657E88"/>
    <w:rsid w:val="006603EF"/>
    <w:rsid w:val="00660A09"/>
    <w:rsid w:val="00660E10"/>
    <w:rsid w:val="006612DD"/>
    <w:rsid w:val="00661F1C"/>
    <w:rsid w:val="00661F48"/>
    <w:rsid w:val="00662262"/>
    <w:rsid w:val="0066253B"/>
    <w:rsid w:val="0066271B"/>
    <w:rsid w:val="0066334B"/>
    <w:rsid w:val="00663826"/>
    <w:rsid w:val="006638B3"/>
    <w:rsid w:val="00663F33"/>
    <w:rsid w:val="00664B20"/>
    <w:rsid w:val="00664F2E"/>
    <w:rsid w:val="00665884"/>
    <w:rsid w:val="00666A23"/>
    <w:rsid w:val="00666B53"/>
    <w:rsid w:val="00666C7A"/>
    <w:rsid w:val="0066705B"/>
    <w:rsid w:val="0066714E"/>
    <w:rsid w:val="00667519"/>
    <w:rsid w:val="0066783D"/>
    <w:rsid w:val="00667E2F"/>
    <w:rsid w:val="00667F97"/>
    <w:rsid w:val="006700CF"/>
    <w:rsid w:val="006701CE"/>
    <w:rsid w:val="006708C8"/>
    <w:rsid w:val="00670C44"/>
    <w:rsid w:val="0067211F"/>
    <w:rsid w:val="00672566"/>
    <w:rsid w:val="00672588"/>
    <w:rsid w:val="00672BBB"/>
    <w:rsid w:val="00672C55"/>
    <w:rsid w:val="00672CE9"/>
    <w:rsid w:val="00673333"/>
    <w:rsid w:val="006735B4"/>
    <w:rsid w:val="0067393E"/>
    <w:rsid w:val="00673B77"/>
    <w:rsid w:val="00673B78"/>
    <w:rsid w:val="00673D25"/>
    <w:rsid w:val="0067438E"/>
    <w:rsid w:val="00674611"/>
    <w:rsid w:val="00674AF2"/>
    <w:rsid w:val="0067506B"/>
    <w:rsid w:val="00675199"/>
    <w:rsid w:val="0067588F"/>
    <w:rsid w:val="00675C3C"/>
    <w:rsid w:val="00675E63"/>
    <w:rsid w:val="006775F5"/>
    <w:rsid w:val="00677615"/>
    <w:rsid w:val="0067766E"/>
    <w:rsid w:val="0067793A"/>
    <w:rsid w:val="00677E29"/>
    <w:rsid w:val="0068061A"/>
    <w:rsid w:val="00681070"/>
    <w:rsid w:val="00681162"/>
    <w:rsid w:val="0068133A"/>
    <w:rsid w:val="00681572"/>
    <w:rsid w:val="006819A0"/>
    <w:rsid w:val="00681A10"/>
    <w:rsid w:val="00681D5B"/>
    <w:rsid w:val="00681E7F"/>
    <w:rsid w:val="00682128"/>
    <w:rsid w:val="006821A4"/>
    <w:rsid w:val="006822F6"/>
    <w:rsid w:val="00683D83"/>
    <w:rsid w:val="006846FD"/>
    <w:rsid w:val="00684747"/>
    <w:rsid w:val="006848DF"/>
    <w:rsid w:val="00684A71"/>
    <w:rsid w:val="00684C7B"/>
    <w:rsid w:val="00684DB8"/>
    <w:rsid w:val="0068503C"/>
    <w:rsid w:val="006850EB"/>
    <w:rsid w:val="006851AF"/>
    <w:rsid w:val="006859B9"/>
    <w:rsid w:val="00685A75"/>
    <w:rsid w:val="0068603D"/>
    <w:rsid w:val="00686508"/>
    <w:rsid w:val="00686A2D"/>
    <w:rsid w:val="00686D5B"/>
    <w:rsid w:val="006870CA"/>
    <w:rsid w:val="00687718"/>
    <w:rsid w:val="006877C3"/>
    <w:rsid w:val="00687AD2"/>
    <w:rsid w:val="0069023E"/>
    <w:rsid w:val="00690725"/>
    <w:rsid w:val="00690D6D"/>
    <w:rsid w:val="00691F26"/>
    <w:rsid w:val="00691F9F"/>
    <w:rsid w:val="00691FD0"/>
    <w:rsid w:val="00692336"/>
    <w:rsid w:val="006925A0"/>
    <w:rsid w:val="006927C1"/>
    <w:rsid w:val="00692CDD"/>
    <w:rsid w:val="00693BE4"/>
    <w:rsid w:val="0069482E"/>
    <w:rsid w:val="00694F7C"/>
    <w:rsid w:val="00695831"/>
    <w:rsid w:val="00695AA3"/>
    <w:rsid w:val="00695E8B"/>
    <w:rsid w:val="00696703"/>
    <w:rsid w:val="006969C0"/>
    <w:rsid w:val="00696ACA"/>
    <w:rsid w:val="00696BBD"/>
    <w:rsid w:val="00696BEC"/>
    <w:rsid w:val="00696E0C"/>
    <w:rsid w:val="00696E1E"/>
    <w:rsid w:val="00696E54"/>
    <w:rsid w:val="00697014"/>
    <w:rsid w:val="006972E0"/>
    <w:rsid w:val="006975CA"/>
    <w:rsid w:val="006978CB"/>
    <w:rsid w:val="006A0378"/>
    <w:rsid w:val="006A0904"/>
    <w:rsid w:val="006A094B"/>
    <w:rsid w:val="006A178A"/>
    <w:rsid w:val="006A1FAB"/>
    <w:rsid w:val="006A226D"/>
    <w:rsid w:val="006A23A7"/>
    <w:rsid w:val="006A272E"/>
    <w:rsid w:val="006A2948"/>
    <w:rsid w:val="006A2FF4"/>
    <w:rsid w:val="006A31AC"/>
    <w:rsid w:val="006A3B09"/>
    <w:rsid w:val="006A3D48"/>
    <w:rsid w:val="006A44C0"/>
    <w:rsid w:val="006A46A4"/>
    <w:rsid w:val="006A524F"/>
    <w:rsid w:val="006A5310"/>
    <w:rsid w:val="006A5803"/>
    <w:rsid w:val="006A59E6"/>
    <w:rsid w:val="006A5CA9"/>
    <w:rsid w:val="006A5D68"/>
    <w:rsid w:val="006A67C6"/>
    <w:rsid w:val="006A6B71"/>
    <w:rsid w:val="006A6EF9"/>
    <w:rsid w:val="006B0608"/>
    <w:rsid w:val="006B0903"/>
    <w:rsid w:val="006B099B"/>
    <w:rsid w:val="006B0C6C"/>
    <w:rsid w:val="006B13E2"/>
    <w:rsid w:val="006B16B7"/>
    <w:rsid w:val="006B1733"/>
    <w:rsid w:val="006B1C00"/>
    <w:rsid w:val="006B2090"/>
    <w:rsid w:val="006B2600"/>
    <w:rsid w:val="006B2876"/>
    <w:rsid w:val="006B28F8"/>
    <w:rsid w:val="006B298A"/>
    <w:rsid w:val="006B2B0E"/>
    <w:rsid w:val="006B2C08"/>
    <w:rsid w:val="006B48B2"/>
    <w:rsid w:val="006B4EF1"/>
    <w:rsid w:val="006B599A"/>
    <w:rsid w:val="006B5CBA"/>
    <w:rsid w:val="006B5E95"/>
    <w:rsid w:val="006B60A4"/>
    <w:rsid w:val="006B663B"/>
    <w:rsid w:val="006B6B2E"/>
    <w:rsid w:val="006B6C05"/>
    <w:rsid w:val="006B6D13"/>
    <w:rsid w:val="006B76AA"/>
    <w:rsid w:val="006B7961"/>
    <w:rsid w:val="006B7D12"/>
    <w:rsid w:val="006B7E99"/>
    <w:rsid w:val="006C0036"/>
    <w:rsid w:val="006C16A1"/>
    <w:rsid w:val="006C1908"/>
    <w:rsid w:val="006C2625"/>
    <w:rsid w:val="006C273D"/>
    <w:rsid w:val="006C2D9C"/>
    <w:rsid w:val="006C368A"/>
    <w:rsid w:val="006C36EA"/>
    <w:rsid w:val="006C38A9"/>
    <w:rsid w:val="006C399D"/>
    <w:rsid w:val="006C4546"/>
    <w:rsid w:val="006C4626"/>
    <w:rsid w:val="006C4EDC"/>
    <w:rsid w:val="006C61D3"/>
    <w:rsid w:val="006C6542"/>
    <w:rsid w:val="006C66F6"/>
    <w:rsid w:val="006C6937"/>
    <w:rsid w:val="006C6FE0"/>
    <w:rsid w:val="006C738E"/>
    <w:rsid w:val="006C7A96"/>
    <w:rsid w:val="006D07DE"/>
    <w:rsid w:val="006D0A4F"/>
    <w:rsid w:val="006D14BC"/>
    <w:rsid w:val="006D1799"/>
    <w:rsid w:val="006D1812"/>
    <w:rsid w:val="006D27A9"/>
    <w:rsid w:val="006D2A13"/>
    <w:rsid w:val="006D2C4D"/>
    <w:rsid w:val="006D3151"/>
    <w:rsid w:val="006D32A2"/>
    <w:rsid w:val="006D3E40"/>
    <w:rsid w:val="006D43AF"/>
    <w:rsid w:val="006D4CEE"/>
    <w:rsid w:val="006D4D9A"/>
    <w:rsid w:val="006D578A"/>
    <w:rsid w:val="006D5D4B"/>
    <w:rsid w:val="006D60C9"/>
    <w:rsid w:val="006D62F0"/>
    <w:rsid w:val="006D652D"/>
    <w:rsid w:val="006D69B8"/>
    <w:rsid w:val="006D75DB"/>
    <w:rsid w:val="006E039B"/>
    <w:rsid w:val="006E0912"/>
    <w:rsid w:val="006E1493"/>
    <w:rsid w:val="006E1980"/>
    <w:rsid w:val="006E19CD"/>
    <w:rsid w:val="006E1FC0"/>
    <w:rsid w:val="006E2021"/>
    <w:rsid w:val="006E2118"/>
    <w:rsid w:val="006E224C"/>
    <w:rsid w:val="006E2341"/>
    <w:rsid w:val="006E2687"/>
    <w:rsid w:val="006E269A"/>
    <w:rsid w:val="006E308F"/>
    <w:rsid w:val="006E32C2"/>
    <w:rsid w:val="006E34C2"/>
    <w:rsid w:val="006E35CD"/>
    <w:rsid w:val="006E397D"/>
    <w:rsid w:val="006E3C50"/>
    <w:rsid w:val="006E4440"/>
    <w:rsid w:val="006E4961"/>
    <w:rsid w:val="006E4BBC"/>
    <w:rsid w:val="006E4CA4"/>
    <w:rsid w:val="006E4D46"/>
    <w:rsid w:val="006E50AE"/>
    <w:rsid w:val="006E58E1"/>
    <w:rsid w:val="006E67B4"/>
    <w:rsid w:val="006E6A5F"/>
    <w:rsid w:val="006E6E35"/>
    <w:rsid w:val="006E73A7"/>
    <w:rsid w:val="006E7AA3"/>
    <w:rsid w:val="006E7B03"/>
    <w:rsid w:val="006E7C86"/>
    <w:rsid w:val="006E7F61"/>
    <w:rsid w:val="006F0940"/>
    <w:rsid w:val="006F0CDF"/>
    <w:rsid w:val="006F1147"/>
    <w:rsid w:val="006F17C5"/>
    <w:rsid w:val="006F2235"/>
    <w:rsid w:val="006F2768"/>
    <w:rsid w:val="006F28A8"/>
    <w:rsid w:val="006F2B1E"/>
    <w:rsid w:val="006F32FC"/>
    <w:rsid w:val="006F3381"/>
    <w:rsid w:val="006F3571"/>
    <w:rsid w:val="006F3638"/>
    <w:rsid w:val="006F36E0"/>
    <w:rsid w:val="006F3874"/>
    <w:rsid w:val="006F3DC5"/>
    <w:rsid w:val="006F4034"/>
    <w:rsid w:val="006F4846"/>
    <w:rsid w:val="006F4AD0"/>
    <w:rsid w:val="006F4E76"/>
    <w:rsid w:val="006F502E"/>
    <w:rsid w:val="006F568D"/>
    <w:rsid w:val="006F58B7"/>
    <w:rsid w:val="006F5C26"/>
    <w:rsid w:val="006F6426"/>
    <w:rsid w:val="006F65FF"/>
    <w:rsid w:val="006F672A"/>
    <w:rsid w:val="006F6B9C"/>
    <w:rsid w:val="006F6D43"/>
    <w:rsid w:val="006F7558"/>
    <w:rsid w:val="006F7ADF"/>
    <w:rsid w:val="006F7FA5"/>
    <w:rsid w:val="007000F7"/>
    <w:rsid w:val="007003F5"/>
    <w:rsid w:val="0070047B"/>
    <w:rsid w:val="007013A6"/>
    <w:rsid w:val="00701A3D"/>
    <w:rsid w:val="0070217E"/>
    <w:rsid w:val="007026D6"/>
    <w:rsid w:val="007027EA"/>
    <w:rsid w:val="007032F4"/>
    <w:rsid w:val="00703F81"/>
    <w:rsid w:val="0070505C"/>
    <w:rsid w:val="00705B34"/>
    <w:rsid w:val="00705E0A"/>
    <w:rsid w:val="00706040"/>
    <w:rsid w:val="00706782"/>
    <w:rsid w:val="007069B6"/>
    <w:rsid w:val="00706D4E"/>
    <w:rsid w:val="00706E34"/>
    <w:rsid w:val="00706F55"/>
    <w:rsid w:val="00706F93"/>
    <w:rsid w:val="007074EF"/>
    <w:rsid w:val="0070751E"/>
    <w:rsid w:val="0070779D"/>
    <w:rsid w:val="00710EC0"/>
    <w:rsid w:val="00710EFA"/>
    <w:rsid w:val="00711836"/>
    <w:rsid w:val="0071191A"/>
    <w:rsid w:val="0071191B"/>
    <w:rsid w:val="00711C5A"/>
    <w:rsid w:val="00711E10"/>
    <w:rsid w:val="0071284C"/>
    <w:rsid w:val="00712D49"/>
    <w:rsid w:val="00712DB3"/>
    <w:rsid w:val="007130B9"/>
    <w:rsid w:val="00713FD3"/>
    <w:rsid w:val="00714195"/>
    <w:rsid w:val="0071454B"/>
    <w:rsid w:val="00714835"/>
    <w:rsid w:val="007161C0"/>
    <w:rsid w:val="0071652E"/>
    <w:rsid w:val="00716726"/>
    <w:rsid w:val="00716898"/>
    <w:rsid w:val="007174F8"/>
    <w:rsid w:val="007175BD"/>
    <w:rsid w:val="00717627"/>
    <w:rsid w:val="00717977"/>
    <w:rsid w:val="00717A21"/>
    <w:rsid w:val="00717B10"/>
    <w:rsid w:val="00717D0B"/>
    <w:rsid w:val="00717E72"/>
    <w:rsid w:val="00720008"/>
    <w:rsid w:val="00720132"/>
    <w:rsid w:val="00720580"/>
    <w:rsid w:val="007206EB"/>
    <w:rsid w:val="0072083F"/>
    <w:rsid w:val="00720971"/>
    <w:rsid w:val="007219A3"/>
    <w:rsid w:val="00721CAD"/>
    <w:rsid w:val="00721FDF"/>
    <w:rsid w:val="00722DBD"/>
    <w:rsid w:val="00723533"/>
    <w:rsid w:val="007235AF"/>
    <w:rsid w:val="007235B8"/>
    <w:rsid w:val="0072441C"/>
    <w:rsid w:val="00724A73"/>
    <w:rsid w:val="0072544F"/>
    <w:rsid w:val="007254EC"/>
    <w:rsid w:val="007259E1"/>
    <w:rsid w:val="00725AB0"/>
    <w:rsid w:val="00725E94"/>
    <w:rsid w:val="00725EC9"/>
    <w:rsid w:val="00725FA8"/>
    <w:rsid w:val="0072643D"/>
    <w:rsid w:val="00726821"/>
    <w:rsid w:val="00726CE3"/>
    <w:rsid w:val="00726F77"/>
    <w:rsid w:val="0072742C"/>
    <w:rsid w:val="00727734"/>
    <w:rsid w:val="00727AC4"/>
    <w:rsid w:val="00727D84"/>
    <w:rsid w:val="0073011A"/>
    <w:rsid w:val="00730135"/>
    <w:rsid w:val="00730182"/>
    <w:rsid w:val="007307F9"/>
    <w:rsid w:val="00730A21"/>
    <w:rsid w:val="00730A60"/>
    <w:rsid w:val="00730DD3"/>
    <w:rsid w:val="00730F4D"/>
    <w:rsid w:val="00730F56"/>
    <w:rsid w:val="00730F6D"/>
    <w:rsid w:val="00731F53"/>
    <w:rsid w:val="00732B40"/>
    <w:rsid w:val="00732F7D"/>
    <w:rsid w:val="0073316B"/>
    <w:rsid w:val="00733177"/>
    <w:rsid w:val="00733671"/>
    <w:rsid w:val="007338E0"/>
    <w:rsid w:val="00733CBF"/>
    <w:rsid w:val="00733D39"/>
    <w:rsid w:val="00734C8D"/>
    <w:rsid w:val="00734DCB"/>
    <w:rsid w:val="00735250"/>
    <w:rsid w:val="0073551D"/>
    <w:rsid w:val="00735648"/>
    <w:rsid w:val="007356CF"/>
    <w:rsid w:val="007359DD"/>
    <w:rsid w:val="00735CE5"/>
    <w:rsid w:val="0073618B"/>
    <w:rsid w:val="007362DB"/>
    <w:rsid w:val="00736560"/>
    <w:rsid w:val="00736B87"/>
    <w:rsid w:val="00736DF1"/>
    <w:rsid w:val="00737389"/>
    <w:rsid w:val="00737A06"/>
    <w:rsid w:val="00737D8A"/>
    <w:rsid w:val="00737FB8"/>
    <w:rsid w:val="0074044F"/>
    <w:rsid w:val="007409D4"/>
    <w:rsid w:val="007411AD"/>
    <w:rsid w:val="007412DC"/>
    <w:rsid w:val="00741964"/>
    <w:rsid w:val="00741EEA"/>
    <w:rsid w:val="0074209C"/>
    <w:rsid w:val="0074248A"/>
    <w:rsid w:val="007425A3"/>
    <w:rsid w:val="00742D08"/>
    <w:rsid w:val="00742D1E"/>
    <w:rsid w:val="0074380C"/>
    <w:rsid w:val="00743CCE"/>
    <w:rsid w:val="00743EE9"/>
    <w:rsid w:val="007453D9"/>
    <w:rsid w:val="00745629"/>
    <w:rsid w:val="007459D7"/>
    <w:rsid w:val="00745B73"/>
    <w:rsid w:val="00745BC0"/>
    <w:rsid w:val="00746D63"/>
    <w:rsid w:val="007478C7"/>
    <w:rsid w:val="00747BB5"/>
    <w:rsid w:val="00751203"/>
    <w:rsid w:val="00751680"/>
    <w:rsid w:val="007517F3"/>
    <w:rsid w:val="00751AE8"/>
    <w:rsid w:val="00751BE7"/>
    <w:rsid w:val="00752397"/>
    <w:rsid w:val="007526B5"/>
    <w:rsid w:val="00753459"/>
    <w:rsid w:val="00753FC5"/>
    <w:rsid w:val="00755185"/>
    <w:rsid w:val="0075578D"/>
    <w:rsid w:val="00756F01"/>
    <w:rsid w:val="00757A03"/>
    <w:rsid w:val="00760140"/>
    <w:rsid w:val="00760DBE"/>
    <w:rsid w:val="00760E70"/>
    <w:rsid w:val="00760FC5"/>
    <w:rsid w:val="00761534"/>
    <w:rsid w:val="0076214A"/>
    <w:rsid w:val="007628EA"/>
    <w:rsid w:val="00762BEE"/>
    <w:rsid w:val="00762E10"/>
    <w:rsid w:val="00763050"/>
    <w:rsid w:val="007631C6"/>
    <w:rsid w:val="007631F0"/>
    <w:rsid w:val="00763FBF"/>
    <w:rsid w:val="00764225"/>
    <w:rsid w:val="00764BF4"/>
    <w:rsid w:val="0076509D"/>
    <w:rsid w:val="0076572F"/>
    <w:rsid w:val="00765ECF"/>
    <w:rsid w:val="00766265"/>
    <w:rsid w:val="007666BF"/>
    <w:rsid w:val="007670AE"/>
    <w:rsid w:val="00767A50"/>
    <w:rsid w:val="00767DF1"/>
    <w:rsid w:val="0077082D"/>
    <w:rsid w:val="00770B6C"/>
    <w:rsid w:val="00770BB7"/>
    <w:rsid w:val="00770BD5"/>
    <w:rsid w:val="00770D03"/>
    <w:rsid w:val="00771633"/>
    <w:rsid w:val="007716BC"/>
    <w:rsid w:val="00772B42"/>
    <w:rsid w:val="00772E2F"/>
    <w:rsid w:val="00773233"/>
    <w:rsid w:val="00773320"/>
    <w:rsid w:val="007735AF"/>
    <w:rsid w:val="007736F6"/>
    <w:rsid w:val="00775047"/>
    <w:rsid w:val="007752DF"/>
    <w:rsid w:val="00775867"/>
    <w:rsid w:val="00775A9D"/>
    <w:rsid w:val="00775B7D"/>
    <w:rsid w:val="00775CC2"/>
    <w:rsid w:val="007761E7"/>
    <w:rsid w:val="007764C9"/>
    <w:rsid w:val="00776546"/>
    <w:rsid w:val="0077667C"/>
    <w:rsid w:val="00776C69"/>
    <w:rsid w:val="0077712A"/>
    <w:rsid w:val="007777D1"/>
    <w:rsid w:val="00777DCF"/>
    <w:rsid w:val="00777FEC"/>
    <w:rsid w:val="0078061D"/>
    <w:rsid w:val="0078094C"/>
    <w:rsid w:val="00780DBB"/>
    <w:rsid w:val="00781A50"/>
    <w:rsid w:val="0078256C"/>
    <w:rsid w:val="007829FC"/>
    <w:rsid w:val="007835E2"/>
    <w:rsid w:val="00783EE2"/>
    <w:rsid w:val="00784827"/>
    <w:rsid w:val="00784A98"/>
    <w:rsid w:val="00784BCF"/>
    <w:rsid w:val="00784C07"/>
    <w:rsid w:val="007854BB"/>
    <w:rsid w:val="00786A40"/>
    <w:rsid w:val="007877E6"/>
    <w:rsid w:val="00787A05"/>
    <w:rsid w:val="00787BAD"/>
    <w:rsid w:val="00787CA6"/>
    <w:rsid w:val="007903AD"/>
    <w:rsid w:val="0079073C"/>
    <w:rsid w:val="00790AA9"/>
    <w:rsid w:val="00790F57"/>
    <w:rsid w:val="0079124A"/>
    <w:rsid w:val="007912D3"/>
    <w:rsid w:val="00791853"/>
    <w:rsid w:val="00792214"/>
    <w:rsid w:val="00792DF9"/>
    <w:rsid w:val="00792E7F"/>
    <w:rsid w:val="007932AF"/>
    <w:rsid w:val="0079404F"/>
    <w:rsid w:val="007943C4"/>
    <w:rsid w:val="007947C1"/>
    <w:rsid w:val="00794A4F"/>
    <w:rsid w:val="00795430"/>
    <w:rsid w:val="00795731"/>
    <w:rsid w:val="00796102"/>
    <w:rsid w:val="007962C7"/>
    <w:rsid w:val="007964BE"/>
    <w:rsid w:val="00797168"/>
    <w:rsid w:val="0079763D"/>
    <w:rsid w:val="007979BE"/>
    <w:rsid w:val="007A043D"/>
    <w:rsid w:val="007A0B37"/>
    <w:rsid w:val="007A10C6"/>
    <w:rsid w:val="007A10DF"/>
    <w:rsid w:val="007A11E6"/>
    <w:rsid w:val="007A19EF"/>
    <w:rsid w:val="007A2148"/>
    <w:rsid w:val="007A22A8"/>
    <w:rsid w:val="007A2393"/>
    <w:rsid w:val="007A23F5"/>
    <w:rsid w:val="007A253B"/>
    <w:rsid w:val="007A25D3"/>
    <w:rsid w:val="007A29F4"/>
    <w:rsid w:val="007A3165"/>
    <w:rsid w:val="007A42EF"/>
    <w:rsid w:val="007A4EA9"/>
    <w:rsid w:val="007A5156"/>
    <w:rsid w:val="007A558A"/>
    <w:rsid w:val="007A558D"/>
    <w:rsid w:val="007A5792"/>
    <w:rsid w:val="007A57C6"/>
    <w:rsid w:val="007A585F"/>
    <w:rsid w:val="007A5950"/>
    <w:rsid w:val="007A5999"/>
    <w:rsid w:val="007A5DF4"/>
    <w:rsid w:val="007A5EA4"/>
    <w:rsid w:val="007A5F59"/>
    <w:rsid w:val="007A5FFC"/>
    <w:rsid w:val="007A6366"/>
    <w:rsid w:val="007A6515"/>
    <w:rsid w:val="007A662C"/>
    <w:rsid w:val="007A6E7D"/>
    <w:rsid w:val="007A7238"/>
    <w:rsid w:val="007A7817"/>
    <w:rsid w:val="007A79F6"/>
    <w:rsid w:val="007A7D20"/>
    <w:rsid w:val="007B01BE"/>
    <w:rsid w:val="007B05ED"/>
    <w:rsid w:val="007B09D7"/>
    <w:rsid w:val="007B10CF"/>
    <w:rsid w:val="007B21CF"/>
    <w:rsid w:val="007B2247"/>
    <w:rsid w:val="007B292C"/>
    <w:rsid w:val="007B2AF1"/>
    <w:rsid w:val="007B2CBA"/>
    <w:rsid w:val="007B30E2"/>
    <w:rsid w:val="007B3126"/>
    <w:rsid w:val="007B31EA"/>
    <w:rsid w:val="007B3596"/>
    <w:rsid w:val="007B359E"/>
    <w:rsid w:val="007B3B43"/>
    <w:rsid w:val="007B3C17"/>
    <w:rsid w:val="007B4596"/>
    <w:rsid w:val="007B4964"/>
    <w:rsid w:val="007B4BBD"/>
    <w:rsid w:val="007B4D06"/>
    <w:rsid w:val="007B4D35"/>
    <w:rsid w:val="007B5201"/>
    <w:rsid w:val="007B52C7"/>
    <w:rsid w:val="007B53BB"/>
    <w:rsid w:val="007B55E0"/>
    <w:rsid w:val="007B5A79"/>
    <w:rsid w:val="007B673A"/>
    <w:rsid w:val="007B6AC1"/>
    <w:rsid w:val="007B6DEF"/>
    <w:rsid w:val="007B6EA9"/>
    <w:rsid w:val="007B6F64"/>
    <w:rsid w:val="007B7487"/>
    <w:rsid w:val="007B76A4"/>
    <w:rsid w:val="007B7D5A"/>
    <w:rsid w:val="007B7E0A"/>
    <w:rsid w:val="007B7F05"/>
    <w:rsid w:val="007B7F42"/>
    <w:rsid w:val="007C0090"/>
    <w:rsid w:val="007C0268"/>
    <w:rsid w:val="007C0278"/>
    <w:rsid w:val="007C11AD"/>
    <w:rsid w:val="007C158B"/>
    <w:rsid w:val="007C15D6"/>
    <w:rsid w:val="007C1736"/>
    <w:rsid w:val="007C1795"/>
    <w:rsid w:val="007C1F09"/>
    <w:rsid w:val="007C2650"/>
    <w:rsid w:val="007C279A"/>
    <w:rsid w:val="007C2867"/>
    <w:rsid w:val="007C2AC8"/>
    <w:rsid w:val="007C3801"/>
    <w:rsid w:val="007C3B0F"/>
    <w:rsid w:val="007C4364"/>
    <w:rsid w:val="007C44E7"/>
    <w:rsid w:val="007C459B"/>
    <w:rsid w:val="007C5A3F"/>
    <w:rsid w:val="007C5AFC"/>
    <w:rsid w:val="007C61BB"/>
    <w:rsid w:val="007C6532"/>
    <w:rsid w:val="007C7393"/>
    <w:rsid w:val="007C772E"/>
    <w:rsid w:val="007C778A"/>
    <w:rsid w:val="007C7CA6"/>
    <w:rsid w:val="007C7F78"/>
    <w:rsid w:val="007D019E"/>
    <w:rsid w:val="007D08FD"/>
    <w:rsid w:val="007D12AC"/>
    <w:rsid w:val="007D1F6D"/>
    <w:rsid w:val="007D20BA"/>
    <w:rsid w:val="007D2220"/>
    <w:rsid w:val="007D2D54"/>
    <w:rsid w:val="007D3419"/>
    <w:rsid w:val="007D35CE"/>
    <w:rsid w:val="007D35D9"/>
    <w:rsid w:val="007D3839"/>
    <w:rsid w:val="007D3866"/>
    <w:rsid w:val="007D3934"/>
    <w:rsid w:val="007D39F6"/>
    <w:rsid w:val="007D3B40"/>
    <w:rsid w:val="007D3F0A"/>
    <w:rsid w:val="007D40C6"/>
    <w:rsid w:val="007D42DD"/>
    <w:rsid w:val="007D44BF"/>
    <w:rsid w:val="007D47D9"/>
    <w:rsid w:val="007D497D"/>
    <w:rsid w:val="007D4D0A"/>
    <w:rsid w:val="007D50E2"/>
    <w:rsid w:val="007D5653"/>
    <w:rsid w:val="007D56ED"/>
    <w:rsid w:val="007D5862"/>
    <w:rsid w:val="007D629B"/>
    <w:rsid w:val="007D62B5"/>
    <w:rsid w:val="007D6E5C"/>
    <w:rsid w:val="007D6ED6"/>
    <w:rsid w:val="007D73BC"/>
    <w:rsid w:val="007D764A"/>
    <w:rsid w:val="007D7750"/>
    <w:rsid w:val="007D77F0"/>
    <w:rsid w:val="007D7BF3"/>
    <w:rsid w:val="007D7CFA"/>
    <w:rsid w:val="007D7EA7"/>
    <w:rsid w:val="007E012A"/>
    <w:rsid w:val="007E01D9"/>
    <w:rsid w:val="007E1201"/>
    <w:rsid w:val="007E1946"/>
    <w:rsid w:val="007E1D7A"/>
    <w:rsid w:val="007E25A9"/>
    <w:rsid w:val="007E2C6C"/>
    <w:rsid w:val="007E3DC8"/>
    <w:rsid w:val="007E40FD"/>
    <w:rsid w:val="007E4C07"/>
    <w:rsid w:val="007E4C31"/>
    <w:rsid w:val="007E4CED"/>
    <w:rsid w:val="007E4E4F"/>
    <w:rsid w:val="007E5094"/>
    <w:rsid w:val="007E50C4"/>
    <w:rsid w:val="007E5365"/>
    <w:rsid w:val="007E566F"/>
    <w:rsid w:val="007E5BF8"/>
    <w:rsid w:val="007E5D8E"/>
    <w:rsid w:val="007E5DB4"/>
    <w:rsid w:val="007E62CB"/>
    <w:rsid w:val="007E649A"/>
    <w:rsid w:val="007E6713"/>
    <w:rsid w:val="007E6889"/>
    <w:rsid w:val="007F018F"/>
    <w:rsid w:val="007F05CD"/>
    <w:rsid w:val="007F09CA"/>
    <w:rsid w:val="007F11A1"/>
    <w:rsid w:val="007F1431"/>
    <w:rsid w:val="007F1970"/>
    <w:rsid w:val="007F1B1B"/>
    <w:rsid w:val="007F1D4E"/>
    <w:rsid w:val="007F1E43"/>
    <w:rsid w:val="007F2076"/>
    <w:rsid w:val="007F20A3"/>
    <w:rsid w:val="007F2FA8"/>
    <w:rsid w:val="007F3759"/>
    <w:rsid w:val="007F3DCC"/>
    <w:rsid w:val="007F3E5F"/>
    <w:rsid w:val="007F47E9"/>
    <w:rsid w:val="007F4AC0"/>
    <w:rsid w:val="007F4EA2"/>
    <w:rsid w:val="007F509E"/>
    <w:rsid w:val="007F57E7"/>
    <w:rsid w:val="007F5D04"/>
    <w:rsid w:val="007F64F3"/>
    <w:rsid w:val="007F694D"/>
    <w:rsid w:val="007F6C15"/>
    <w:rsid w:val="007F6D97"/>
    <w:rsid w:val="007F7B84"/>
    <w:rsid w:val="0080004A"/>
    <w:rsid w:val="00800875"/>
    <w:rsid w:val="00800B78"/>
    <w:rsid w:val="00801196"/>
    <w:rsid w:val="00801568"/>
    <w:rsid w:val="00801733"/>
    <w:rsid w:val="008017D3"/>
    <w:rsid w:val="0080192B"/>
    <w:rsid w:val="00801B2D"/>
    <w:rsid w:val="008024F7"/>
    <w:rsid w:val="00802732"/>
    <w:rsid w:val="008027A1"/>
    <w:rsid w:val="008027AD"/>
    <w:rsid w:val="00802F17"/>
    <w:rsid w:val="008038AF"/>
    <w:rsid w:val="0080396F"/>
    <w:rsid w:val="00803A87"/>
    <w:rsid w:val="00803D0F"/>
    <w:rsid w:val="00803F9A"/>
    <w:rsid w:val="00804025"/>
    <w:rsid w:val="0080408E"/>
    <w:rsid w:val="00804386"/>
    <w:rsid w:val="00804A65"/>
    <w:rsid w:val="00804E69"/>
    <w:rsid w:val="00804F59"/>
    <w:rsid w:val="0080507D"/>
    <w:rsid w:val="00805E20"/>
    <w:rsid w:val="00806402"/>
    <w:rsid w:val="0080659C"/>
    <w:rsid w:val="00806713"/>
    <w:rsid w:val="008068F9"/>
    <w:rsid w:val="00806E24"/>
    <w:rsid w:val="00807237"/>
    <w:rsid w:val="008079A2"/>
    <w:rsid w:val="00807CDD"/>
    <w:rsid w:val="00810166"/>
    <w:rsid w:val="008102D5"/>
    <w:rsid w:val="00810329"/>
    <w:rsid w:val="0081071A"/>
    <w:rsid w:val="008108B8"/>
    <w:rsid w:val="00810D29"/>
    <w:rsid w:val="00810E08"/>
    <w:rsid w:val="00811745"/>
    <w:rsid w:val="00811811"/>
    <w:rsid w:val="0081182D"/>
    <w:rsid w:val="008118CD"/>
    <w:rsid w:val="00811B49"/>
    <w:rsid w:val="00812DB6"/>
    <w:rsid w:val="00813186"/>
    <w:rsid w:val="00813AD5"/>
    <w:rsid w:val="00813CBE"/>
    <w:rsid w:val="00813EFB"/>
    <w:rsid w:val="0081457D"/>
    <w:rsid w:val="008147FE"/>
    <w:rsid w:val="0081492F"/>
    <w:rsid w:val="00814990"/>
    <w:rsid w:val="00814A56"/>
    <w:rsid w:val="00814F01"/>
    <w:rsid w:val="00814F31"/>
    <w:rsid w:val="00815029"/>
    <w:rsid w:val="00815324"/>
    <w:rsid w:val="0081545C"/>
    <w:rsid w:val="0081558C"/>
    <w:rsid w:val="00815718"/>
    <w:rsid w:val="00815B65"/>
    <w:rsid w:val="00815C39"/>
    <w:rsid w:val="00815E84"/>
    <w:rsid w:val="0081634A"/>
    <w:rsid w:val="008167C8"/>
    <w:rsid w:val="00816B06"/>
    <w:rsid w:val="00816F15"/>
    <w:rsid w:val="0081701E"/>
    <w:rsid w:val="008172AF"/>
    <w:rsid w:val="008176FA"/>
    <w:rsid w:val="00817995"/>
    <w:rsid w:val="008203C3"/>
    <w:rsid w:val="00820464"/>
    <w:rsid w:val="00820EB4"/>
    <w:rsid w:val="00821031"/>
    <w:rsid w:val="008226C4"/>
    <w:rsid w:val="008228EA"/>
    <w:rsid w:val="00822A42"/>
    <w:rsid w:val="00822DB5"/>
    <w:rsid w:val="00823035"/>
    <w:rsid w:val="008237E7"/>
    <w:rsid w:val="0082410A"/>
    <w:rsid w:val="00824EF2"/>
    <w:rsid w:val="00826099"/>
    <w:rsid w:val="00827B66"/>
    <w:rsid w:val="00827B94"/>
    <w:rsid w:val="00827BB1"/>
    <w:rsid w:val="008303CA"/>
    <w:rsid w:val="00830485"/>
    <w:rsid w:val="0083084E"/>
    <w:rsid w:val="00830857"/>
    <w:rsid w:val="008308D7"/>
    <w:rsid w:val="008311A4"/>
    <w:rsid w:val="0083138D"/>
    <w:rsid w:val="008313B3"/>
    <w:rsid w:val="008317BB"/>
    <w:rsid w:val="00832010"/>
    <w:rsid w:val="00832033"/>
    <w:rsid w:val="008325D1"/>
    <w:rsid w:val="00832FDC"/>
    <w:rsid w:val="008333EF"/>
    <w:rsid w:val="00834462"/>
    <w:rsid w:val="0083465A"/>
    <w:rsid w:val="00834BE1"/>
    <w:rsid w:val="008352A8"/>
    <w:rsid w:val="00835649"/>
    <w:rsid w:val="0083621A"/>
    <w:rsid w:val="00836BA6"/>
    <w:rsid w:val="00836BBD"/>
    <w:rsid w:val="00836E8C"/>
    <w:rsid w:val="00837A23"/>
    <w:rsid w:val="00837A31"/>
    <w:rsid w:val="0084073D"/>
    <w:rsid w:val="0084079F"/>
    <w:rsid w:val="00840F53"/>
    <w:rsid w:val="00841766"/>
    <w:rsid w:val="00841B0A"/>
    <w:rsid w:val="00841BE4"/>
    <w:rsid w:val="0084201C"/>
    <w:rsid w:val="0084259C"/>
    <w:rsid w:val="00842BD1"/>
    <w:rsid w:val="00842E7D"/>
    <w:rsid w:val="00843440"/>
    <w:rsid w:val="00844127"/>
    <w:rsid w:val="008445BC"/>
    <w:rsid w:val="00844878"/>
    <w:rsid w:val="00844A8A"/>
    <w:rsid w:val="008451F1"/>
    <w:rsid w:val="00845289"/>
    <w:rsid w:val="00845ED8"/>
    <w:rsid w:val="0084628F"/>
    <w:rsid w:val="00846410"/>
    <w:rsid w:val="00846574"/>
    <w:rsid w:val="00846A9B"/>
    <w:rsid w:val="00846C65"/>
    <w:rsid w:val="00846CD2"/>
    <w:rsid w:val="008471B1"/>
    <w:rsid w:val="008478BC"/>
    <w:rsid w:val="00847A16"/>
    <w:rsid w:val="00850078"/>
    <w:rsid w:val="008501D0"/>
    <w:rsid w:val="0085052F"/>
    <w:rsid w:val="00850689"/>
    <w:rsid w:val="0085077D"/>
    <w:rsid w:val="00850B55"/>
    <w:rsid w:val="00852712"/>
    <w:rsid w:val="008527DD"/>
    <w:rsid w:val="00852D8E"/>
    <w:rsid w:val="00853776"/>
    <w:rsid w:val="008538CA"/>
    <w:rsid w:val="00854214"/>
    <w:rsid w:val="008550D2"/>
    <w:rsid w:val="00855498"/>
    <w:rsid w:val="00855696"/>
    <w:rsid w:val="00855E78"/>
    <w:rsid w:val="008565FC"/>
    <w:rsid w:val="00856A2E"/>
    <w:rsid w:val="00856A6D"/>
    <w:rsid w:val="008576B1"/>
    <w:rsid w:val="00857817"/>
    <w:rsid w:val="00857A5F"/>
    <w:rsid w:val="00857AD3"/>
    <w:rsid w:val="00860137"/>
    <w:rsid w:val="00860220"/>
    <w:rsid w:val="0086069C"/>
    <w:rsid w:val="00860774"/>
    <w:rsid w:val="00860CF4"/>
    <w:rsid w:val="00861123"/>
    <w:rsid w:val="00861313"/>
    <w:rsid w:val="00861740"/>
    <w:rsid w:val="0086188E"/>
    <w:rsid w:val="00862325"/>
    <w:rsid w:val="0086240C"/>
    <w:rsid w:val="00862595"/>
    <w:rsid w:val="008627EC"/>
    <w:rsid w:val="008628EF"/>
    <w:rsid w:val="00862A11"/>
    <w:rsid w:val="00863779"/>
    <w:rsid w:val="00863AE4"/>
    <w:rsid w:val="008643A7"/>
    <w:rsid w:val="008651A0"/>
    <w:rsid w:val="00865CA6"/>
    <w:rsid w:val="00865CC7"/>
    <w:rsid w:val="00865D93"/>
    <w:rsid w:val="00866659"/>
    <w:rsid w:val="0086733B"/>
    <w:rsid w:val="008675E8"/>
    <w:rsid w:val="00867CC1"/>
    <w:rsid w:val="00870190"/>
    <w:rsid w:val="008703D9"/>
    <w:rsid w:val="00870AB1"/>
    <w:rsid w:val="00871015"/>
    <w:rsid w:val="008710D8"/>
    <w:rsid w:val="008718ED"/>
    <w:rsid w:val="00871A92"/>
    <w:rsid w:val="00871E71"/>
    <w:rsid w:val="008720CC"/>
    <w:rsid w:val="008738C6"/>
    <w:rsid w:val="008738FD"/>
    <w:rsid w:val="00873FEE"/>
    <w:rsid w:val="008740A0"/>
    <w:rsid w:val="008740C4"/>
    <w:rsid w:val="00874486"/>
    <w:rsid w:val="0087467D"/>
    <w:rsid w:val="00874694"/>
    <w:rsid w:val="008747DA"/>
    <w:rsid w:val="00874A07"/>
    <w:rsid w:val="008751AC"/>
    <w:rsid w:val="008755AA"/>
    <w:rsid w:val="008756CF"/>
    <w:rsid w:val="008759E7"/>
    <w:rsid w:val="00875CA4"/>
    <w:rsid w:val="00875D86"/>
    <w:rsid w:val="008761C0"/>
    <w:rsid w:val="0087623E"/>
    <w:rsid w:val="00876524"/>
    <w:rsid w:val="008770A2"/>
    <w:rsid w:val="008775E1"/>
    <w:rsid w:val="00877724"/>
    <w:rsid w:val="00877735"/>
    <w:rsid w:val="00877D36"/>
    <w:rsid w:val="00877F52"/>
    <w:rsid w:val="00880535"/>
    <w:rsid w:val="00880583"/>
    <w:rsid w:val="008806B9"/>
    <w:rsid w:val="00881212"/>
    <w:rsid w:val="00881EB1"/>
    <w:rsid w:val="008828DC"/>
    <w:rsid w:val="00882A5B"/>
    <w:rsid w:val="00882D24"/>
    <w:rsid w:val="00882D89"/>
    <w:rsid w:val="00883017"/>
    <w:rsid w:val="0088356E"/>
    <w:rsid w:val="0088363C"/>
    <w:rsid w:val="00883710"/>
    <w:rsid w:val="00883C5F"/>
    <w:rsid w:val="00884556"/>
    <w:rsid w:val="00884C4B"/>
    <w:rsid w:val="00884CE4"/>
    <w:rsid w:val="00884DDC"/>
    <w:rsid w:val="00884F1B"/>
    <w:rsid w:val="0088516C"/>
    <w:rsid w:val="008851A2"/>
    <w:rsid w:val="00885306"/>
    <w:rsid w:val="00885451"/>
    <w:rsid w:val="00886423"/>
    <w:rsid w:val="008867CD"/>
    <w:rsid w:val="008867E4"/>
    <w:rsid w:val="00886DE2"/>
    <w:rsid w:val="0089001F"/>
    <w:rsid w:val="008901F3"/>
    <w:rsid w:val="00890857"/>
    <w:rsid w:val="00890B8C"/>
    <w:rsid w:val="00890FF7"/>
    <w:rsid w:val="00891094"/>
    <w:rsid w:val="008918F9"/>
    <w:rsid w:val="008919F6"/>
    <w:rsid w:val="00891A3E"/>
    <w:rsid w:val="0089236B"/>
    <w:rsid w:val="0089278F"/>
    <w:rsid w:val="00892A4E"/>
    <w:rsid w:val="00892A8C"/>
    <w:rsid w:val="00892B36"/>
    <w:rsid w:val="00893095"/>
    <w:rsid w:val="00893AD0"/>
    <w:rsid w:val="00893B71"/>
    <w:rsid w:val="00893C7C"/>
    <w:rsid w:val="008942B5"/>
    <w:rsid w:val="00894706"/>
    <w:rsid w:val="00894876"/>
    <w:rsid w:val="008949FD"/>
    <w:rsid w:val="00894C46"/>
    <w:rsid w:val="00894D87"/>
    <w:rsid w:val="0089589C"/>
    <w:rsid w:val="008964F0"/>
    <w:rsid w:val="008968C1"/>
    <w:rsid w:val="00896C40"/>
    <w:rsid w:val="00896CA3"/>
    <w:rsid w:val="0089707B"/>
    <w:rsid w:val="0089708A"/>
    <w:rsid w:val="00897861"/>
    <w:rsid w:val="008979C6"/>
    <w:rsid w:val="00897AAA"/>
    <w:rsid w:val="00897D68"/>
    <w:rsid w:val="00897E3F"/>
    <w:rsid w:val="008A0194"/>
    <w:rsid w:val="008A0BF6"/>
    <w:rsid w:val="008A11A4"/>
    <w:rsid w:val="008A12CA"/>
    <w:rsid w:val="008A1669"/>
    <w:rsid w:val="008A1843"/>
    <w:rsid w:val="008A1998"/>
    <w:rsid w:val="008A1DE7"/>
    <w:rsid w:val="008A1E38"/>
    <w:rsid w:val="008A2423"/>
    <w:rsid w:val="008A294A"/>
    <w:rsid w:val="008A2D2D"/>
    <w:rsid w:val="008A2E3D"/>
    <w:rsid w:val="008A385C"/>
    <w:rsid w:val="008A3A52"/>
    <w:rsid w:val="008A40D9"/>
    <w:rsid w:val="008A41F4"/>
    <w:rsid w:val="008A4215"/>
    <w:rsid w:val="008A424B"/>
    <w:rsid w:val="008A4513"/>
    <w:rsid w:val="008A575B"/>
    <w:rsid w:val="008A5939"/>
    <w:rsid w:val="008A60AB"/>
    <w:rsid w:val="008A6134"/>
    <w:rsid w:val="008A650E"/>
    <w:rsid w:val="008A6BB4"/>
    <w:rsid w:val="008A6C01"/>
    <w:rsid w:val="008A6C2E"/>
    <w:rsid w:val="008A6C6D"/>
    <w:rsid w:val="008A79F8"/>
    <w:rsid w:val="008A7AD6"/>
    <w:rsid w:val="008A7DC1"/>
    <w:rsid w:val="008B0687"/>
    <w:rsid w:val="008B07E7"/>
    <w:rsid w:val="008B0CB6"/>
    <w:rsid w:val="008B0E17"/>
    <w:rsid w:val="008B234C"/>
    <w:rsid w:val="008B2A21"/>
    <w:rsid w:val="008B2A6E"/>
    <w:rsid w:val="008B3943"/>
    <w:rsid w:val="008B3C5F"/>
    <w:rsid w:val="008B4A38"/>
    <w:rsid w:val="008B4BD0"/>
    <w:rsid w:val="008B4F4F"/>
    <w:rsid w:val="008B5E11"/>
    <w:rsid w:val="008B6882"/>
    <w:rsid w:val="008B68BA"/>
    <w:rsid w:val="008B698C"/>
    <w:rsid w:val="008B6D1A"/>
    <w:rsid w:val="008B6FA7"/>
    <w:rsid w:val="008B716D"/>
    <w:rsid w:val="008B76CE"/>
    <w:rsid w:val="008B7B6D"/>
    <w:rsid w:val="008B7C0F"/>
    <w:rsid w:val="008C04CC"/>
    <w:rsid w:val="008C07D4"/>
    <w:rsid w:val="008C07EE"/>
    <w:rsid w:val="008C11F8"/>
    <w:rsid w:val="008C144E"/>
    <w:rsid w:val="008C149C"/>
    <w:rsid w:val="008C1C6C"/>
    <w:rsid w:val="008C1E59"/>
    <w:rsid w:val="008C2351"/>
    <w:rsid w:val="008C2862"/>
    <w:rsid w:val="008C2F42"/>
    <w:rsid w:val="008C3324"/>
    <w:rsid w:val="008C3325"/>
    <w:rsid w:val="008C37AF"/>
    <w:rsid w:val="008C3B7C"/>
    <w:rsid w:val="008C40E5"/>
    <w:rsid w:val="008C43B9"/>
    <w:rsid w:val="008C46E0"/>
    <w:rsid w:val="008C4720"/>
    <w:rsid w:val="008C4AD2"/>
    <w:rsid w:val="008C4B6C"/>
    <w:rsid w:val="008C5281"/>
    <w:rsid w:val="008C5EA5"/>
    <w:rsid w:val="008C6218"/>
    <w:rsid w:val="008C6810"/>
    <w:rsid w:val="008C6B97"/>
    <w:rsid w:val="008D0A9D"/>
    <w:rsid w:val="008D0E7A"/>
    <w:rsid w:val="008D0ED3"/>
    <w:rsid w:val="008D1019"/>
    <w:rsid w:val="008D16AC"/>
    <w:rsid w:val="008D1EE4"/>
    <w:rsid w:val="008D215B"/>
    <w:rsid w:val="008D26CC"/>
    <w:rsid w:val="008D2DE5"/>
    <w:rsid w:val="008D2EC0"/>
    <w:rsid w:val="008D3162"/>
    <w:rsid w:val="008D38D5"/>
    <w:rsid w:val="008D398F"/>
    <w:rsid w:val="008D3B53"/>
    <w:rsid w:val="008D3F42"/>
    <w:rsid w:val="008D40CA"/>
    <w:rsid w:val="008D4354"/>
    <w:rsid w:val="008D4433"/>
    <w:rsid w:val="008D47FA"/>
    <w:rsid w:val="008D4C5E"/>
    <w:rsid w:val="008D5928"/>
    <w:rsid w:val="008D61D7"/>
    <w:rsid w:val="008D6222"/>
    <w:rsid w:val="008D6928"/>
    <w:rsid w:val="008D6BF3"/>
    <w:rsid w:val="008D6CD6"/>
    <w:rsid w:val="008D6F77"/>
    <w:rsid w:val="008D78B4"/>
    <w:rsid w:val="008D7C05"/>
    <w:rsid w:val="008E083E"/>
    <w:rsid w:val="008E0C88"/>
    <w:rsid w:val="008E0CCE"/>
    <w:rsid w:val="008E132C"/>
    <w:rsid w:val="008E170B"/>
    <w:rsid w:val="008E1822"/>
    <w:rsid w:val="008E1A1F"/>
    <w:rsid w:val="008E1D77"/>
    <w:rsid w:val="008E2868"/>
    <w:rsid w:val="008E2A23"/>
    <w:rsid w:val="008E3347"/>
    <w:rsid w:val="008E33DE"/>
    <w:rsid w:val="008E3A36"/>
    <w:rsid w:val="008E3C40"/>
    <w:rsid w:val="008E3DE2"/>
    <w:rsid w:val="008E4906"/>
    <w:rsid w:val="008E5225"/>
    <w:rsid w:val="008E5DE1"/>
    <w:rsid w:val="008E604F"/>
    <w:rsid w:val="008E61D3"/>
    <w:rsid w:val="008E687D"/>
    <w:rsid w:val="008E6A03"/>
    <w:rsid w:val="008E6B29"/>
    <w:rsid w:val="008E6B9A"/>
    <w:rsid w:val="008E6D4C"/>
    <w:rsid w:val="008E705B"/>
    <w:rsid w:val="008E712A"/>
    <w:rsid w:val="008E7624"/>
    <w:rsid w:val="008E79DD"/>
    <w:rsid w:val="008E7FED"/>
    <w:rsid w:val="008F0AA1"/>
    <w:rsid w:val="008F0BC8"/>
    <w:rsid w:val="008F15F5"/>
    <w:rsid w:val="008F1624"/>
    <w:rsid w:val="008F168B"/>
    <w:rsid w:val="008F1E08"/>
    <w:rsid w:val="008F1E17"/>
    <w:rsid w:val="008F29A4"/>
    <w:rsid w:val="008F3316"/>
    <w:rsid w:val="008F36CD"/>
    <w:rsid w:val="008F3C69"/>
    <w:rsid w:val="008F434F"/>
    <w:rsid w:val="008F46AB"/>
    <w:rsid w:val="008F495C"/>
    <w:rsid w:val="008F4FD1"/>
    <w:rsid w:val="008F56BE"/>
    <w:rsid w:val="008F64C3"/>
    <w:rsid w:val="008F66F1"/>
    <w:rsid w:val="008F6F74"/>
    <w:rsid w:val="008F7305"/>
    <w:rsid w:val="008F79A4"/>
    <w:rsid w:val="008F79EF"/>
    <w:rsid w:val="009005FF"/>
    <w:rsid w:val="00900750"/>
    <w:rsid w:val="00900D20"/>
    <w:rsid w:val="00900DD2"/>
    <w:rsid w:val="00901B73"/>
    <w:rsid w:val="00901D07"/>
    <w:rsid w:val="0090200B"/>
    <w:rsid w:val="0090224E"/>
    <w:rsid w:val="00902337"/>
    <w:rsid w:val="009027F2"/>
    <w:rsid w:val="00902B63"/>
    <w:rsid w:val="009038B9"/>
    <w:rsid w:val="00903F3A"/>
    <w:rsid w:val="00904510"/>
    <w:rsid w:val="0090488A"/>
    <w:rsid w:val="00904CE7"/>
    <w:rsid w:val="00905293"/>
    <w:rsid w:val="00905315"/>
    <w:rsid w:val="00906222"/>
    <w:rsid w:val="0090655F"/>
    <w:rsid w:val="009077EE"/>
    <w:rsid w:val="00907EC8"/>
    <w:rsid w:val="009103F3"/>
    <w:rsid w:val="00910D2B"/>
    <w:rsid w:val="00910FB3"/>
    <w:rsid w:val="00911AC6"/>
    <w:rsid w:val="0091204D"/>
    <w:rsid w:val="00912081"/>
    <w:rsid w:val="0091231E"/>
    <w:rsid w:val="00912814"/>
    <w:rsid w:val="00913307"/>
    <w:rsid w:val="0091425F"/>
    <w:rsid w:val="00914363"/>
    <w:rsid w:val="009144F6"/>
    <w:rsid w:val="00914846"/>
    <w:rsid w:val="00914868"/>
    <w:rsid w:val="009148FC"/>
    <w:rsid w:val="00914D04"/>
    <w:rsid w:val="00914F0D"/>
    <w:rsid w:val="00915626"/>
    <w:rsid w:val="009160BB"/>
    <w:rsid w:val="0091610D"/>
    <w:rsid w:val="0091632E"/>
    <w:rsid w:val="009168A8"/>
    <w:rsid w:val="00916BF5"/>
    <w:rsid w:val="00916CB2"/>
    <w:rsid w:val="00916F11"/>
    <w:rsid w:val="00917A1B"/>
    <w:rsid w:val="00917F43"/>
    <w:rsid w:val="009206D9"/>
    <w:rsid w:val="00921274"/>
    <w:rsid w:val="00921A1A"/>
    <w:rsid w:val="00921F84"/>
    <w:rsid w:val="00922C02"/>
    <w:rsid w:val="00922CF6"/>
    <w:rsid w:val="00922F68"/>
    <w:rsid w:val="009238FC"/>
    <w:rsid w:val="00923B37"/>
    <w:rsid w:val="00923CAB"/>
    <w:rsid w:val="009240BB"/>
    <w:rsid w:val="00924645"/>
    <w:rsid w:val="009246AE"/>
    <w:rsid w:val="0092474A"/>
    <w:rsid w:val="00924EA0"/>
    <w:rsid w:val="00924F0F"/>
    <w:rsid w:val="009252E3"/>
    <w:rsid w:val="009254C0"/>
    <w:rsid w:val="00925681"/>
    <w:rsid w:val="009259F9"/>
    <w:rsid w:val="00925C59"/>
    <w:rsid w:val="00925C68"/>
    <w:rsid w:val="00925FD8"/>
    <w:rsid w:val="00926157"/>
    <w:rsid w:val="0092616D"/>
    <w:rsid w:val="0092652D"/>
    <w:rsid w:val="00926723"/>
    <w:rsid w:val="00926A2D"/>
    <w:rsid w:val="00926C10"/>
    <w:rsid w:val="00926D7B"/>
    <w:rsid w:val="00926E17"/>
    <w:rsid w:val="00926FCB"/>
    <w:rsid w:val="00927233"/>
    <w:rsid w:val="00930347"/>
    <w:rsid w:val="009303C4"/>
    <w:rsid w:val="009308F6"/>
    <w:rsid w:val="00930905"/>
    <w:rsid w:val="00930975"/>
    <w:rsid w:val="0093098C"/>
    <w:rsid w:val="00931D96"/>
    <w:rsid w:val="009321EF"/>
    <w:rsid w:val="009325C8"/>
    <w:rsid w:val="009329C9"/>
    <w:rsid w:val="00933134"/>
    <w:rsid w:val="009333D1"/>
    <w:rsid w:val="0093360B"/>
    <w:rsid w:val="00933C5B"/>
    <w:rsid w:val="00934078"/>
    <w:rsid w:val="00934384"/>
    <w:rsid w:val="00934906"/>
    <w:rsid w:val="009352FB"/>
    <w:rsid w:val="009359B5"/>
    <w:rsid w:val="009365E9"/>
    <w:rsid w:val="00936E80"/>
    <w:rsid w:val="009370B6"/>
    <w:rsid w:val="009373FB"/>
    <w:rsid w:val="00940396"/>
    <w:rsid w:val="0094083A"/>
    <w:rsid w:val="00940979"/>
    <w:rsid w:val="009409F2"/>
    <w:rsid w:val="00940F27"/>
    <w:rsid w:val="00941289"/>
    <w:rsid w:val="009414ED"/>
    <w:rsid w:val="009415BD"/>
    <w:rsid w:val="0094177D"/>
    <w:rsid w:val="009420B7"/>
    <w:rsid w:val="00942559"/>
    <w:rsid w:val="00944E17"/>
    <w:rsid w:val="00944E65"/>
    <w:rsid w:val="00945187"/>
    <w:rsid w:val="00945E50"/>
    <w:rsid w:val="009460BB"/>
    <w:rsid w:val="00946119"/>
    <w:rsid w:val="00946927"/>
    <w:rsid w:val="00946931"/>
    <w:rsid w:val="0094700D"/>
    <w:rsid w:val="00947251"/>
    <w:rsid w:val="00947EA8"/>
    <w:rsid w:val="00947EBC"/>
    <w:rsid w:val="0095026B"/>
    <w:rsid w:val="00950512"/>
    <w:rsid w:val="00950769"/>
    <w:rsid w:val="00950BA4"/>
    <w:rsid w:val="00951170"/>
    <w:rsid w:val="00951664"/>
    <w:rsid w:val="00953112"/>
    <w:rsid w:val="00953523"/>
    <w:rsid w:val="00953B94"/>
    <w:rsid w:val="00954424"/>
    <w:rsid w:val="00954537"/>
    <w:rsid w:val="00954835"/>
    <w:rsid w:val="00954933"/>
    <w:rsid w:val="00954CD9"/>
    <w:rsid w:val="0095509C"/>
    <w:rsid w:val="009550B4"/>
    <w:rsid w:val="00955A70"/>
    <w:rsid w:val="00955ADF"/>
    <w:rsid w:val="00955BA6"/>
    <w:rsid w:val="0095606F"/>
    <w:rsid w:val="009563AE"/>
    <w:rsid w:val="009563CF"/>
    <w:rsid w:val="00956811"/>
    <w:rsid w:val="009568E5"/>
    <w:rsid w:val="00956B8A"/>
    <w:rsid w:val="00956F78"/>
    <w:rsid w:val="0095763B"/>
    <w:rsid w:val="00957E35"/>
    <w:rsid w:val="0096022E"/>
    <w:rsid w:val="009607E2"/>
    <w:rsid w:val="00960A78"/>
    <w:rsid w:val="00960F64"/>
    <w:rsid w:val="009615AC"/>
    <w:rsid w:val="00962BA6"/>
    <w:rsid w:val="00962CD4"/>
    <w:rsid w:val="00962E63"/>
    <w:rsid w:val="00962EC5"/>
    <w:rsid w:val="0096362C"/>
    <w:rsid w:val="009638C9"/>
    <w:rsid w:val="00963A95"/>
    <w:rsid w:val="00963ADE"/>
    <w:rsid w:val="00964153"/>
    <w:rsid w:val="009643EA"/>
    <w:rsid w:val="009644D7"/>
    <w:rsid w:val="0096468E"/>
    <w:rsid w:val="0096473B"/>
    <w:rsid w:val="00964F90"/>
    <w:rsid w:val="0096503D"/>
    <w:rsid w:val="0096520E"/>
    <w:rsid w:val="00965641"/>
    <w:rsid w:val="00965C70"/>
    <w:rsid w:val="00965E15"/>
    <w:rsid w:val="00965F81"/>
    <w:rsid w:val="00966622"/>
    <w:rsid w:val="009669E9"/>
    <w:rsid w:val="00966DF1"/>
    <w:rsid w:val="00967364"/>
    <w:rsid w:val="0096790E"/>
    <w:rsid w:val="00970001"/>
    <w:rsid w:val="00970A54"/>
    <w:rsid w:val="00971075"/>
    <w:rsid w:val="00971CF3"/>
    <w:rsid w:val="009721CA"/>
    <w:rsid w:val="00972447"/>
    <w:rsid w:val="0097262F"/>
    <w:rsid w:val="009732C9"/>
    <w:rsid w:val="0097354C"/>
    <w:rsid w:val="0097487F"/>
    <w:rsid w:val="009751F3"/>
    <w:rsid w:val="0097520D"/>
    <w:rsid w:val="009753C5"/>
    <w:rsid w:val="009753D7"/>
    <w:rsid w:val="009756B7"/>
    <w:rsid w:val="00975715"/>
    <w:rsid w:val="00975A42"/>
    <w:rsid w:val="00975CBA"/>
    <w:rsid w:val="00975EF2"/>
    <w:rsid w:val="00975FA5"/>
    <w:rsid w:val="009765FD"/>
    <w:rsid w:val="0097670E"/>
    <w:rsid w:val="009767E5"/>
    <w:rsid w:val="00976E1B"/>
    <w:rsid w:val="00977145"/>
    <w:rsid w:val="009775C1"/>
    <w:rsid w:val="00977D38"/>
    <w:rsid w:val="009814AA"/>
    <w:rsid w:val="0098177C"/>
    <w:rsid w:val="00981998"/>
    <w:rsid w:val="00981A05"/>
    <w:rsid w:val="00981C10"/>
    <w:rsid w:val="00981F0F"/>
    <w:rsid w:val="00982A23"/>
    <w:rsid w:val="00982BD9"/>
    <w:rsid w:val="00982DD0"/>
    <w:rsid w:val="00982E7C"/>
    <w:rsid w:val="00983181"/>
    <w:rsid w:val="0098323F"/>
    <w:rsid w:val="0098348D"/>
    <w:rsid w:val="009834C0"/>
    <w:rsid w:val="00983688"/>
    <w:rsid w:val="009836D0"/>
    <w:rsid w:val="00983716"/>
    <w:rsid w:val="00983F6D"/>
    <w:rsid w:val="00984A3A"/>
    <w:rsid w:val="00984D3C"/>
    <w:rsid w:val="00984FAF"/>
    <w:rsid w:val="00985E83"/>
    <w:rsid w:val="00986125"/>
    <w:rsid w:val="00986437"/>
    <w:rsid w:val="009867B2"/>
    <w:rsid w:val="00986C08"/>
    <w:rsid w:val="009875B3"/>
    <w:rsid w:val="00987B17"/>
    <w:rsid w:val="00987B74"/>
    <w:rsid w:val="00990063"/>
    <w:rsid w:val="00990185"/>
    <w:rsid w:val="009903F0"/>
    <w:rsid w:val="00990C71"/>
    <w:rsid w:val="00991060"/>
    <w:rsid w:val="009914D2"/>
    <w:rsid w:val="0099178E"/>
    <w:rsid w:val="0099194C"/>
    <w:rsid w:val="00991A2F"/>
    <w:rsid w:val="0099220E"/>
    <w:rsid w:val="009929C7"/>
    <w:rsid w:val="00992C0A"/>
    <w:rsid w:val="00992CF2"/>
    <w:rsid w:val="00993127"/>
    <w:rsid w:val="0099331A"/>
    <w:rsid w:val="0099369D"/>
    <w:rsid w:val="00993794"/>
    <w:rsid w:val="00994016"/>
    <w:rsid w:val="009941D1"/>
    <w:rsid w:val="00994307"/>
    <w:rsid w:val="00994351"/>
    <w:rsid w:val="00994356"/>
    <w:rsid w:val="009944F8"/>
    <w:rsid w:val="00994BA4"/>
    <w:rsid w:val="00995B8B"/>
    <w:rsid w:val="00995FF9"/>
    <w:rsid w:val="00996281"/>
    <w:rsid w:val="00996416"/>
    <w:rsid w:val="00996653"/>
    <w:rsid w:val="00996820"/>
    <w:rsid w:val="00996A9A"/>
    <w:rsid w:val="00996F01"/>
    <w:rsid w:val="00997036"/>
    <w:rsid w:val="00997906"/>
    <w:rsid w:val="00997CB9"/>
    <w:rsid w:val="009A018A"/>
    <w:rsid w:val="009A0281"/>
    <w:rsid w:val="009A102D"/>
    <w:rsid w:val="009A158E"/>
    <w:rsid w:val="009A1C3D"/>
    <w:rsid w:val="009A22EC"/>
    <w:rsid w:val="009A2412"/>
    <w:rsid w:val="009A2EA0"/>
    <w:rsid w:val="009A32E6"/>
    <w:rsid w:val="009A365E"/>
    <w:rsid w:val="009A3957"/>
    <w:rsid w:val="009A39C4"/>
    <w:rsid w:val="009A3AFB"/>
    <w:rsid w:val="009A403A"/>
    <w:rsid w:val="009A4CB2"/>
    <w:rsid w:val="009A55EC"/>
    <w:rsid w:val="009A66E0"/>
    <w:rsid w:val="009A6B7C"/>
    <w:rsid w:val="009A72DB"/>
    <w:rsid w:val="009A768F"/>
    <w:rsid w:val="009A7EE0"/>
    <w:rsid w:val="009B03EE"/>
    <w:rsid w:val="009B0758"/>
    <w:rsid w:val="009B0E9C"/>
    <w:rsid w:val="009B1433"/>
    <w:rsid w:val="009B162E"/>
    <w:rsid w:val="009B22FA"/>
    <w:rsid w:val="009B2564"/>
    <w:rsid w:val="009B29AE"/>
    <w:rsid w:val="009B2E70"/>
    <w:rsid w:val="009B317E"/>
    <w:rsid w:val="009B36A3"/>
    <w:rsid w:val="009B3A45"/>
    <w:rsid w:val="009B3B59"/>
    <w:rsid w:val="009B3EF8"/>
    <w:rsid w:val="009B416C"/>
    <w:rsid w:val="009B438F"/>
    <w:rsid w:val="009B4A3A"/>
    <w:rsid w:val="009B4B9D"/>
    <w:rsid w:val="009B4DE6"/>
    <w:rsid w:val="009B539F"/>
    <w:rsid w:val="009B5D07"/>
    <w:rsid w:val="009B5DFB"/>
    <w:rsid w:val="009B65A4"/>
    <w:rsid w:val="009B6809"/>
    <w:rsid w:val="009B68B6"/>
    <w:rsid w:val="009B6A82"/>
    <w:rsid w:val="009B7299"/>
    <w:rsid w:val="009B7831"/>
    <w:rsid w:val="009B7BE6"/>
    <w:rsid w:val="009C0171"/>
    <w:rsid w:val="009C01A8"/>
    <w:rsid w:val="009C0448"/>
    <w:rsid w:val="009C26D5"/>
    <w:rsid w:val="009C2921"/>
    <w:rsid w:val="009C30F8"/>
    <w:rsid w:val="009C3173"/>
    <w:rsid w:val="009C36A3"/>
    <w:rsid w:val="009C3F46"/>
    <w:rsid w:val="009C4629"/>
    <w:rsid w:val="009C4D14"/>
    <w:rsid w:val="009C4D99"/>
    <w:rsid w:val="009C50BA"/>
    <w:rsid w:val="009C581B"/>
    <w:rsid w:val="009C5BD5"/>
    <w:rsid w:val="009C6110"/>
    <w:rsid w:val="009C62EF"/>
    <w:rsid w:val="009C648A"/>
    <w:rsid w:val="009C656B"/>
    <w:rsid w:val="009C742D"/>
    <w:rsid w:val="009C756A"/>
    <w:rsid w:val="009C7A5B"/>
    <w:rsid w:val="009D00D7"/>
    <w:rsid w:val="009D0127"/>
    <w:rsid w:val="009D0EC6"/>
    <w:rsid w:val="009D15C6"/>
    <w:rsid w:val="009D1AAE"/>
    <w:rsid w:val="009D1AC0"/>
    <w:rsid w:val="009D1F5C"/>
    <w:rsid w:val="009D2652"/>
    <w:rsid w:val="009D283F"/>
    <w:rsid w:val="009D2E3F"/>
    <w:rsid w:val="009D371F"/>
    <w:rsid w:val="009D397D"/>
    <w:rsid w:val="009D3A49"/>
    <w:rsid w:val="009D3EBB"/>
    <w:rsid w:val="009D4113"/>
    <w:rsid w:val="009D412F"/>
    <w:rsid w:val="009D48D8"/>
    <w:rsid w:val="009D4B0A"/>
    <w:rsid w:val="009D50E9"/>
    <w:rsid w:val="009D51E6"/>
    <w:rsid w:val="009D51EF"/>
    <w:rsid w:val="009D54FC"/>
    <w:rsid w:val="009D5789"/>
    <w:rsid w:val="009D5C14"/>
    <w:rsid w:val="009D6665"/>
    <w:rsid w:val="009D684A"/>
    <w:rsid w:val="009D69DD"/>
    <w:rsid w:val="009D6A3F"/>
    <w:rsid w:val="009D6C6C"/>
    <w:rsid w:val="009D6D8B"/>
    <w:rsid w:val="009D6EB0"/>
    <w:rsid w:val="009D75F8"/>
    <w:rsid w:val="009D792D"/>
    <w:rsid w:val="009D799F"/>
    <w:rsid w:val="009D7ACD"/>
    <w:rsid w:val="009D7FAF"/>
    <w:rsid w:val="009E015E"/>
    <w:rsid w:val="009E0316"/>
    <w:rsid w:val="009E0523"/>
    <w:rsid w:val="009E0A5D"/>
    <w:rsid w:val="009E0DD9"/>
    <w:rsid w:val="009E14E3"/>
    <w:rsid w:val="009E19DC"/>
    <w:rsid w:val="009E1A6D"/>
    <w:rsid w:val="009E1A90"/>
    <w:rsid w:val="009E1D94"/>
    <w:rsid w:val="009E22D6"/>
    <w:rsid w:val="009E2D04"/>
    <w:rsid w:val="009E2FBE"/>
    <w:rsid w:val="009E3272"/>
    <w:rsid w:val="009E32DB"/>
    <w:rsid w:val="009E337F"/>
    <w:rsid w:val="009E33F6"/>
    <w:rsid w:val="009E36AC"/>
    <w:rsid w:val="009E3CD1"/>
    <w:rsid w:val="009E4414"/>
    <w:rsid w:val="009E47BE"/>
    <w:rsid w:val="009E4D39"/>
    <w:rsid w:val="009E5C33"/>
    <w:rsid w:val="009E5C34"/>
    <w:rsid w:val="009E6512"/>
    <w:rsid w:val="009E6626"/>
    <w:rsid w:val="009E6FCD"/>
    <w:rsid w:val="009E7A77"/>
    <w:rsid w:val="009E7FD5"/>
    <w:rsid w:val="009F01C3"/>
    <w:rsid w:val="009F0EDC"/>
    <w:rsid w:val="009F1359"/>
    <w:rsid w:val="009F1911"/>
    <w:rsid w:val="009F21D1"/>
    <w:rsid w:val="009F2348"/>
    <w:rsid w:val="009F27A1"/>
    <w:rsid w:val="009F2A65"/>
    <w:rsid w:val="009F2EFB"/>
    <w:rsid w:val="009F3502"/>
    <w:rsid w:val="009F4451"/>
    <w:rsid w:val="009F4689"/>
    <w:rsid w:val="009F48F7"/>
    <w:rsid w:val="009F4BE3"/>
    <w:rsid w:val="009F594E"/>
    <w:rsid w:val="009F5A59"/>
    <w:rsid w:val="009F5F86"/>
    <w:rsid w:val="009F609B"/>
    <w:rsid w:val="009F636D"/>
    <w:rsid w:val="009F64AA"/>
    <w:rsid w:val="009F64E1"/>
    <w:rsid w:val="009F6C6D"/>
    <w:rsid w:val="009F7919"/>
    <w:rsid w:val="009F79FF"/>
    <w:rsid w:val="009F7A4D"/>
    <w:rsid w:val="009F7E59"/>
    <w:rsid w:val="00A0028E"/>
    <w:rsid w:val="00A004D2"/>
    <w:rsid w:val="00A00510"/>
    <w:rsid w:val="00A0075F"/>
    <w:rsid w:val="00A00965"/>
    <w:rsid w:val="00A0195C"/>
    <w:rsid w:val="00A01D19"/>
    <w:rsid w:val="00A02DA4"/>
    <w:rsid w:val="00A030F0"/>
    <w:rsid w:val="00A03C35"/>
    <w:rsid w:val="00A03E10"/>
    <w:rsid w:val="00A0456A"/>
    <w:rsid w:val="00A04884"/>
    <w:rsid w:val="00A050BE"/>
    <w:rsid w:val="00A054F9"/>
    <w:rsid w:val="00A05739"/>
    <w:rsid w:val="00A05792"/>
    <w:rsid w:val="00A05848"/>
    <w:rsid w:val="00A05EB2"/>
    <w:rsid w:val="00A05F78"/>
    <w:rsid w:val="00A065D1"/>
    <w:rsid w:val="00A06B16"/>
    <w:rsid w:val="00A071B5"/>
    <w:rsid w:val="00A0732B"/>
    <w:rsid w:val="00A0795E"/>
    <w:rsid w:val="00A07CA1"/>
    <w:rsid w:val="00A10692"/>
    <w:rsid w:val="00A10696"/>
    <w:rsid w:val="00A10983"/>
    <w:rsid w:val="00A10BA7"/>
    <w:rsid w:val="00A10D4D"/>
    <w:rsid w:val="00A1130D"/>
    <w:rsid w:val="00A11626"/>
    <w:rsid w:val="00A11DC5"/>
    <w:rsid w:val="00A12AD4"/>
    <w:rsid w:val="00A12DA9"/>
    <w:rsid w:val="00A1353B"/>
    <w:rsid w:val="00A13872"/>
    <w:rsid w:val="00A13D5B"/>
    <w:rsid w:val="00A14185"/>
    <w:rsid w:val="00A143E7"/>
    <w:rsid w:val="00A14638"/>
    <w:rsid w:val="00A151A3"/>
    <w:rsid w:val="00A1534C"/>
    <w:rsid w:val="00A154AA"/>
    <w:rsid w:val="00A16452"/>
    <w:rsid w:val="00A16804"/>
    <w:rsid w:val="00A16B7E"/>
    <w:rsid w:val="00A17090"/>
    <w:rsid w:val="00A175CB"/>
    <w:rsid w:val="00A176AA"/>
    <w:rsid w:val="00A17B0A"/>
    <w:rsid w:val="00A17F76"/>
    <w:rsid w:val="00A17FBC"/>
    <w:rsid w:val="00A207FD"/>
    <w:rsid w:val="00A20C9D"/>
    <w:rsid w:val="00A20CC5"/>
    <w:rsid w:val="00A20FCC"/>
    <w:rsid w:val="00A21057"/>
    <w:rsid w:val="00A2129D"/>
    <w:rsid w:val="00A21743"/>
    <w:rsid w:val="00A21962"/>
    <w:rsid w:val="00A22465"/>
    <w:rsid w:val="00A224D7"/>
    <w:rsid w:val="00A22865"/>
    <w:rsid w:val="00A22F06"/>
    <w:rsid w:val="00A23264"/>
    <w:rsid w:val="00A2336E"/>
    <w:rsid w:val="00A23F0C"/>
    <w:rsid w:val="00A24934"/>
    <w:rsid w:val="00A24B42"/>
    <w:rsid w:val="00A24D7D"/>
    <w:rsid w:val="00A24E84"/>
    <w:rsid w:val="00A25276"/>
    <w:rsid w:val="00A252D5"/>
    <w:rsid w:val="00A253E1"/>
    <w:rsid w:val="00A254EE"/>
    <w:rsid w:val="00A256E8"/>
    <w:rsid w:val="00A25E7C"/>
    <w:rsid w:val="00A266FD"/>
    <w:rsid w:val="00A2698F"/>
    <w:rsid w:val="00A26A2A"/>
    <w:rsid w:val="00A26F80"/>
    <w:rsid w:val="00A27137"/>
    <w:rsid w:val="00A27715"/>
    <w:rsid w:val="00A27F55"/>
    <w:rsid w:val="00A304F1"/>
    <w:rsid w:val="00A30DC4"/>
    <w:rsid w:val="00A30E5E"/>
    <w:rsid w:val="00A30EA9"/>
    <w:rsid w:val="00A314F1"/>
    <w:rsid w:val="00A31B9B"/>
    <w:rsid w:val="00A335F5"/>
    <w:rsid w:val="00A33C10"/>
    <w:rsid w:val="00A3413F"/>
    <w:rsid w:val="00A341E1"/>
    <w:rsid w:val="00A34255"/>
    <w:rsid w:val="00A3431D"/>
    <w:rsid w:val="00A34616"/>
    <w:rsid w:val="00A347FB"/>
    <w:rsid w:val="00A34A24"/>
    <w:rsid w:val="00A35009"/>
    <w:rsid w:val="00A35447"/>
    <w:rsid w:val="00A36450"/>
    <w:rsid w:val="00A368CF"/>
    <w:rsid w:val="00A36921"/>
    <w:rsid w:val="00A36A73"/>
    <w:rsid w:val="00A36D47"/>
    <w:rsid w:val="00A36DE5"/>
    <w:rsid w:val="00A375EF"/>
    <w:rsid w:val="00A37978"/>
    <w:rsid w:val="00A37A1C"/>
    <w:rsid w:val="00A40136"/>
    <w:rsid w:val="00A40168"/>
    <w:rsid w:val="00A405D3"/>
    <w:rsid w:val="00A40A50"/>
    <w:rsid w:val="00A40DC0"/>
    <w:rsid w:val="00A41D1A"/>
    <w:rsid w:val="00A42045"/>
    <w:rsid w:val="00A4270C"/>
    <w:rsid w:val="00A42BD3"/>
    <w:rsid w:val="00A4308A"/>
    <w:rsid w:val="00A433C3"/>
    <w:rsid w:val="00A43D7B"/>
    <w:rsid w:val="00A43EF0"/>
    <w:rsid w:val="00A440DA"/>
    <w:rsid w:val="00A4443E"/>
    <w:rsid w:val="00A444F8"/>
    <w:rsid w:val="00A44DC9"/>
    <w:rsid w:val="00A450E5"/>
    <w:rsid w:val="00A4537C"/>
    <w:rsid w:val="00A4607A"/>
    <w:rsid w:val="00A4684E"/>
    <w:rsid w:val="00A46B24"/>
    <w:rsid w:val="00A471E2"/>
    <w:rsid w:val="00A47734"/>
    <w:rsid w:val="00A47A98"/>
    <w:rsid w:val="00A50107"/>
    <w:rsid w:val="00A501B1"/>
    <w:rsid w:val="00A509AE"/>
    <w:rsid w:val="00A50CFC"/>
    <w:rsid w:val="00A50FD9"/>
    <w:rsid w:val="00A51022"/>
    <w:rsid w:val="00A51886"/>
    <w:rsid w:val="00A51BCD"/>
    <w:rsid w:val="00A51CCF"/>
    <w:rsid w:val="00A527C4"/>
    <w:rsid w:val="00A52BA9"/>
    <w:rsid w:val="00A52D55"/>
    <w:rsid w:val="00A53260"/>
    <w:rsid w:val="00A53E87"/>
    <w:rsid w:val="00A53F3D"/>
    <w:rsid w:val="00A541DA"/>
    <w:rsid w:val="00A547C7"/>
    <w:rsid w:val="00A54A8C"/>
    <w:rsid w:val="00A54FE4"/>
    <w:rsid w:val="00A55106"/>
    <w:rsid w:val="00A55141"/>
    <w:rsid w:val="00A55FFF"/>
    <w:rsid w:val="00A56410"/>
    <w:rsid w:val="00A5669E"/>
    <w:rsid w:val="00A5696B"/>
    <w:rsid w:val="00A57421"/>
    <w:rsid w:val="00A57747"/>
    <w:rsid w:val="00A57F7B"/>
    <w:rsid w:val="00A60672"/>
    <w:rsid w:val="00A6069B"/>
    <w:rsid w:val="00A608C4"/>
    <w:rsid w:val="00A61273"/>
    <w:rsid w:val="00A613A8"/>
    <w:rsid w:val="00A61C65"/>
    <w:rsid w:val="00A62339"/>
    <w:rsid w:val="00A6294A"/>
    <w:rsid w:val="00A62E38"/>
    <w:rsid w:val="00A63223"/>
    <w:rsid w:val="00A63301"/>
    <w:rsid w:val="00A634EB"/>
    <w:rsid w:val="00A63E04"/>
    <w:rsid w:val="00A645AF"/>
    <w:rsid w:val="00A645FB"/>
    <w:rsid w:val="00A64F0F"/>
    <w:rsid w:val="00A64FD9"/>
    <w:rsid w:val="00A6546E"/>
    <w:rsid w:val="00A65A19"/>
    <w:rsid w:val="00A65B61"/>
    <w:rsid w:val="00A65BD2"/>
    <w:rsid w:val="00A667AF"/>
    <w:rsid w:val="00A6730B"/>
    <w:rsid w:val="00A679CD"/>
    <w:rsid w:val="00A67CD1"/>
    <w:rsid w:val="00A700FD"/>
    <w:rsid w:val="00A7018B"/>
    <w:rsid w:val="00A706C6"/>
    <w:rsid w:val="00A70804"/>
    <w:rsid w:val="00A70B14"/>
    <w:rsid w:val="00A70B97"/>
    <w:rsid w:val="00A70C97"/>
    <w:rsid w:val="00A70FFD"/>
    <w:rsid w:val="00A710FC"/>
    <w:rsid w:val="00A71576"/>
    <w:rsid w:val="00A7165D"/>
    <w:rsid w:val="00A717C4"/>
    <w:rsid w:val="00A71E17"/>
    <w:rsid w:val="00A72278"/>
    <w:rsid w:val="00A727CE"/>
    <w:rsid w:val="00A728C8"/>
    <w:rsid w:val="00A73052"/>
    <w:rsid w:val="00A73A17"/>
    <w:rsid w:val="00A744C4"/>
    <w:rsid w:val="00A7452B"/>
    <w:rsid w:val="00A75533"/>
    <w:rsid w:val="00A76184"/>
    <w:rsid w:val="00A76246"/>
    <w:rsid w:val="00A76648"/>
    <w:rsid w:val="00A768EE"/>
    <w:rsid w:val="00A76B72"/>
    <w:rsid w:val="00A77325"/>
    <w:rsid w:val="00A7732A"/>
    <w:rsid w:val="00A77869"/>
    <w:rsid w:val="00A8029F"/>
    <w:rsid w:val="00A802B8"/>
    <w:rsid w:val="00A805E6"/>
    <w:rsid w:val="00A805F6"/>
    <w:rsid w:val="00A8082D"/>
    <w:rsid w:val="00A80B5A"/>
    <w:rsid w:val="00A80EE0"/>
    <w:rsid w:val="00A819EA"/>
    <w:rsid w:val="00A82C50"/>
    <w:rsid w:val="00A8315D"/>
    <w:rsid w:val="00A83447"/>
    <w:rsid w:val="00A834D5"/>
    <w:rsid w:val="00A8376E"/>
    <w:rsid w:val="00A83A84"/>
    <w:rsid w:val="00A83EE9"/>
    <w:rsid w:val="00A8472D"/>
    <w:rsid w:val="00A84B2D"/>
    <w:rsid w:val="00A85541"/>
    <w:rsid w:val="00A856BC"/>
    <w:rsid w:val="00A8571C"/>
    <w:rsid w:val="00A8578A"/>
    <w:rsid w:val="00A85895"/>
    <w:rsid w:val="00A85924"/>
    <w:rsid w:val="00A85E2A"/>
    <w:rsid w:val="00A85FBE"/>
    <w:rsid w:val="00A860F4"/>
    <w:rsid w:val="00A8612D"/>
    <w:rsid w:val="00A86330"/>
    <w:rsid w:val="00A869EA"/>
    <w:rsid w:val="00A873AB"/>
    <w:rsid w:val="00A8777E"/>
    <w:rsid w:val="00A879C9"/>
    <w:rsid w:val="00A90399"/>
    <w:rsid w:val="00A908C5"/>
    <w:rsid w:val="00A911C5"/>
    <w:rsid w:val="00A91DE1"/>
    <w:rsid w:val="00A91FD8"/>
    <w:rsid w:val="00A923B6"/>
    <w:rsid w:val="00A92593"/>
    <w:rsid w:val="00A92790"/>
    <w:rsid w:val="00A9374C"/>
    <w:rsid w:val="00A93798"/>
    <w:rsid w:val="00A93B70"/>
    <w:rsid w:val="00A94152"/>
    <w:rsid w:val="00A941F6"/>
    <w:rsid w:val="00A955A6"/>
    <w:rsid w:val="00A95828"/>
    <w:rsid w:val="00A95887"/>
    <w:rsid w:val="00A95C70"/>
    <w:rsid w:val="00A95FC9"/>
    <w:rsid w:val="00A972AE"/>
    <w:rsid w:val="00A972B8"/>
    <w:rsid w:val="00A976AA"/>
    <w:rsid w:val="00A97715"/>
    <w:rsid w:val="00A97999"/>
    <w:rsid w:val="00A979F6"/>
    <w:rsid w:val="00AA02C5"/>
    <w:rsid w:val="00AA0C87"/>
    <w:rsid w:val="00AA0CB8"/>
    <w:rsid w:val="00AA0D67"/>
    <w:rsid w:val="00AA0EA2"/>
    <w:rsid w:val="00AA0FBE"/>
    <w:rsid w:val="00AA1CF9"/>
    <w:rsid w:val="00AA1F98"/>
    <w:rsid w:val="00AA1FAC"/>
    <w:rsid w:val="00AA2607"/>
    <w:rsid w:val="00AA2826"/>
    <w:rsid w:val="00AA2B3C"/>
    <w:rsid w:val="00AA2C67"/>
    <w:rsid w:val="00AA2CDE"/>
    <w:rsid w:val="00AA3329"/>
    <w:rsid w:val="00AA3902"/>
    <w:rsid w:val="00AA3DCB"/>
    <w:rsid w:val="00AA42DE"/>
    <w:rsid w:val="00AA46D6"/>
    <w:rsid w:val="00AA4ABD"/>
    <w:rsid w:val="00AA4DC0"/>
    <w:rsid w:val="00AA52B8"/>
    <w:rsid w:val="00AA5528"/>
    <w:rsid w:val="00AA58CE"/>
    <w:rsid w:val="00AA59FF"/>
    <w:rsid w:val="00AA5ED1"/>
    <w:rsid w:val="00AA62BA"/>
    <w:rsid w:val="00AA6585"/>
    <w:rsid w:val="00AA6C7D"/>
    <w:rsid w:val="00AA6F8A"/>
    <w:rsid w:val="00AA71A7"/>
    <w:rsid w:val="00AA7E1C"/>
    <w:rsid w:val="00AB0011"/>
    <w:rsid w:val="00AB0B48"/>
    <w:rsid w:val="00AB0FF9"/>
    <w:rsid w:val="00AB1BF3"/>
    <w:rsid w:val="00AB1F96"/>
    <w:rsid w:val="00AB245F"/>
    <w:rsid w:val="00AB283B"/>
    <w:rsid w:val="00AB2AD0"/>
    <w:rsid w:val="00AB2B2F"/>
    <w:rsid w:val="00AB30EE"/>
    <w:rsid w:val="00AB3148"/>
    <w:rsid w:val="00AB31F2"/>
    <w:rsid w:val="00AB3371"/>
    <w:rsid w:val="00AB3378"/>
    <w:rsid w:val="00AB429B"/>
    <w:rsid w:val="00AB42F6"/>
    <w:rsid w:val="00AB4DAC"/>
    <w:rsid w:val="00AB506C"/>
    <w:rsid w:val="00AB5221"/>
    <w:rsid w:val="00AB524D"/>
    <w:rsid w:val="00AB5C1F"/>
    <w:rsid w:val="00AB5E0A"/>
    <w:rsid w:val="00AB6A5C"/>
    <w:rsid w:val="00AB6FB7"/>
    <w:rsid w:val="00AB71C5"/>
    <w:rsid w:val="00AB77B1"/>
    <w:rsid w:val="00AB788B"/>
    <w:rsid w:val="00AB7CDA"/>
    <w:rsid w:val="00AC03A8"/>
    <w:rsid w:val="00AC06B3"/>
    <w:rsid w:val="00AC0A26"/>
    <w:rsid w:val="00AC1473"/>
    <w:rsid w:val="00AC2E2E"/>
    <w:rsid w:val="00AC3232"/>
    <w:rsid w:val="00AC3B61"/>
    <w:rsid w:val="00AC454C"/>
    <w:rsid w:val="00AC562C"/>
    <w:rsid w:val="00AC64D4"/>
    <w:rsid w:val="00AC71C1"/>
    <w:rsid w:val="00AC72D0"/>
    <w:rsid w:val="00AC7787"/>
    <w:rsid w:val="00AC789C"/>
    <w:rsid w:val="00AC7999"/>
    <w:rsid w:val="00AC79CA"/>
    <w:rsid w:val="00AC7E9A"/>
    <w:rsid w:val="00AD088E"/>
    <w:rsid w:val="00AD0A2A"/>
    <w:rsid w:val="00AD0FA9"/>
    <w:rsid w:val="00AD13D2"/>
    <w:rsid w:val="00AD152E"/>
    <w:rsid w:val="00AD2678"/>
    <w:rsid w:val="00AD2A64"/>
    <w:rsid w:val="00AD32DD"/>
    <w:rsid w:val="00AD3B6A"/>
    <w:rsid w:val="00AD3DB1"/>
    <w:rsid w:val="00AD46DB"/>
    <w:rsid w:val="00AD4729"/>
    <w:rsid w:val="00AD4960"/>
    <w:rsid w:val="00AD4EF0"/>
    <w:rsid w:val="00AD5F50"/>
    <w:rsid w:val="00AD67C6"/>
    <w:rsid w:val="00AD68DE"/>
    <w:rsid w:val="00AD73EC"/>
    <w:rsid w:val="00AD7491"/>
    <w:rsid w:val="00AD74CF"/>
    <w:rsid w:val="00AD7980"/>
    <w:rsid w:val="00AD7E81"/>
    <w:rsid w:val="00AE02F7"/>
    <w:rsid w:val="00AE0E9E"/>
    <w:rsid w:val="00AE14FC"/>
    <w:rsid w:val="00AE1D69"/>
    <w:rsid w:val="00AE2789"/>
    <w:rsid w:val="00AE2A93"/>
    <w:rsid w:val="00AE2BE9"/>
    <w:rsid w:val="00AE3150"/>
    <w:rsid w:val="00AE3243"/>
    <w:rsid w:val="00AE3267"/>
    <w:rsid w:val="00AE3553"/>
    <w:rsid w:val="00AE389F"/>
    <w:rsid w:val="00AE3DAE"/>
    <w:rsid w:val="00AE4827"/>
    <w:rsid w:val="00AE484F"/>
    <w:rsid w:val="00AE4F72"/>
    <w:rsid w:val="00AE4FFA"/>
    <w:rsid w:val="00AE5021"/>
    <w:rsid w:val="00AE54D7"/>
    <w:rsid w:val="00AE67BD"/>
    <w:rsid w:val="00AE6856"/>
    <w:rsid w:val="00AE7389"/>
    <w:rsid w:val="00AE747C"/>
    <w:rsid w:val="00AE7504"/>
    <w:rsid w:val="00AE755C"/>
    <w:rsid w:val="00AE7D35"/>
    <w:rsid w:val="00AE7E86"/>
    <w:rsid w:val="00AF036E"/>
    <w:rsid w:val="00AF049B"/>
    <w:rsid w:val="00AF076F"/>
    <w:rsid w:val="00AF07FC"/>
    <w:rsid w:val="00AF0968"/>
    <w:rsid w:val="00AF0C1C"/>
    <w:rsid w:val="00AF0E70"/>
    <w:rsid w:val="00AF105A"/>
    <w:rsid w:val="00AF10BE"/>
    <w:rsid w:val="00AF1124"/>
    <w:rsid w:val="00AF1D97"/>
    <w:rsid w:val="00AF2017"/>
    <w:rsid w:val="00AF24B0"/>
    <w:rsid w:val="00AF25E8"/>
    <w:rsid w:val="00AF292A"/>
    <w:rsid w:val="00AF298E"/>
    <w:rsid w:val="00AF2B37"/>
    <w:rsid w:val="00AF2E3D"/>
    <w:rsid w:val="00AF327F"/>
    <w:rsid w:val="00AF33FD"/>
    <w:rsid w:val="00AF3785"/>
    <w:rsid w:val="00AF3BB6"/>
    <w:rsid w:val="00AF3C14"/>
    <w:rsid w:val="00AF407C"/>
    <w:rsid w:val="00AF4DA8"/>
    <w:rsid w:val="00AF5126"/>
    <w:rsid w:val="00AF54F6"/>
    <w:rsid w:val="00AF589F"/>
    <w:rsid w:val="00AF5A07"/>
    <w:rsid w:val="00AF5D68"/>
    <w:rsid w:val="00AF5E6C"/>
    <w:rsid w:val="00AF61EE"/>
    <w:rsid w:val="00AF648E"/>
    <w:rsid w:val="00AF64E1"/>
    <w:rsid w:val="00AF6A26"/>
    <w:rsid w:val="00AF6FB6"/>
    <w:rsid w:val="00AF742B"/>
    <w:rsid w:val="00AF759F"/>
    <w:rsid w:val="00AF79D4"/>
    <w:rsid w:val="00AF7AFD"/>
    <w:rsid w:val="00AF7EEE"/>
    <w:rsid w:val="00B00D66"/>
    <w:rsid w:val="00B01A87"/>
    <w:rsid w:val="00B021F9"/>
    <w:rsid w:val="00B023B9"/>
    <w:rsid w:val="00B02B43"/>
    <w:rsid w:val="00B02E90"/>
    <w:rsid w:val="00B02F1B"/>
    <w:rsid w:val="00B03495"/>
    <w:rsid w:val="00B03647"/>
    <w:rsid w:val="00B038DA"/>
    <w:rsid w:val="00B03B5B"/>
    <w:rsid w:val="00B04094"/>
    <w:rsid w:val="00B045C4"/>
    <w:rsid w:val="00B04650"/>
    <w:rsid w:val="00B046EB"/>
    <w:rsid w:val="00B04982"/>
    <w:rsid w:val="00B053F6"/>
    <w:rsid w:val="00B05623"/>
    <w:rsid w:val="00B05C18"/>
    <w:rsid w:val="00B05EC1"/>
    <w:rsid w:val="00B05FFB"/>
    <w:rsid w:val="00B062F2"/>
    <w:rsid w:val="00B0649D"/>
    <w:rsid w:val="00B06BD8"/>
    <w:rsid w:val="00B06DCE"/>
    <w:rsid w:val="00B07605"/>
    <w:rsid w:val="00B0785B"/>
    <w:rsid w:val="00B1091B"/>
    <w:rsid w:val="00B10F94"/>
    <w:rsid w:val="00B118E9"/>
    <w:rsid w:val="00B11F4F"/>
    <w:rsid w:val="00B12D13"/>
    <w:rsid w:val="00B13E22"/>
    <w:rsid w:val="00B159E6"/>
    <w:rsid w:val="00B15B9E"/>
    <w:rsid w:val="00B15CD0"/>
    <w:rsid w:val="00B165C1"/>
    <w:rsid w:val="00B166CB"/>
    <w:rsid w:val="00B1675A"/>
    <w:rsid w:val="00B16B63"/>
    <w:rsid w:val="00B16C08"/>
    <w:rsid w:val="00B17278"/>
    <w:rsid w:val="00B17396"/>
    <w:rsid w:val="00B17457"/>
    <w:rsid w:val="00B17823"/>
    <w:rsid w:val="00B17974"/>
    <w:rsid w:val="00B179A6"/>
    <w:rsid w:val="00B17C6A"/>
    <w:rsid w:val="00B17D8D"/>
    <w:rsid w:val="00B2001E"/>
    <w:rsid w:val="00B20171"/>
    <w:rsid w:val="00B202AC"/>
    <w:rsid w:val="00B2065B"/>
    <w:rsid w:val="00B208E4"/>
    <w:rsid w:val="00B20FEE"/>
    <w:rsid w:val="00B21D7E"/>
    <w:rsid w:val="00B220D8"/>
    <w:rsid w:val="00B2210C"/>
    <w:rsid w:val="00B22304"/>
    <w:rsid w:val="00B2255A"/>
    <w:rsid w:val="00B226CA"/>
    <w:rsid w:val="00B2288D"/>
    <w:rsid w:val="00B22EA4"/>
    <w:rsid w:val="00B234C3"/>
    <w:rsid w:val="00B23A43"/>
    <w:rsid w:val="00B23AFC"/>
    <w:rsid w:val="00B24187"/>
    <w:rsid w:val="00B248B4"/>
    <w:rsid w:val="00B24B5C"/>
    <w:rsid w:val="00B251FD"/>
    <w:rsid w:val="00B253D5"/>
    <w:rsid w:val="00B259DC"/>
    <w:rsid w:val="00B25B68"/>
    <w:rsid w:val="00B25DE7"/>
    <w:rsid w:val="00B26A1C"/>
    <w:rsid w:val="00B26AC2"/>
    <w:rsid w:val="00B27110"/>
    <w:rsid w:val="00B27269"/>
    <w:rsid w:val="00B27568"/>
    <w:rsid w:val="00B27ACF"/>
    <w:rsid w:val="00B27D4A"/>
    <w:rsid w:val="00B27E23"/>
    <w:rsid w:val="00B27F93"/>
    <w:rsid w:val="00B3000F"/>
    <w:rsid w:val="00B30047"/>
    <w:rsid w:val="00B307FD"/>
    <w:rsid w:val="00B30EF6"/>
    <w:rsid w:val="00B30F16"/>
    <w:rsid w:val="00B30F9F"/>
    <w:rsid w:val="00B31350"/>
    <w:rsid w:val="00B3181C"/>
    <w:rsid w:val="00B31AE4"/>
    <w:rsid w:val="00B31CE7"/>
    <w:rsid w:val="00B31D4A"/>
    <w:rsid w:val="00B320AD"/>
    <w:rsid w:val="00B3248E"/>
    <w:rsid w:val="00B332D3"/>
    <w:rsid w:val="00B33807"/>
    <w:rsid w:val="00B34E8D"/>
    <w:rsid w:val="00B35148"/>
    <w:rsid w:val="00B35161"/>
    <w:rsid w:val="00B354B7"/>
    <w:rsid w:val="00B35872"/>
    <w:rsid w:val="00B3597D"/>
    <w:rsid w:val="00B35C63"/>
    <w:rsid w:val="00B35DAF"/>
    <w:rsid w:val="00B35ED3"/>
    <w:rsid w:val="00B3702A"/>
    <w:rsid w:val="00B3760D"/>
    <w:rsid w:val="00B37905"/>
    <w:rsid w:val="00B37F29"/>
    <w:rsid w:val="00B37F4E"/>
    <w:rsid w:val="00B402AA"/>
    <w:rsid w:val="00B40659"/>
    <w:rsid w:val="00B408C0"/>
    <w:rsid w:val="00B40C42"/>
    <w:rsid w:val="00B41075"/>
    <w:rsid w:val="00B41315"/>
    <w:rsid w:val="00B41399"/>
    <w:rsid w:val="00B4150D"/>
    <w:rsid w:val="00B42C80"/>
    <w:rsid w:val="00B42F9C"/>
    <w:rsid w:val="00B43C0E"/>
    <w:rsid w:val="00B43EDA"/>
    <w:rsid w:val="00B441B2"/>
    <w:rsid w:val="00B44D44"/>
    <w:rsid w:val="00B44DF4"/>
    <w:rsid w:val="00B454A3"/>
    <w:rsid w:val="00B4571F"/>
    <w:rsid w:val="00B45A3B"/>
    <w:rsid w:val="00B45F38"/>
    <w:rsid w:val="00B4671B"/>
    <w:rsid w:val="00B46724"/>
    <w:rsid w:val="00B469D2"/>
    <w:rsid w:val="00B46A15"/>
    <w:rsid w:val="00B46BF2"/>
    <w:rsid w:val="00B477BE"/>
    <w:rsid w:val="00B47B15"/>
    <w:rsid w:val="00B47E57"/>
    <w:rsid w:val="00B47FB8"/>
    <w:rsid w:val="00B50C78"/>
    <w:rsid w:val="00B51243"/>
    <w:rsid w:val="00B51287"/>
    <w:rsid w:val="00B513FD"/>
    <w:rsid w:val="00B5173E"/>
    <w:rsid w:val="00B51741"/>
    <w:rsid w:val="00B51B10"/>
    <w:rsid w:val="00B5207D"/>
    <w:rsid w:val="00B52090"/>
    <w:rsid w:val="00B52400"/>
    <w:rsid w:val="00B5269D"/>
    <w:rsid w:val="00B52CB7"/>
    <w:rsid w:val="00B52F53"/>
    <w:rsid w:val="00B530C9"/>
    <w:rsid w:val="00B53116"/>
    <w:rsid w:val="00B531CB"/>
    <w:rsid w:val="00B539C4"/>
    <w:rsid w:val="00B53BC8"/>
    <w:rsid w:val="00B54562"/>
    <w:rsid w:val="00B54AB2"/>
    <w:rsid w:val="00B54D44"/>
    <w:rsid w:val="00B553A4"/>
    <w:rsid w:val="00B55575"/>
    <w:rsid w:val="00B55BF6"/>
    <w:rsid w:val="00B55DD8"/>
    <w:rsid w:val="00B56A32"/>
    <w:rsid w:val="00B570A2"/>
    <w:rsid w:val="00B570D0"/>
    <w:rsid w:val="00B571F2"/>
    <w:rsid w:val="00B57610"/>
    <w:rsid w:val="00B57E42"/>
    <w:rsid w:val="00B60003"/>
    <w:rsid w:val="00B60279"/>
    <w:rsid w:val="00B60929"/>
    <w:rsid w:val="00B6106B"/>
    <w:rsid w:val="00B610E6"/>
    <w:rsid w:val="00B61193"/>
    <w:rsid w:val="00B614B0"/>
    <w:rsid w:val="00B6155F"/>
    <w:rsid w:val="00B61C5D"/>
    <w:rsid w:val="00B622A2"/>
    <w:rsid w:val="00B626FE"/>
    <w:rsid w:val="00B62F06"/>
    <w:rsid w:val="00B631B3"/>
    <w:rsid w:val="00B6393D"/>
    <w:rsid w:val="00B63AC7"/>
    <w:rsid w:val="00B63F8F"/>
    <w:rsid w:val="00B6406A"/>
    <w:rsid w:val="00B64506"/>
    <w:rsid w:val="00B64833"/>
    <w:rsid w:val="00B64E86"/>
    <w:rsid w:val="00B66172"/>
    <w:rsid w:val="00B66E1D"/>
    <w:rsid w:val="00B671F0"/>
    <w:rsid w:val="00B676CE"/>
    <w:rsid w:val="00B700D8"/>
    <w:rsid w:val="00B70519"/>
    <w:rsid w:val="00B708C8"/>
    <w:rsid w:val="00B70D8E"/>
    <w:rsid w:val="00B71825"/>
    <w:rsid w:val="00B71856"/>
    <w:rsid w:val="00B73488"/>
    <w:rsid w:val="00B738AD"/>
    <w:rsid w:val="00B73EAA"/>
    <w:rsid w:val="00B747D1"/>
    <w:rsid w:val="00B76740"/>
    <w:rsid w:val="00B76998"/>
    <w:rsid w:val="00B76C0E"/>
    <w:rsid w:val="00B76C14"/>
    <w:rsid w:val="00B76D1F"/>
    <w:rsid w:val="00B777C0"/>
    <w:rsid w:val="00B77E4F"/>
    <w:rsid w:val="00B801D8"/>
    <w:rsid w:val="00B80920"/>
    <w:rsid w:val="00B80C3A"/>
    <w:rsid w:val="00B812B2"/>
    <w:rsid w:val="00B81C4D"/>
    <w:rsid w:val="00B81C75"/>
    <w:rsid w:val="00B82686"/>
    <w:rsid w:val="00B828FA"/>
    <w:rsid w:val="00B8304D"/>
    <w:rsid w:val="00B83C14"/>
    <w:rsid w:val="00B83EB5"/>
    <w:rsid w:val="00B845C0"/>
    <w:rsid w:val="00B84DE3"/>
    <w:rsid w:val="00B852D7"/>
    <w:rsid w:val="00B85416"/>
    <w:rsid w:val="00B854B0"/>
    <w:rsid w:val="00B85547"/>
    <w:rsid w:val="00B85622"/>
    <w:rsid w:val="00B8583F"/>
    <w:rsid w:val="00B858DE"/>
    <w:rsid w:val="00B859EE"/>
    <w:rsid w:val="00B85B04"/>
    <w:rsid w:val="00B85BFF"/>
    <w:rsid w:val="00B860BD"/>
    <w:rsid w:val="00B860EB"/>
    <w:rsid w:val="00B865EA"/>
    <w:rsid w:val="00B87306"/>
    <w:rsid w:val="00B877B8"/>
    <w:rsid w:val="00B90781"/>
    <w:rsid w:val="00B909D7"/>
    <w:rsid w:val="00B90D9A"/>
    <w:rsid w:val="00B9120D"/>
    <w:rsid w:val="00B91E99"/>
    <w:rsid w:val="00B92066"/>
    <w:rsid w:val="00B92097"/>
    <w:rsid w:val="00B92A5D"/>
    <w:rsid w:val="00B92B9F"/>
    <w:rsid w:val="00B9379C"/>
    <w:rsid w:val="00B938B8"/>
    <w:rsid w:val="00B93EC2"/>
    <w:rsid w:val="00B945E3"/>
    <w:rsid w:val="00B947E6"/>
    <w:rsid w:val="00B94923"/>
    <w:rsid w:val="00B94A4F"/>
    <w:rsid w:val="00B94B94"/>
    <w:rsid w:val="00B94D12"/>
    <w:rsid w:val="00B94F0D"/>
    <w:rsid w:val="00B96510"/>
    <w:rsid w:val="00B9681F"/>
    <w:rsid w:val="00B96B1A"/>
    <w:rsid w:val="00B9706B"/>
    <w:rsid w:val="00B97278"/>
    <w:rsid w:val="00B973B0"/>
    <w:rsid w:val="00B97C2B"/>
    <w:rsid w:val="00B97F07"/>
    <w:rsid w:val="00BA006D"/>
    <w:rsid w:val="00BA09C6"/>
    <w:rsid w:val="00BA0BD6"/>
    <w:rsid w:val="00BA0F2B"/>
    <w:rsid w:val="00BA10BD"/>
    <w:rsid w:val="00BA1F0C"/>
    <w:rsid w:val="00BA273E"/>
    <w:rsid w:val="00BA2BBF"/>
    <w:rsid w:val="00BA337D"/>
    <w:rsid w:val="00BA3419"/>
    <w:rsid w:val="00BA3EA6"/>
    <w:rsid w:val="00BA4190"/>
    <w:rsid w:val="00BA4583"/>
    <w:rsid w:val="00BA45F4"/>
    <w:rsid w:val="00BA480E"/>
    <w:rsid w:val="00BA51E7"/>
    <w:rsid w:val="00BA5648"/>
    <w:rsid w:val="00BA59CD"/>
    <w:rsid w:val="00BA5B61"/>
    <w:rsid w:val="00BA6279"/>
    <w:rsid w:val="00BA658A"/>
    <w:rsid w:val="00BA6A4E"/>
    <w:rsid w:val="00BA6A5F"/>
    <w:rsid w:val="00BA6B3B"/>
    <w:rsid w:val="00BA6D59"/>
    <w:rsid w:val="00BA6F82"/>
    <w:rsid w:val="00BA7253"/>
    <w:rsid w:val="00BA7264"/>
    <w:rsid w:val="00BA7275"/>
    <w:rsid w:val="00BA7A78"/>
    <w:rsid w:val="00BA7C7A"/>
    <w:rsid w:val="00BA7EC8"/>
    <w:rsid w:val="00BB09F9"/>
    <w:rsid w:val="00BB11D0"/>
    <w:rsid w:val="00BB17B6"/>
    <w:rsid w:val="00BB1ECE"/>
    <w:rsid w:val="00BB2183"/>
    <w:rsid w:val="00BB2498"/>
    <w:rsid w:val="00BB2881"/>
    <w:rsid w:val="00BB2C6E"/>
    <w:rsid w:val="00BB2E48"/>
    <w:rsid w:val="00BB2FDB"/>
    <w:rsid w:val="00BB370F"/>
    <w:rsid w:val="00BB37C4"/>
    <w:rsid w:val="00BB3AB0"/>
    <w:rsid w:val="00BB4355"/>
    <w:rsid w:val="00BB460E"/>
    <w:rsid w:val="00BB4810"/>
    <w:rsid w:val="00BB4B6F"/>
    <w:rsid w:val="00BB4BFC"/>
    <w:rsid w:val="00BB5223"/>
    <w:rsid w:val="00BB5BFC"/>
    <w:rsid w:val="00BB630F"/>
    <w:rsid w:val="00BB6339"/>
    <w:rsid w:val="00BB65C8"/>
    <w:rsid w:val="00BB6972"/>
    <w:rsid w:val="00BB71C4"/>
    <w:rsid w:val="00BC0C49"/>
    <w:rsid w:val="00BC0EEA"/>
    <w:rsid w:val="00BC14FA"/>
    <w:rsid w:val="00BC153F"/>
    <w:rsid w:val="00BC2318"/>
    <w:rsid w:val="00BC321F"/>
    <w:rsid w:val="00BC36FB"/>
    <w:rsid w:val="00BC3CB2"/>
    <w:rsid w:val="00BC3DC1"/>
    <w:rsid w:val="00BC4021"/>
    <w:rsid w:val="00BC40EA"/>
    <w:rsid w:val="00BC4432"/>
    <w:rsid w:val="00BC4805"/>
    <w:rsid w:val="00BC4D98"/>
    <w:rsid w:val="00BC4ECB"/>
    <w:rsid w:val="00BC5766"/>
    <w:rsid w:val="00BC5841"/>
    <w:rsid w:val="00BC6C11"/>
    <w:rsid w:val="00BC6FFB"/>
    <w:rsid w:val="00BC7021"/>
    <w:rsid w:val="00BC7049"/>
    <w:rsid w:val="00BC708A"/>
    <w:rsid w:val="00BC7B2E"/>
    <w:rsid w:val="00BD07D0"/>
    <w:rsid w:val="00BD115D"/>
    <w:rsid w:val="00BD14E1"/>
    <w:rsid w:val="00BD178B"/>
    <w:rsid w:val="00BD1790"/>
    <w:rsid w:val="00BD188D"/>
    <w:rsid w:val="00BD1DAB"/>
    <w:rsid w:val="00BD1F44"/>
    <w:rsid w:val="00BD2249"/>
    <w:rsid w:val="00BD248D"/>
    <w:rsid w:val="00BD2ED1"/>
    <w:rsid w:val="00BD31D7"/>
    <w:rsid w:val="00BD3749"/>
    <w:rsid w:val="00BD3C08"/>
    <w:rsid w:val="00BD3FAD"/>
    <w:rsid w:val="00BD5588"/>
    <w:rsid w:val="00BD5E1D"/>
    <w:rsid w:val="00BD6106"/>
    <w:rsid w:val="00BD626D"/>
    <w:rsid w:val="00BD672E"/>
    <w:rsid w:val="00BD6738"/>
    <w:rsid w:val="00BD6BD1"/>
    <w:rsid w:val="00BD6D5D"/>
    <w:rsid w:val="00BD7165"/>
    <w:rsid w:val="00BD7D79"/>
    <w:rsid w:val="00BE0109"/>
    <w:rsid w:val="00BE0211"/>
    <w:rsid w:val="00BE07B3"/>
    <w:rsid w:val="00BE09F8"/>
    <w:rsid w:val="00BE0E1C"/>
    <w:rsid w:val="00BE156A"/>
    <w:rsid w:val="00BE18A3"/>
    <w:rsid w:val="00BE1B16"/>
    <w:rsid w:val="00BE1E09"/>
    <w:rsid w:val="00BE2E39"/>
    <w:rsid w:val="00BE3555"/>
    <w:rsid w:val="00BE3BDB"/>
    <w:rsid w:val="00BE3CD5"/>
    <w:rsid w:val="00BE3DBE"/>
    <w:rsid w:val="00BE3EB4"/>
    <w:rsid w:val="00BE40AA"/>
    <w:rsid w:val="00BE41DF"/>
    <w:rsid w:val="00BE4217"/>
    <w:rsid w:val="00BE4A36"/>
    <w:rsid w:val="00BE4BE6"/>
    <w:rsid w:val="00BE574A"/>
    <w:rsid w:val="00BE59AA"/>
    <w:rsid w:val="00BE5DC4"/>
    <w:rsid w:val="00BE5F76"/>
    <w:rsid w:val="00BE62EC"/>
    <w:rsid w:val="00BE6512"/>
    <w:rsid w:val="00BE67EA"/>
    <w:rsid w:val="00BE684C"/>
    <w:rsid w:val="00BE7039"/>
    <w:rsid w:val="00BE7152"/>
    <w:rsid w:val="00BE7415"/>
    <w:rsid w:val="00BE7445"/>
    <w:rsid w:val="00BE7E00"/>
    <w:rsid w:val="00BF01F9"/>
    <w:rsid w:val="00BF0230"/>
    <w:rsid w:val="00BF04FC"/>
    <w:rsid w:val="00BF07F3"/>
    <w:rsid w:val="00BF1309"/>
    <w:rsid w:val="00BF16B3"/>
    <w:rsid w:val="00BF1AFB"/>
    <w:rsid w:val="00BF2070"/>
    <w:rsid w:val="00BF23C1"/>
    <w:rsid w:val="00BF29D4"/>
    <w:rsid w:val="00BF2BF7"/>
    <w:rsid w:val="00BF2C34"/>
    <w:rsid w:val="00BF2C51"/>
    <w:rsid w:val="00BF2E5E"/>
    <w:rsid w:val="00BF305B"/>
    <w:rsid w:val="00BF329E"/>
    <w:rsid w:val="00BF33FC"/>
    <w:rsid w:val="00BF3489"/>
    <w:rsid w:val="00BF3B23"/>
    <w:rsid w:val="00BF3B91"/>
    <w:rsid w:val="00BF3BA8"/>
    <w:rsid w:val="00BF3BED"/>
    <w:rsid w:val="00BF3C10"/>
    <w:rsid w:val="00BF40D2"/>
    <w:rsid w:val="00BF4371"/>
    <w:rsid w:val="00BF442A"/>
    <w:rsid w:val="00BF44B8"/>
    <w:rsid w:val="00BF4729"/>
    <w:rsid w:val="00BF5872"/>
    <w:rsid w:val="00BF598B"/>
    <w:rsid w:val="00BF59FE"/>
    <w:rsid w:val="00BF671C"/>
    <w:rsid w:val="00BF676E"/>
    <w:rsid w:val="00BF67F2"/>
    <w:rsid w:val="00BF6B38"/>
    <w:rsid w:val="00BF73EA"/>
    <w:rsid w:val="00BF7819"/>
    <w:rsid w:val="00C003C9"/>
    <w:rsid w:val="00C004D6"/>
    <w:rsid w:val="00C00748"/>
    <w:rsid w:val="00C00D05"/>
    <w:rsid w:val="00C00D0C"/>
    <w:rsid w:val="00C0141E"/>
    <w:rsid w:val="00C01697"/>
    <w:rsid w:val="00C02386"/>
    <w:rsid w:val="00C025B0"/>
    <w:rsid w:val="00C02C51"/>
    <w:rsid w:val="00C03017"/>
    <w:rsid w:val="00C030FF"/>
    <w:rsid w:val="00C03151"/>
    <w:rsid w:val="00C03375"/>
    <w:rsid w:val="00C03DB5"/>
    <w:rsid w:val="00C04DF9"/>
    <w:rsid w:val="00C04EF2"/>
    <w:rsid w:val="00C058EE"/>
    <w:rsid w:val="00C05998"/>
    <w:rsid w:val="00C05F5A"/>
    <w:rsid w:val="00C060A0"/>
    <w:rsid w:val="00C0633E"/>
    <w:rsid w:val="00C0652A"/>
    <w:rsid w:val="00C065CC"/>
    <w:rsid w:val="00C06AD4"/>
    <w:rsid w:val="00C06D9F"/>
    <w:rsid w:val="00C0708E"/>
    <w:rsid w:val="00C07104"/>
    <w:rsid w:val="00C074EC"/>
    <w:rsid w:val="00C075DD"/>
    <w:rsid w:val="00C0760A"/>
    <w:rsid w:val="00C07626"/>
    <w:rsid w:val="00C07AA0"/>
    <w:rsid w:val="00C07B6D"/>
    <w:rsid w:val="00C07CC1"/>
    <w:rsid w:val="00C10146"/>
    <w:rsid w:val="00C111F4"/>
    <w:rsid w:val="00C11795"/>
    <w:rsid w:val="00C11CA7"/>
    <w:rsid w:val="00C11F37"/>
    <w:rsid w:val="00C127C3"/>
    <w:rsid w:val="00C12BF0"/>
    <w:rsid w:val="00C1307A"/>
    <w:rsid w:val="00C131D4"/>
    <w:rsid w:val="00C1337C"/>
    <w:rsid w:val="00C138B3"/>
    <w:rsid w:val="00C13CC7"/>
    <w:rsid w:val="00C14619"/>
    <w:rsid w:val="00C149E8"/>
    <w:rsid w:val="00C150AC"/>
    <w:rsid w:val="00C152CF"/>
    <w:rsid w:val="00C1546F"/>
    <w:rsid w:val="00C160D8"/>
    <w:rsid w:val="00C1704C"/>
    <w:rsid w:val="00C17491"/>
    <w:rsid w:val="00C17943"/>
    <w:rsid w:val="00C17A69"/>
    <w:rsid w:val="00C17B49"/>
    <w:rsid w:val="00C17DEE"/>
    <w:rsid w:val="00C2033A"/>
    <w:rsid w:val="00C20481"/>
    <w:rsid w:val="00C20982"/>
    <w:rsid w:val="00C20E65"/>
    <w:rsid w:val="00C211D7"/>
    <w:rsid w:val="00C21C6D"/>
    <w:rsid w:val="00C21CA5"/>
    <w:rsid w:val="00C21EDA"/>
    <w:rsid w:val="00C21EEC"/>
    <w:rsid w:val="00C22033"/>
    <w:rsid w:val="00C224EF"/>
    <w:rsid w:val="00C2287F"/>
    <w:rsid w:val="00C22B78"/>
    <w:rsid w:val="00C2327E"/>
    <w:rsid w:val="00C23903"/>
    <w:rsid w:val="00C2408B"/>
    <w:rsid w:val="00C24389"/>
    <w:rsid w:val="00C24AF6"/>
    <w:rsid w:val="00C2511F"/>
    <w:rsid w:val="00C2554D"/>
    <w:rsid w:val="00C270AD"/>
    <w:rsid w:val="00C27224"/>
    <w:rsid w:val="00C277BB"/>
    <w:rsid w:val="00C27AF8"/>
    <w:rsid w:val="00C27E05"/>
    <w:rsid w:val="00C27FC0"/>
    <w:rsid w:val="00C3192F"/>
    <w:rsid w:val="00C31C15"/>
    <w:rsid w:val="00C31DA1"/>
    <w:rsid w:val="00C31F8F"/>
    <w:rsid w:val="00C31FC4"/>
    <w:rsid w:val="00C3272A"/>
    <w:rsid w:val="00C32925"/>
    <w:rsid w:val="00C32B63"/>
    <w:rsid w:val="00C33212"/>
    <w:rsid w:val="00C341CF"/>
    <w:rsid w:val="00C34BBF"/>
    <w:rsid w:val="00C34FC7"/>
    <w:rsid w:val="00C35126"/>
    <w:rsid w:val="00C354FB"/>
    <w:rsid w:val="00C35763"/>
    <w:rsid w:val="00C35802"/>
    <w:rsid w:val="00C35FFC"/>
    <w:rsid w:val="00C361F8"/>
    <w:rsid w:val="00C364CD"/>
    <w:rsid w:val="00C36560"/>
    <w:rsid w:val="00C36AE4"/>
    <w:rsid w:val="00C36D0F"/>
    <w:rsid w:val="00C36D76"/>
    <w:rsid w:val="00C371CB"/>
    <w:rsid w:val="00C37520"/>
    <w:rsid w:val="00C37787"/>
    <w:rsid w:val="00C37A63"/>
    <w:rsid w:val="00C37F23"/>
    <w:rsid w:val="00C402A8"/>
    <w:rsid w:val="00C4045C"/>
    <w:rsid w:val="00C40519"/>
    <w:rsid w:val="00C40592"/>
    <w:rsid w:val="00C40B29"/>
    <w:rsid w:val="00C417B0"/>
    <w:rsid w:val="00C41A0A"/>
    <w:rsid w:val="00C41DB4"/>
    <w:rsid w:val="00C42222"/>
    <w:rsid w:val="00C42287"/>
    <w:rsid w:val="00C425CF"/>
    <w:rsid w:val="00C4266B"/>
    <w:rsid w:val="00C42A07"/>
    <w:rsid w:val="00C42B61"/>
    <w:rsid w:val="00C436E8"/>
    <w:rsid w:val="00C43C7C"/>
    <w:rsid w:val="00C43D63"/>
    <w:rsid w:val="00C44260"/>
    <w:rsid w:val="00C4430B"/>
    <w:rsid w:val="00C445C6"/>
    <w:rsid w:val="00C446BE"/>
    <w:rsid w:val="00C45251"/>
    <w:rsid w:val="00C458C1"/>
    <w:rsid w:val="00C46136"/>
    <w:rsid w:val="00C46AE7"/>
    <w:rsid w:val="00C46AFE"/>
    <w:rsid w:val="00C47528"/>
    <w:rsid w:val="00C478C0"/>
    <w:rsid w:val="00C47EEB"/>
    <w:rsid w:val="00C47FBA"/>
    <w:rsid w:val="00C505C9"/>
    <w:rsid w:val="00C50722"/>
    <w:rsid w:val="00C50AAF"/>
    <w:rsid w:val="00C51075"/>
    <w:rsid w:val="00C5126D"/>
    <w:rsid w:val="00C5239E"/>
    <w:rsid w:val="00C5248F"/>
    <w:rsid w:val="00C52C50"/>
    <w:rsid w:val="00C538CE"/>
    <w:rsid w:val="00C53EA2"/>
    <w:rsid w:val="00C54071"/>
    <w:rsid w:val="00C5433D"/>
    <w:rsid w:val="00C54C6E"/>
    <w:rsid w:val="00C55472"/>
    <w:rsid w:val="00C5547B"/>
    <w:rsid w:val="00C554D4"/>
    <w:rsid w:val="00C556E8"/>
    <w:rsid w:val="00C55D35"/>
    <w:rsid w:val="00C55DEA"/>
    <w:rsid w:val="00C55F1F"/>
    <w:rsid w:val="00C55F6D"/>
    <w:rsid w:val="00C5688D"/>
    <w:rsid w:val="00C56E9A"/>
    <w:rsid w:val="00C571FE"/>
    <w:rsid w:val="00C5744B"/>
    <w:rsid w:val="00C5761F"/>
    <w:rsid w:val="00C57812"/>
    <w:rsid w:val="00C57D76"/>
    <w:rsid w:val="00C60BB5"/>
    <w:rsid w:val="00C61BFC"/>
    <w:rsid w:val="00C6215A"/>
    <w:rsid w:val="00C6249C"/>
    <w:rsid w:val="00C62560"/>
    <w:rsid w:val="00C6398C"/>
    <w:rsid w:val="00C63E3B"/>
    <w:rsid w:val="00C63F84"/>
    <w:rsid w:val="00C63FBE"/>
    <w:rsid w:val="00C64617"/>
    <w:rsid w:val="00C647B9"/>
    <w:rsid w:val="00C64AB4"/>
    <w:rsid w:val="00C64CB4"/>
    <w:rsid w:val="00C65025"/>
    <w:rsid w:val="00C65069"/>
    <w:rsid w:val="00C655A3"/>
    <w:rsid w:val="00C6597E"/>
    <w:rsid w:val="00C65AF3"/>
    <w:rsid w:val="00C65CF0"/>
    <w:rsid w:val="00C6614C"/>
    <w:rsid w:val="00C6657B"/>
    <w:rsid w:val="00C67043"/>
    <w:rsid w:val="00C6711F"/>
    <w:rsid w:val="00C67DA2"/>
    <w:rsid w:val="00C67EF3"/>
    <w:rsid w:val="00C70C44"/>
    <w:rsid w:val="00C71215"/>
    <w:rsid w:val="00C712DF"/>
    <w:rsid w:val="00C71AE9"/>
    <w:rsid w:val="00C71DAA"/>
    <w:rsid w:val="00C71F57"/>
    <w:rsid w:val="00C7240D"/>
    <w:rsid w:val="00C7297E"/>
    <w:rsid w:val="00C73B21"/>
    <w:rsid w:val="00C753D3"/>
    <w:rsid w:val="00C75A94"/>
    <w:rsid w:val="00C75C52"/>
    <w:rsid w:val="00C75D82"/>
    <w:rsid w:val="00C75F13"/>
    <w:rsid w:val="00C76C40"/>
    <w:rsid w:val="00C76F81"/>
    <w:rsid w:val="00C77726"/>
    <w:rsid w:val="00C7797B"/>
    <w:rsid w:val="00C77CC0"/>
    <w:rsid w:val="00C801F1"/>
    <w:rsid w:val="00C8021D"/>
    <w:rsid w:val="00C80225"/>
    <w:rsid w:val="00C80362"/>
    <w:rsid w:val="00C80617"/>
    <w:rsid w:val="00C80669"/>
    <w:rsid w:val="00C809E8"/>
    <w:rsid w:val="00C80B17"/>
    <w:rsid w:val="00C80C67"/>
    <w:rsid w:val="00C80DA0"/>
    <w:rsid w:val="00C81262"/>
    <w:rsid w:val="00C8156E"/>
    <w:rsid w:val="00C81AE3"/>
    <w:rsid w:val="00C81CD4"/>
    <w:rsid w:val="00C81D42"/>
    <w:rsid w:val="00C81E0C"/>
    <w:rsid w:val="00C81F3C"/>
    <w:rsid w:val="00C82768"/>
    <w:rsid w:val="00C827FA"/>
    <w:rsid w:val="00C82992"/>
    <w:rsid w:val="00C836F5"/>
    <w:rsid w:val="00C8377A"/>
    <w:rsid w:val="00C83ABA"/>
    <w:rsid w:val="00C83E94"/>
    <w:rsid w:val="00C83F86"/>
    <w:rsid w:val="00C845C9"/>
    <w:rsid w:val="00C851F3"/>
    <w:rsid w:val="00C85732"/>
    <w:rsid w:val="00C86811"/>
    <w:rsid w:val="00C8729A"/>
    <w:rsid w:val="00C87A63"/>
    <w:rsid w:val="00C87BC8"/>
    <w:rsid w:val="00C90485"/>
    <w:rsid w:val="00C9063B"/>
    <w:rsid w:val="00C9117C"/>
    <w:rsid w:val="00C915DA"/>
    <w:rsid w:val="00C9164E"/>
    <w:rsid w:val="00C91651"/>
    <w:rsid w:val="00C91A27"/>
    <w:rsid w:val="00C925CE"/>
    <w:rsid w:val="00C92813"/>
    <w:rsid w:val="00C92971"/>
    <w:rsid w:val="00C92B90"/>
    <w:rsid w:val="00C92C36"/>
    <w:rsid w:val="00C93370"/>
    <w:rsid w:val="00C934BE"/>
    <w:rsid w:val="00C935A5"/>
    <w:rsid w:val="00C93739"/>
    <w:rsid w:val="00C94145"/>
    <w:rsid w:val="00C94C16"/>
    <w:rsid w:val="00C94C58"/>
    <w:rsid w:val="00C952CE"/>
    <w:rsid w:val="00C95346"/>
    <w:rsid w:val="00C95399"/>
    <w:rsid w:val="00C95460"/>
    <w:rsid w:val="00C95893"/>
    <w:rsid w:val="00C95AD3"/>
    <w:rsid w:val="00C96082"/>
    <w:rsid w:val="00C965FF"/>
    <w:rsid w:val="00C96FF4"/>
    <w:rsid w:val="00C970D9"/>
    <w:rsid w:val="00C9784A"/>
    <w:rsid w:val="00CA0010"/>
    <w:rsid w:val="00CA030A"/>
    <w:rsid w:val="00CA056F"/>
    <w:rsid w:val="00CA0806"/>
    <w:rsid w:val="00CA0A3F"/>
    <w:rsid w:val="00CA0A4C"/>
    <w:rsid w:val="00CA0F74"/>
    <w:rsid w:val="00CA1240"/>
    <w:rsid w:val="00CA1393"/>
    <w:rsid w:val="00CA13E7"/>
    <w:rsid w:val="00CA17C0"/>
    <w:rsid w:val="00CA1C57"/>
    <w:rsid w:val="00CA1E25"/>
    <w:rsid w:val="00CA257C"/>
    <w:rsid w:val="00CA2712"/>
    <w:rsid w:val="00CA2AED"/>
    <w:rsid w:val="00CA2C8D"/>
    <w:rsid w:val="00CA330F"/>
    <w:rsid w:val="00CA388B"/>
    <w:rsid w:val="00CA3BC2"/>
    <w:rsid w:val="00CA3E56"/>
    <w:rsid w:val="00CA40E1"/>
    <w:rsid w:val="00CA443E"/>
    <w:rsid w:val="00CA4A1E"/>
    <w:rsid w:val="00CA4C66"/>
    <w:rsid w:val="00CA5050"/>
    <w:rsid w:val="00CA61E7"/>
    <w:rsid w:val="00CA629D"/>
    <w:rsid w:val="00CA6DD2"/>
    <w:rsid w:val="00CA7660"/>
    <w:rsid w:val="00CB0D83"/>
    <w:rsid w:val="00CB0E32"/>
    <w:rsid w:val="00CB115A"/>
    <w:rsid w:val="00CB1F1C"/>
    <w:rsid w:val="00CB2120"/>
    <w:rsid w:val="00CB21F9"/>
    <w:rsid w:val="00CB2373"/>
    <w:rsid w:val="00CB2CDC"/>
    <w:rsid w:val="00CB2CE5"/>
    <w:rsid w:val="00CB2EDE"/>
    <w:rsid w:val="00CB30A1"/>
    <w:rsid w:val="00CB3328"/>
    <w:rsid w:val="00CB3BAF"/>
    <w:rsid w:val="00CB406A"/>
    <w:rsid w:val="00CB4166"/>
    <w:rsid w:val="00CB420D"/>
    <w:rsid w:val="00CB44D0"/>
    <w:rsid w:val="00CB454D"/>
    <w:rsid w:val="00CB479A"/>
    <w:rsid w:val="00CB499F"/>
    <w:rsid w:val="00CB4D45"/>
    <w:rsid w:val="00CB5997"/>
    <w:rsid w:val="00CB59CF"/>
    <w:rsid w:val="00CB5C28"/>
    <w:rsid w:val="00CB6671"/>
    <w:rsid w:val="00CB6928"/>
    <w:rsid w:val="00CB6C03"/>
    <w:rsid w:val="00CC175B"/>
    <w:rsid w:val="00CC1915"/>
    <w:rsid w:val="00CC1A73"/>
    <w:rsid w:val="00CC1B79"/>
    <w:rsid w:val="00CC2043"/>
    <w:rsid w:val="00CC3984"/>
    <w:rsid w:val="00CC4429"/>
    <w:rsid w:val="00CC457C"/>
    <w:rsid w:val="00CC4838"/>
    <w:rsid w:val="00CC4C96"/>
    <w:rsid w:val="00CC4F13"/>
    <w:rsid w:val="00CC520A"/>
    <w:rsid w:val="00CC53D9"/>
    <w:rsid w:val="00CC6021"/>
    <w:rsid w:val="00CC6367"/>
    <w:rsid w:val="00CC690C"/>
    <w:rsid w:val="00CC71CB"/>
    <w:rsid w:val="00CC756B"/>
    <w:rsid w:val="00CC75BC"/>
    <w:rsid w:val="00CD06CD"/>
    <w:rsid w:val="00CD0E3E"/>
    <w:rsid w:val="00CD1178"/>
    <w:rsid w:val="00CD1212"/>
    <w:rsid w:val="00CD133E"/>
    <w:rsid w:val="00CD1AA8"/>
    <w:rsid w:val="00CD1FBC"/>
    <w:rsid w:val="00CD23C1"/>
    <w:rsid w:val="00CD28C3"/>
    <w:rsid w:val="00CD294E"/>
    <w:rsid w:val="00CD2FA2"/>
    <w:rsid w:val="00CD2FF8"/>
    <w:rsid w:val="00CD31B5"/>
    <w:rsid w:val="00CD31D2"/>
    <w:rsid w:val="00CD3C24"/>
    <w:rsid w:val="00CD410A"/>
    <w:rsid w:val="00CD4213"/>
    <w:rsid w:val="00CD44BF"/>
    <w:rsid w:val="00CD4A42"/>
    <w:rsid w:val="00CD4EC7"/>
    <w:rsid w:val="00CD4F3F"/>
    <w:rsid w:val="00CD50B4"/>
    <w:rsid w:val="00CD5D46"/>
    <w:rsid w:val="00CD646B"/>
    <w:rsid w:val="00CD672A"/>
    <w:rsid w:val="00CD68B5"/>
    <w:rsid w:val="00CD694F"/>
    <w:rsid w:val="00CD6FDA"/>
    <w:rsid w:val="00CD77ED"/>
    <w:rsid w:val="00CE052E"/>
    <w:rsid w:val="00CE0730"/>
    <w:rsid w:val="00CE0793"/>
    <w:rsid w:val="00CE0CE9"/>
    <w:rsid w:val="00CE0E4C"/>
    <w:rsid w:val="00CE0F7E"/>
    <w:rsid w:val="00CE0FEF"/>
    <w:rsid w:val="00CE1220"/>
    <w:rsid w:val="00CE1290"/>
    <w:rsid w:val="00CE12A8"/>
    <w:rsid w:val="00CE1A27"/>
    <w:rsid w:val="00CE1A65"/>
    <w:rsid w:val="00CE251E"/>
    <w:rsid w:val="00CE326C"/>
    <w:rsid w:val="00CE3598"/>
    <w:rsid w:val="00CE3FEE"/>
    <w:rsid w:val="00CE4663"/>
    <w:rsid w:val="00CE4A7C"/>
    <w:rsid w:val="00CE4C92"/>
    <w:rsid w:val="00CE4D20"/>
    <w:rsid w:val="00CE4E2D"/>
    <w:rsid w:val="00CE5B75"/>
    <w:rsid w:val="00CE5BBA"/>
    <w:rsid w:val="00CE5C62"/>
    <w:rsid w:val="00CE6836"/>
    <w:rsid w:val="00CE6DD9"/>
    <w:rsid w:val="00CE7184"/>
    <w:rsid w:val="00CE77A8"/>
    <w:rsid w:val="00CE7829"/>
    <w:rsid w:val="00CE7997"/>
    <w:rsid w:val="00CE7B34"/>
    <w:rsid w:val="00CF0A2C"/>
    <w:rsid w:val="00CF1398"/>
    <w:rsid w:val="00CF1530"/>
    <w:rsid w:val="00CF3231"/>
    <w:rsid w:val="00CF39D6"/>
    <w:rsid w:val="00CF3BD3"/>
    <w:rsid w:val="00CF400E"/>
    <w:rsid w:val="00CF437B"/>
    <w:rsid w:val="00CF50A2"/>
    <w:rsid w:val="00CF608E"/>
    <w:rsid w:val="00CF6BCA"/>
    <w:rsid w:val="00CF6C5F"/>
    <w:rsid w:val="00CF6F34"/>
    <w:rsid w:val="00CF6FA0"/>
    <w:rsid w:val="00CF70F1"/>
    <w:rsid w:val="00CF736E"/>
    <w:rsid w:val="00CF76E8"/>
    <w:rsid w:val="00CF77A9"/>
    <w:rsid w:val="00CF77EA"/>
    <w:rsid w:val="00CF7983"/>
    <w:rsid w:val="00CF7D78"/>
    <w:rsid w:val="00CF7F3B"/>
    <w:rsid w:val="00D00003"/>
    <w:rsid w:val="00D0014F"/>
    <w:rsid w:val="00D00288"/>
    <w:rsid w:val="00D007C4"/>
    <w:rsid w:val="00D010BA"/>
    <w:rsid w:val="00D019B4"/>
    <w:rsid w:val="00D03039"/>
    <w:rsid w:val="00D03559"/>
    <w:rsid w:val="00D03886"/>
    <w:rsid w:val="00D03DCD"/>
    <w:rsid w:val="00D04426"/>
    <w:rsid w:val="00D05532"/>
    <w:rsid w:val="00D05750"/>
    <w:rsid w:val="00D05F4E"/>
    <w:rsid w:val="00D0629F"/>
    <w:rsid w:val="00D06555"/>
    <w:rsid w:val="00D066DF"/>
    <w:rsid w:val="00D06C13"/>
    <w:rsid w:val="00D06FC0"/>
    <w:rsid w:val="00D07838"/>
    <w:rsid w:val="00D10059"/>
    <w:rsid w:val="00D10BE3"/>
    <w:rsid w:val="00D11148"/>
    <w:rsid w:val="00D116F9"/>
    <w:rsid w:val="00D1197E"/>
    <w:rsid w:val="00D11A86"/>
    <w:rsid w:val="00D11AD6"/>
    <w:rsid w:val="00D11B7A"/>
    <w:rsid w:val="00D11D14"/>
    <w:rsid w:val="00D11D79"/>
    <w:rsid w:val="00D11DB4"/>
    <w:rsid w:val="00D12142"/>
    <w:rsid w:val="00D13056"/>
    <w:rsid w:val="00D134CF"/>
    <w:rsid w:val="00D137EC"/>
    <w:rsid w:val="00D13EC1"/>
    <w:rsid w:val="00D145A3"/>
    <w:rsid w:val="00D147D7"/>
    <w:rsid w:val="00D149F2"/>
    <w:rsid w:val="00D14F3C"/>
    <w:rsid w:val="00D1545D"/>
    <w:rsid w:val="00D154E8"/>
    <w:rsid w:val="00D16018"/>
    <w:rsid w:val="00D16583"/>
    <w:rsid w:val="00D16AF8"/>
    <w:rsid w:val="00D16F50"/>
    <w:rsid w:val="00D17731"/>
    <w:rsid w:val="00D179AB"/>
    <w:rsid w:val="00D17E88"/>
    <w:rsid w:val="00D200AA"/>
    <w:rsid w:val="00D2012A"/>
    <w:rsid w:val="00D20736"/>
    <w:rsid w:val="00D20E6A"/>
    <w:rsid w:val="00D217F2"/>
    <w:rsid w:val="00D22202"/>
    <w:rsid w:val="00D22882"/>
    <w:rsid w:val="00D22AAB"/>
    <w:rsid w:val="00D22B24"/>
    <w:rsid w:val="00D22F3A"/>
    <w:rsid w:val="00D22FF7"/>
    <w:rsid w:val="00D23287"/>
    <w:rsid w:val="00D232F1"/>
    <w:rsid w:val="00D23BC9"/>
    <w:rsid w:val="00D24E10"/>
    <w:rsid w:val="00D2601F"/>
    <w:rsid w:val="00D26265"/>
    <w:rsid w:val="00D27079"/>
    <w:rsid w:val="00D2772A"/>
    <w:rsid w:val="00D30142"/>
    <w:rsid w:val="00D306B6"/>
    <w:rsid w:val="00D30853"/>
    <w:rsid w:val="00D31349"/>
    <w:rsid w:val="00D3146D"/>
    <w:rsid w:val="00D31A33"/>
    <w:rsid w:val="00D32058"/>
    <w:rsid w:val="00D32698"/>
    <w:rsid w:val="00D327FD"/>
    <w:rsid w:val="00D33719"/>
    <w:rsid w:val="00D33B73"/>
    <w:rsid w:val="00D33C37"/>
    <w:rsid w:val="00D33D5D"/>
    <w:rsid w:val="00D33DB2"/>
    <w:rsid w:val="00D34114"/>
    <w:rsid w:val="00D3488D"/>
    <w:rsid w:val="00D34CA0"/>
    <w:rsid w:val="00D35213"/>
    <w:rsid w:val="00D352EF"/>
    <w:rsid w:val="00D35358"/>
    <w:rsid w:val="00D356C7"/>
    <w:rsid w:val="00D35B13"/>
    <w:rsid w:val="00D35DCE"/>
    <w:rsid w:val="00D35E46"/>
    <w:rsid w:val="00D35FFB"/>
    <w:rsid w:val="00D37A50"/>
    <w:rsid w:val="00D37DF6"/>
    <w:rsid w:val="00D4043B"/>
    <w:rsid w:val="00D4199A"/>
    <w:rsid w:val="00D4296F"/>
    <w:rsid w:val="00D42CAD"/>
    <w:rsid w:val="00D42E1F"/>
    <w:rsid w:val="00D43056"/>
    <w:rsid w:val="00D43BBF"/>
    <w:rsid w:val="00D444B6"/>
    <w:rsid w:val="00D44808"/>
    <w:rsid w:val="00D44C71"/>
    <w:rsid w:val="00D4513A"/>
    <w:rsid w:val="00D4520D"/>
    <w:rsid w:val="00D45BB2"/>
    <w:rsid w:val="00D45E5E"/>
    <w:rsid w:val="00D461C9"/>
    <w:rsid w:val="00D46914"/>
    <w:rsid w:val="00D46F2E"/>
    <w:rsid w:val="00D47320"/>
    <w:rsid w:val="00D478ED"/>
    <w:rsid w:val="00D47A66"/>
    <w:rsid w:val="00D47BCC"/>
    <w:rsid w:val="00D47EB9"/>
    <w:rsid w:val="00D510C0"/>
    <w:rsid w:val="00D511F1"/>
    <w:rsid w:val="00D51317"/>
    <w:rsid w:val="00D51A00"/>
    <w:rsid w:val="00D51AC4"/>
    <w:rsid w:val="00D51B9C"/>
    <w:rsid w:val="00D51CDA"/>
    <w:rsid w:val="00D51E69"/>
    <w:rsid w:val="00D5206B"/>
    <w:rsid w:val="00D528C7"/>
    <w:rsid w:val="00D529C8"/>
    <w:rsid w:val="00D52A5D"/>
    <w:rsid w:val="00D531E3"/>
    <w:rsid w:val="00D53747"/>
    <w:rsid w:val="00D53A09"/>
    <w:rsid w:val="00D53DA7"/>
    <w:rsid w:val="00D5400A"/>
    <w:rsid w:val="00D5499C"/>
    <w:rsid w:val="00D54AD5"/>
    <w:rsid w:val="00D54C79"/>
    <w:rsid w:val="00D54C82"/>
    <w:rsid w:val="00D54D1B"/>
    <w:rsid w:val="00D55302"/>
    <w:rsid w:val="00D55CE9"/>
    <w:rsid w:val="00D561F2"/>
    <w:rsid w:val="00D5630D"/>
    <w:rsid w:val="00D5668D"/>
    <w:rsid w:val="00D56911"/>
    <w:rsid w:val="00D574F2"/>
    <w:rsid w:val="00D60611"/>
    <w:rsid w:val="00D608E8"/>
    <w:rsid w:val="00D60966"/>
    <w:rsid w:val="00D60BAC"/>
    <w:rsid w:val="00D60F82"/>
    <w:rsid w:val="00D620F4"/>
    <w:rsid w:val="00D626C4"/>
    <w:rsid w:val="00D62707"/>
    <w:rsid w:val="00D627BC"/>
    <w:rsid w:val="00D629B7"/>
    <w:rsid w:val="00D62B30"/>
    <w:rsid w:val="00D62E01"/>
    <w:rsid w:val="00D62E21"/>
    <w:rsid w:val="00D6333D"/>
    <w:rsid w:val="00D63588"/>
    <w:rsid w:val="00D63741"/>
    <w:rsid w:val="00D6390C"/>
    <w:rsid w:val="00D639D2"/>
    <w:rsid w:val="00D63DE6"/>
    <w:rsid w:val="00D64409"/>
    <w:rsid w:val="00D64696"/>
    <w:rsid w:val="00D64A2E"/>
    <w:rsid w:val="00D64A38"/>
    <w:rsid w:val="00D64A75"/>
    <w:rsid w:val="00D669F5"/>
    <w:rsid w:val="00D6726C"/>
    <w:rsid w:val="00D67357"/>
    <w:rsid w:val="00D678C7"/>
    <w:rsid w:val="00D6797F"/>
    <w:rsid w:val="00D67CC2"/>
    <w:rsid w:val="00D70768"/>
    <w:rsid w:val="00D70A49"/>
    <w:rsid w:val="00D70AF5"/>
    <w:rsid w:val="00D70DEB"/>
    <w:rsid w:val="00D71733"/>
    <w:rsid w:val="00D724BF"/>
    <w:rsid w:val="00D72803"/>
    <w:rsid w:val="00D72CA6"/>
    <w:rsid w:val="00D72F47"/>
    <w:rsid w:val="00D734A1"/>
    <w:rsid w:val="00D73FC3"/>
    <w:rsid w:val="00D740E4"/>
    <w:rsid w:val="00D74107"/>
    <w:rsid w:val="00D74307"/>
    <w:rsid w:val="00D74431"/>
    <w:rsid w:val="00D7576F"/>
    <w:rsid w:val="00D75776"/>
    <w:rsid w:val="00D75CF5"/>
    <w:rsid w:val="00D75F6E"/>
    <w:rsid w:val="00D75FBE"/>
    <w:rsid w:val="00D7602C"/>
    <w:rsid w:val="00D760A0"/>
    <w:rsid w:val="00D76293"/>
    <w:rsid w:val="00D7636E"/>
    <w:rsid w:val="00D76B39"/>
    <w:rsid w:val="00D77B7A"/>
    <w:rsid w:val="00D80071"/>
    <w:rsid w:val="00D80641"/>
    <w:rsid w:val="00D809E0"/>
    <w:rsid w:val="00D81215"/>
    <w:rsid w:val="00D815B8"/>
    <w:rsid w:val="00D81DB5"/>
    <w:rsid w:val="00D823C9"/>
    <w:rsid w:val="00D82629"/>
    <w:rsid w:val="00D8298D"/>
    <w:rsid w:val="00D829B1"/>
    <w:rsid w:val="00D82A9C"/>
    <w:rsid w:val="00D82B3D"/>
    <w:rsid w:val="00D83755"/>
    <w:rsid w:val="00D83AF7"/>
    <w:rsid w:val="00D844A5"/>
    <w:rsid w:val="00D84ED3"/>
    <w:rsid w:val="00D85105"/>
    <w:rsid w:val="00D854A5"/>
    <w:rsid w:val="00D861EA"/>
    <w:rsid w:val="00D86391"/>
    <w:rsid w:val="00D865FF"/>
    <w:rsid w:val="00D86949"/>
    <w:rsid w:val="00D87CDA"/>
    <w:rsid w:val="00D9037E"/>
    <w:rsid w:val="00D90973"/>
    <w:rsid w:val="00D91267"/>
    <w:rsid w:val="00D912A1"/>
    <w:rsid w:val="00D91696"/>
    <w:rsid w:val="00D9291C"/>
    <w:rsid w:val="00D9328B"/>
    <w:rsid w:val="00D93954"/>
    <w:rsid w:val="00D93BB0"/>
    <w:rsid w:val="00D94435"/>
    <w:rsid w:val="00D944B8"/>
    <w:rsid w:val="00D947D0"/>
    <w:rsid w:val="00D94F99"/>
    <w:rsid w:val="00D9518B"/>
    <w:rsid w:val="00D95BC2"/>
    <w:rsid w:val="00D95FEF"/>
    <w:rsid w:val="00D96041"/>
    <w:rsid w:val="00D9627B"/>
    <w:rsid w:val="00D96D4C"/>
    <w:rsid w:val="00D97185"/>
    <w:rsid w:val="00D979FE"/>
    <w:rsid w:val="00D97E10"/>
    <w:rsid w:val="00D97F07"/>
    <w:rsid w:val="00DA005B"/>
    <w:rsid w:val="00DA0CB0"/>
    <w:rsid w:val="00DA0DDC"/>
    <w:rsid w:val="00DA1268"/>
    <w:rsid w:val="00DA12CD"/>
    <w:rsid w:val="00DA13C6"/>
    <w:rsid w:val="00DA140B"/>
    <w:rsid w:val="00DA1DCB"/>
    <w:rsid w:val="00DA2650"/>
    <w:rsid w:val="00DA2726"/>
    <w:rsid w:val="00DA34F8"/>
    <w:rsid w:val="00DA3B8B"/>
    <w:rsid w:val="00DA3E4E"/>
    <w:rsid w:val="00DA401B"/>
    <w:rsid w:val="00DA5386"/>
    <w:rsid w:val="00DA58A1"/>
    <w:rsid w:val="00DA61B6"/>
    <w:rsid w:val="00DA6F8A"/>
    <w:rsid w:val="00DA750B"/>
    <w:rsid w:val="00DA7D5D"/>
    <w:rsid w:val="00DB00F4"/>
    <w:rsid w:val="00DB03EF"/>
    <w:rsid w:val="00DB0DD1"/>
    <w:rsid w:val="00DB11A4"/>
    <w:rsid w:val="00DB16A1"/>
    <w:rsid w:val="00DB1A0D"/>
    <w:rsid w:val="00DB2686"/>
    <w:rsid w:val="00DB2697"/>
    <w:rsid w:val="00DB2A38"/>
    <w:rsid w:val="00DB31E9"/>
    <w:rsid w:val="00DB3433"/>
    <w:rsid w:val="00DB37E7"/>
    <w:rsid w:val="00DB39AA"/>
    <w:rsid w:val="00DB3BE8"/>
    <w:rsid w:val="00DB40F7"/>
    <w:rsid w:val="00DB46D6"/>
    <w:rsid w:val="00DB4C32"/>
    <w:rsid w:val="00DB5152"/>
    <w:rsid w:val="00DB54F7"/>
    <w:rsid w:val="00DB5501"/>
    <w:rsid w:val="00DB5B6A"/>
    <w:rsid w:val="00DB5E9B"/>
    <w:rsid w:val="00DB6245"/>
    <w:rsid w:val="00DB6893"/>
    <w:rsid w:val="00DB6DE4"/>
    <w:rsid w:val="00DB737C"/>
    <w:rsid w:val="00DB74BD"/>
    <w:rsid w:val="00DB78EE"/>
    <w:rsid w:val="00DB792A"/>
    <w:rsid w:val="00DC0329"/>
    <w:rsid w:val="00DC0BAA"/>
    <w:rsid w:val="00DC0DBE"/>
    <w:rsid w:val="00DC0F7A"/>
    <w:rsid w:val="00DC0FBC"/>
    <w:rsid w:val="00DC1527"/>
    <w:rsid w:val="00DC15CF"/>
    <w:rsid w:val="00DC1848"/>
    <w:rsid w:val="00DC19CF"/>
    <w:rsid w:val="00DC1D08"/>
    <w:rsid w:val="00DC1D21"/>
    <w:rsid w:val="00DC2DC5"/>
    <w:rsid w:val="00DC3089"/>
    <w:rsid w:val="00DC3320"/>
    <w:rsid w:val="00DC3463"/>
    <w:rsid w:val="00DC3577"/>
    <w:rsid w:val="00DC3602"/>
    <w:rsid w:val="00DC3962"/>
    <w:rsid w:val="00DC3970"/>
    <w:rsid w:val="00DC3B37"/>
    <w:rsid w:val="00DC3C3C"/>
    <w:rsid w:val="00DC47B7"/>
    <w:rsid w:val="00DC4E53"/>
    <w:rsid w:val="00DC56F3"/>
    <w:rsid w:val="00DC5C64"/>
    <w:rsid w:val="00DC5C89"/>
    <w:rsid w:val="00DC5CBA"/>
    <w:rsid w:val="00DC657F"/>
    <w:rsid w:val="00DC6600"/>
    <w:rsid w:val="00DC6797"/>
    <w:rsid w:val="00DC7512"/>
    <w:rsid w:val="00DC76C8"/>
    <w:rsid w:val="00DC7B39"/>
    <w:rsid w:val="00DC7DCF"/>
    <w:rsid w:val="00DD0200"/>
    <w:rsid w:val="00DD0B6C"/>
    <w:rsid w:val="00DD0DF8"/>
    <w:rsid w:val="00DD1238"/>
    <w:rsid w:val="00DD15ED"/>
    <w:rsid w:val="00DD1803"/>
    <w:rsid w:val="00DD197B"/>
    <w:rsid w:val="00DD1BF4"/>
    <w:rsid w:val="00DD1CCC"/>
    <w:rsid w:val="00DD200F"/>
    <w:rsid w:val="00DD413B"/>
    <w:rsid w:val="00DD4583"/>
    <w:rsid w:val="00DD4921"/>
    <w:rsid w:val="00DD54E8"/>
    <w:rsid w:val="00DD5B4F"/>
    <w:rsid w:val="00DD6178"/>
    <w:rsid w:val="00DD653E"/>
    <w:rsid w:val="00DD6632"/>
    <w:rsid w:val="00DD66FE"/>
    <w:rsid w:val="00DD6991"/>
    <w:rsid w:val="00DD6D5D"/>
    <w:rsid w:val="00DD6DC3"/>
    <w:rsid w:val="00DD6F09"/>
    <w:rsid w:val="00DD70F9"/>
    <w:rsid w:val="00DD7365"/>
    <w:rsid w:val="00DD77FD"/>
    <w:rsid w:val="00DD7DC4"/>
    <w:rsid w:val="00DE0037"/>
    <w:rsid w:val="00DE0121"/>
    <w:rsid w:val="00DE04A7"/>
    <w:rsid w:val="00DE056E"/>
    <w:rsid w:val="00DE0B8B"/>
    <w:rsid w:val="00DE0C9A"/>
    <w:rsid w:val="00DE13FD"/>
    <w:rsid w:val="00DE14C3"/>
    <w:rsid w:val="00DE15F8"/>
    <w:rsid w:val="00DE1B92"/>
    <w:rsid w:val="00DE1DBC"/>
    <w:rsid w:val="00DE24A6"/>
    <w:rsid w:val="00DE348F"/>
    <w:rsid w:val="00DE367F"/>
    <w:rsid w:val="00DE3FDA"/>
    <w:rsid w:val="00DE4B4A"/>
    <w:rsid w:val="00DE4D0A"/>
    <w:rsid w:val="00DE4D8C"/>
    <w:rsid w:val="00DE4F9A"/>
    <w:rsid w:val="00DE5798"/>
    <w:rsid w:val="00DE57D5"/>
    <w:rsid w:val="00DE637F"/>
    <w:rsid w:val="00DE6400"/>
    <w:rsid w:val="00DE6679"/>
    <w:rsid w:val="00DE66CB"/>
    <w:rsid w:val="00DE67C6"/>
    <w:rsid w:val="00DE6A4E"/>
    <w:rsid w:val="00DE6CFF"/>
    <w:rsid w:val="00DE6D20"/>
    <w:rsid w:val="00DE6EEE"/>
    <w:rsid w:val="00DE6F16"/>
    <w:rsid w:val="00DE6F8F"/>
    <w:rsid w:val="00DE7426"/>
    <w:rsid w:val="00DF07D1"/>
    <w:rsid w:val="00DF0E91"/>
    <w:rsid w:val="00DF136F"/>
    <w:rsid w:val="00DF14F4"/>
    <w:rsid w:val="00DF15D3"/>
    <w:rsid w:val="00DF191B"/>
    <w:rsid w:val="00DF1C6E"/>
    <w:rsid w:val="00DF1D4D"/>
    <w:rsid w:val="00DF1EA2"/>
    <w:rsid w:val="00DF1EB1"/>
    <w:rsid w:val="00DF2193"/>
    <w:rsid w:val="00DF2379"/>
    <w:rsid w:val="00DF25EB"/>
    <w:rsid w:val="00DF35C8"/>
    <w:rsid w:val="00DF397A"/>
    <w:rsid w:val="00DF3E57"/>
    <w:rsid w:val="00DF456E"/>
    <w:rsid w:val="00DF4DF0"/>
    <w:rsid w:val="00DF745F"/>
    <w:rsid w:val="00DF75A5"/>
    <w:rsid w:val="00DF7B61"/>
    <w:rsid w:val="00DF7CCC"/>
    <w:rsid w:val="00DF7CE9"/>
    <w:rsid w:val="00DF7E38"/>
    <w:rsid w:val="00E00577"/>
    <w:rsid w:val="00E007F9"/>
    <w:rsid w:val="00E00BF0"/>
    <w:rsid w:val="00E0140B"/>
    <w:rsid w:val="00E017DA"/>
    <w:rsid w:val="00E025FC"/>
    <w:rsid w:val="00E02990"/>
    <w:rsid w:val="00E03B72"/>
    <w:rsid w:val="00E041A1"/>
    <w:rsid w:val="00E041AD"/>
    <w:rsid w:val="00E0455F"/>
    <w:rsid w:val="00E04569"/>
    <w:rsid w:val="00E04602"/>
    <w:rsid w:val="00E049EB"/>
    <w:rsid w:val="00E04C6D"/>
    <w:rsid w:val="00E05767"/>
    <w:rsid w:val="00E06225"/>
    <w:rsid w:val="00E0636B"/>
    <w:rsid w:val="00E069AA"/>
    <w:rsid w:val="00E06CB8"/>
    <w:rsid w:val="00E07849"/>
    <w:rsid w:val="00E07F71"/>
    <w:rsid w:val="00E101A4"/>
    <w:rsid w:val="00E1029B"/>
    <w:rsid w:val="00E1035D"/>
    <w:rsid w:val="00E10787"/>
    <w:rsid w:val="00E110D2"/>
    <w:rsid w:val="00E111D8"/>
    <w:rsid w:val="00E11ADF"/>
    <w:rsid w:val="00E11D9D"/>
    <w:rsid w:val="00E12581"/>
    <w:rsid w:val="00E12C77"/>
    <w:rsid w:val="00E132D5"/>
    <w:rsid w:val="00E1339B"/>
    <w:rsid w:val="00E134DA"/>
    <w:rsid w:val="00E13568"/>
    <w:rsid w:val="00E14204"/>
    <w:rsid w:val="00E14A1B"/>
    <w:rsid w:val="00E14A58"/>
    <w:rsid w:val="00E150D4"/>
    <w:rsid w:val="00E15230"/>
    <w:rsid w:val="00E153B7"/>
    <w:rsid w:val="00E153C1"/>
    <w:rsid w:val="00E15427"/>
    <w:rsid w:val="00E15480"/>
    <w:rsid w:val="00E156D0"/>
    <w:rsid w:val="00E15B2B"/>
    <w:rsid w:val="00E1612E"/>
    <w:rsid w:val="00E16A88"/>
    <w:rsid w:val="00E16FBA"/>
    <w:rsid w:val="00E1710D"/>
    <w:rsid w:val="00E1724A"/>
    <w:rsid w:val="00E20948"/>
    <w:rsid w:val="00E20CE1"/>
    <w:rsid w:val="00E20F9A"/>
    <w:rsid w:val="00E2185A"/>
    <w:rsid w:val="00E22480"/>
    <w:rsid w:val="00E22B41"/>
    <w:rsid w:val="00E2425F"/>
    <w:rsid w:val="00E24C2D"/>
    <w:rsid w:val="00E24D3F"/>
    <w:rsid w:val="00E250D2"/>
    <w:rsid w:val="00E25763"/>
    <w:rsid w:val="00E25F98"/>
    <w:rsid w:val="00E26033"/>
    <w:rsid w:val="00E2641A"/>
    <w:rsid w:val="00E2702B"/>
    <w:rsid w:val="00E2743B"/>
    <w:rsid w:val="00E2747D"/>
    <w:rsid w:val="00E30622"/>
    <w:rsid w:val="00E30841"/>
    <w:rsid w:val="00E3119B"/>
    <w:rsid w:val="00E314D5"/>
    <w:rsid w:val="00E31613"/>
    <w:rsid w:val="00E32A06"/>
    <w:rsid w:val="00E32B0D"/>
    <w:rsid w:val="00E32F01"/>
    <w:rsid w:val="00E33181"/>
    <w:rsid w:val="00E331CF"/>
    <w:rsid w:val="00E33893"/>
    <w:rsid w:val="00E34636"/>
    <w:rsid w:val="00E34B67"/>
    <w:rsid w:val="00E34EE6"/>
    <w:rsid w:val="00E35111"/>
    <w:rsid w:val="00E351A5"/>
    <w:rsid w:val="00E35762"/>
    <w:rsid w:val="00E358EB"/>
    <w:rsid w:val="00E359AA"/>
    <w:rsid w:val="00E35BFA"/>
    <w:rsid w:val="00E36301"/>
    <w:rsid w:val="00E363DC"/>
    <w:rsid w:val="00E3656E"/>
    <w:rsid w:val="00E36A8A"/>
    <w:rsid w:val="00E37509"/>
    <w:rsid w:val="00E3767E"/>
    <w:rsid w:val="00E37EDA"/>
    <w:rsid w:val="00E4069E"/>
    <w:rsid w:val="00E406C3"/>
    <w:rsid w:val="00E40708"/>
    <w:rsid w:val="00E40999"/>
    <w:rsid w:val="00E40CDB"/>
    <w:rsid w:val="00E411EB"/>
    <w:rsid w:val="00E413DB"/>
    <w:rsid w:val="00E4143A"/>
    <w:rsid w:val="00E41B9B"/>
    <w:rsid w:val="00E41D85"/>
    <w:rsid w:val="00E42388"/>
    <w:rsid w:val="00E4243B"/>
    <w:rsid w:val="00E4249C"/>
    <w:rsid w:val="00E42577"/>
    <w:rsid w:val="00E42DFD"/>
    <w:rsid w:val="00E433FE"/>
    <w:rsid w:val="00E4354D"/>
    <w:rsid w:val="00E43AE6"/>
    <w:rsid w:val="00E44067"/>
    <w:rsid w:val="00E44320"/>
    <w:rsid w:val="00E44592"/>
    <w:rsid w:val="00E449A0"/>
    <w:rsid w:val="00E44B22"/>
    <w:rsid w:val="00E45055"/>
    <w:rsid w:val="00E45418"/>
    <w:rsid w:val="00E45583"/>
    <w:rsid w:val="00E4569D"/>
    <w:rsid w:val="00E459F3"/>
    <w:rsid w:val="00E47343"/>
    <w:rsid w:val="00E47D99"/>
    <w:rsid w:val="00E50078"/>
    <w:rsid w:val="00E50423"/>
    <w:rsid w:val="00E504E2"/>
    <w:rsid w:val="00E5076D"/>
    <w:rsid w:val="00E507CA"/>
    <w:rsid w:val="00E51DBD"/>
    <w:rsid w:val="00E524D1"/>
    <w:rsid w:val="00E525F4"/>
    <w:rsid w:val="00E5273D"/>
    <w:rsid w:val="00E533B3"/>
    <w:rsid w:val="00E53821"/>
    <w:rsid w:val="00E53A2C"/>
    <w:rsid w:val="00E53B32"/>
    <w:rsid w:val="00E544A2"/>
    <w:rsid w:val="00E544C1"/>
    <w:rsid w:val="00E54726"/>
    <w:rsid w:val="00E54D6E"/>
    <w:rsid w:val="00E55207"/>
    <w:rsid w:val="00E5573C"/>
    <w:rsid w:val="00E55773"/>
    <w:rsid w:val="00E559C7"/>
    <w:rsid w:val="00E55C53"/>
    <w:rsid w:val="00E56769"/>
    <w:rsid w:val="00E569F1"/>
    <w:rsid w:val="00E56B91"/>
    <w:rsid w:val="00E56EE3"/>
    <w:rsid w:val="00E56F7B"/>
    <w:rsid w:val="00E5718F"/>
    <w:rsid w:val="00E5763C"/>
    <w:rsid w:val="00E60791"/>
    <w:rsid w:val="00E607A9"/>
    <w:rsid w:val="00E60EF3"/>
    <w:rsid w:val="00E6150D"/>
    <w:rsid w:val="00E61A5C"/>
    <w:rsid w:val="00E62040"/>
    <w:rsid w:val="00E6277D"/>
    <w:rsid w:val="00E630FB"/>
    <w:rsid w:val="00E636B2"/>
    <w:rsid w:val="00E63CA4"/>
    <w:rsid w:val="00E63D3B"/>
    <w:rsid w:val="00E63EFA"/>
    <w:rsid w:val="00E645D7"/>
    <w:rsid w:val="00E65A84"/>
    <w:rsid w:val="00E66070"/>
    <w:rsid w:val="00E66314"/>
    <w:rsid w:val="00E663D7"/>
    <w:rsid w:val="00E6641D"/>
    <w:rsid w:val="00E6668D"/>
    <w:rsid w:val="00E66CB1"/>
    <w:rsid w:val="00E66D64"/>
    <w:rsid w:val="00E66F9B"/>
    <w:rsid w:val="00E67342"/>
    <w:rsid w:val="00E67474"/>
    <w:rsid w:val="00E6747B"/>
    <w:rsid w:val="00E67731"/>
    <w:rsid w:val="00E679B7"/>
    <w:rsid w:val="00E70527"/>
    <w:rsid w:val="00E70621"/>
    <w:rsid w:val="00E70753"/>
    <w:rsid w:val="00E707FA"/>
    <w:rsid w:val="00E70CAB"/>
    <w:rsid w:val="00E70D06"/>
    <w:rsid w:val="00E70EE5"/>
    <w:rsid w:val="00E713AF"/>
    <w:rsid w:val="00E71EC2"/>
    <w:rsid w:val="00E726DC"/>
    <w:rsid w:val="00E72A24"/>
    <w:rsid w:val="00E72BF9"/>
    <w:rsid w:val="00E7383F"/>
    <w:rsid w:val="00E739A4"/>
    <w:rsid w:val="00E73ACA"/>
    <w:rsid w:val="00E73C3D"/>
    <w:rsid w:val="00E744A0"/>
    <w:rsid w:val="00E74923"/>
    <w:rsid w:val="00E75087"/>
    <w:rsid w:val="00E75EF3"/>
    <w:rsid w:val="00E76D4C"/>
    <w:rsid w:val="00E76D4F"/>
    <w:rsid w:val="00E7738D"/>
    <w:rsid w:val="00E77D76"/>
    <w:rsid w:val="00E80489"/>
    <w:rsid w:val="00E80530"/>
    <w:rsid w:val="00E813DD"/>
    <w:rsid w:val="00E81A9D"/>
    <w:rsid w:val="00E81FA3"/>
    <w:rsid w:val="00E823CC"/>
    <w:rsid w:val="00E826FD"/>
    <w:rsid w:val="00E83AD2"/>
    <w:rsid w:val="00E83C4A"/>
    <w:rsid w:val="00E83F0D"/>
    <w:rsid w:val="00E8482C"/>
    <w:rsid w:val="00E84E99"/>
    <w:rsid w:val="00E85510"/>
    <w:rsid w:val="00E85D2E"/>
    <w:rsid w:val="00E8628F"/>
    <w:rsid w:val="00E86440"/>
    <w:rsid w:val="00E86757"/>
    <w:rsid w:val="00E86A54"/>
    <w:rsid w:val="00E86A6B"/>
    <w:rsid w:val="00E872D4"/>
    <w:rsid w:val="00E8739C"/>
    <w:rsid w:val="00E87C26"/>
    <w:rsid w:val="00E90ABE"/>
    <w:rsid w:val="00E913D3"/>
    <w:rsid w:val="00E91684"/>
    <w:rsid w:val="00E91D9D"/>
    <w:rsid w:val="00E9264F"/>
    <w:rsid w:val="00E92E95"/>
    <w:rsid w:val="00E9324D"/>
    <w:rsid w:val="00E93834"/>
    <w:rsid w:val="00E93B69"/>
    <w:rsid w:val="00E93DBA"/>
    <w:rsid w:val="00E93DF6"/>
    <w:rsid w:val="00E93FB7"/>
    <w:rsid w:val="00E9460C"/>
    <w:rsid w:val="00E94AA6"/>
    <w:rsid w:val="00E9510F"/>
    <w:rsid w:val="00E955CA"/>
    <w:rsid w:val="00E958F0"/>
    <w:rsid w:val="00E95CEC"/>
    <w:rsid w:val="00E95F23"/>
    <w:rsid w:val="00E9687F"/>
    <w:rsid w:val="00E96949"/>
    <w:rsid w:val="00E96BC3"/>
    <w:rsid w:val="00E970AC"/>
    <w:rsid w:val="00E97292"/>
    <w:rsid w:val="00E979BA"/>
    <w:rsid w:val="00E97B31"/>
    <w:rsid w:val="00EA039A"/>
    <w:rsid w:val="00EA0E85"/>
    <w:rsid w:val="00EA0F73"/>
    <w:rsid w:val="00EA1054"/>
    <w:rsid w:val="00EA1A6F"/>
    <w:rsid w:val="00EA20DD"/>
    <w:rsid w:val="00EA2546"/>
    <w:rsid w:val="00EA25BB"/>
    <w:rsid w:val="00EA2838"/>
    <w:rsid w:val="00EA3449"/>
    <w:rsid w:val="00EA3A9E"/>
    <w:rsid w:val="00EA43DB"/>
    <w:rsid w:val="00EA480C"/>
    <w:rsid w:val="00EA48C8"/>
    <w:rsid w:val="00EA49DC"/>
    <w:rsid w:val="00EA4C50"/>
    <w:rsid w:val="00EA59FB"/>
    <w:rsid w:val="00EA5F3A"/>
    <w:rsid w:val="00EA603A"/>
    <w:rsid w:val="00EA62CA"/>
    <w:rsid w:val="00EA643F"/>
    <w:rsid w:val="00EA6474"/>
    <w:rsid w:val="00EA67A4"/>
    <w:rsid w:val="00EA697C"/>
    <w:rsid w:val="00EA7152"/>
    <w:rsid w:val="00EA739B"/>
    <w:rsid w:val="00EA776B"/>
    <w:rsid w:val="00EA79B5"/>
    <w:rsid w:val="00EA7DDE"/>
    <w:rsid w:val="00EA7DEC"/>
    <w:rsid w:val="00EB002C"/>
    <w:rsid w:val="00EB0F4E"/>
    <w:rsid w:val="00EB111D"/>
    <w:rsid w:val="00EB16C6"/>
    <w:rsid w:val="00EB1AB9"/>
    <w:rsid w:val="00EB2436"/>
    <w:rsid w:val="00EB2593"/>
    <w:rsid w:val="00EB25EA"/>
    <w:rsid w:val="00EB280C"/>
    <w:rsid w:val="00EB2B75"/>
    <w:rsid w:val="00EB2C27"/>
    <w:rsid w:val="00EB2C74"/>
    <w:rsid w:val="00EB37A9"/>
    <w:rsid w:val="00EB39AE"/>
    <w:rsid w:val="00EB3C47"/>
    <w:rsid w:val="00EB3EE9"/>
    <w:rsid w:val="00EB4F52"/>
    <w:rsid w:val="00EB55A7"/>
    <w:rsid w:val="00EB56C4"/>
    <w:rsid w:val="00EB5DE0"/>
    <w:rsid w:val="00EB6076"/>
    <w:rsid w:val="00EB63B9"/>
    <w:rsid w:val="00EB6741"/>
    <w:rsid w:val="00EB7221"/>
    <w:rsid w:val="00EB7520"/>
    <w:rsid w:val="00EB77A6"/>
    <w:rsid w:val="00EB77E4"/>
    <w:rsid w:val="00EB7BA5"/>
    <w:rsid w:val="00EB7EC1"/>
    <w:rsid w:val="00EC0198"/>
    <w:rsid w:val="00EC0729"/>
    <w:rsid w:val="00EC08CD"/>
    <w:rsid w:val="00EC0A6C"/>
    <w:rsid w:val="00EC0B46"/>
    <w:rsid w:val="00EC0DB1"/>
    <w:rsid w:val="00EC0F04"/>
    <w:rsid w:val="00EC0F2A"/>
    <w:rsid w:val="00EC0F33"/>
    <w:rsid w:val="00EC15F1"/>
    <w:rsid w:val="00EC1876"/>
    <w:rsid w:val="00EC281E"/>
    <w:rsid w:val="00EC2CDD"/>
    <w:rsid w:val="00EC35C1"/>
    <w:rsid w:val="00EC37BD"/>
    <w:rsid w:val="00EC3A01"/>
    <w:rsid w:val="00EC40B5"/>
    <w:rsid w:val="00EC4105"/>
    <w:rsid w:val="00EC43F3"/>
    <w:rsid w:val="00EC4782"/>
    <w:rsid w:val="00EC4971"/>
    <w:rsid w:val="00EC5E71"/>
    <w:rsid w:val="00EC62B2"/>
    <w:rsid w:val="00EC6811"/>
    <w:rsid w:val="00EC7763"/>
    <w:rsid w:val="00ED07F7"/>
    <w:rsid w:val="00ED08D2"/>
    <w:rsid w:val="00ED14C5"/>
    <w:rsid w:val="00ED1696"/>
    <w:rsid w:val="00ED19FC"/>
    <w:rsid w:val="00ED1B4A"/>
    <w:rsid w:val="00ED21FF"/>
    <w:rsid w:val="00ED249E"/>
    <w:rsid w:val="00ED29A3"/>
    <w:rsid w:val="00ED2C77"/>
    <w:rsid w:val="00ED2F96"/>
    <w:rsid w:val="00ED394C"/>
    <w:rsid w:val="00ED3DD7"/>
    <w:rsid w:val="00ED3DDE"/>
    <w:rsid w:val="00ED423E"/>
    <w:rsid w:val="00ED43A9"/>
    <w:rsid w:val="00ED4EF7"/>
    <w:rsid w:val="00ED535F"/>
    <w:rsid w:val="00ED5586"/>
    <w:rsid w:val="00ED5971"/>
    <w:rsid w:val="00ED5D7B"/>
    <w:rsid w:val="00ED660F"/>
    <w:rsid w:val="00ED69FA"/>
    <w:rsid w:val="00ED718C"/>
    <w:rsid w:val="00ED767F"/>
    <w:rsid w:val="00EE002C"/>
    <w:rsid w:val="00EE01F3"/>
    <w:rsid w:val="00EE0477"/>
    <w:rsid w:val="00EE0491"/>
    <w:rsid w:val="00EE067B"/>
    <w:rsid w:val="00EE0C7E"/>
    <w:rsid w:val="00EE0CEE"/>
    <w:rsid w:val="00EE11A6"/>
    <w:rsid w:val="00EE29EB"/>
    <w:rsid w:val="00EE2BED"/>
    <w:rsid w:val="00EE329A"/>
    <w:rsid w:val="00EE32B0"/>
    <w:rsid w:val="00EE4DC9"/>
    <w:rsid w:val="00EE4E5A"/>
    <w:rsid w:val="00EE522A"/>
    <w:rsid w:val="00EE54A0"/>
    <w:rsid w:val="00EE5A21"/>
    <w:rsid w:val="00EE5DAC"/>
    <w:rsid w:val="00EE62CE"/>
    <w:rsid w:val="00EE6350"/>
    <w:rsid w:val="00EE661D"/>
    <w:rsid w:val="00EE6F12"/>
    <w:rsid w:val="00EE7117"/>
    <w:rsid w:val="00EE7218"/>
    <w:rsid w:val="00EE7472"/>
    <w:rsid w:val="00EE7DEC"/>
    <w:rsid w:val="00EF0005"/>
    <w:rsid w:val="00EF04E5"/>
    <w:rsid w:val="00EF0A00"/>
    <w:rsid w:val="00EF0DAD"/>
    <w:rsid w:val="00EF1222"/>
    <w:rsid w:val="00EF12D5"/>
    <w:rsid w:val="00EF14B7"/>
    <w:rsid w:val="00EF166F"/>
    <w:rsid w:val="00EF16DE"/>
    <w:rsid w:val="00EF1DC6"/>
    <w:rsid w:val="00EF1FA7"/>
    <w:rsid w:val="00EF2DC1"/>
    <w:rsid w:val="00EF2E0A"/>
    <w:rsid w:val="00EF3112"/>
    <w:rsid w:val="00EF3178"/>
    <w:rsid w:val="00EF31F9"/>
    <w:rsid w:val="00EF44AE"/>
    <w:rsid w:val="00EF4C0E"/>
    <w:rsid w:val="00EF52F9"/>
    <w:rsid w:val="00EF5D26"/>
    <w:rsid w:val="00EF6854"/>
    <w:rsid w:val="00EF6A78"/>
    <w:rsid w:val="00EF6CB2"/>
    <w:rsid w:val="00EF714F"/>
    <w:rsid w:val="00EF7529"/>
    <w:rsid w:val="00EF7851"/>
    <w:rsid w:val="00F00210"/>
    <w:rsid w:val="00F00648"/>
    <w:rsid w:val="00F00DBB"/>
    <w:rsid w:val="00F010D5"/>
    <w:rsid w:val="00F01303"/>
    <w:rsid w:val="00F01D59"/>
    <w:rsid w:val="00F01FC8"/>
    <w:rsid w:val="00F04001"/>
    <w:rsid w:val="00F04412"/>
    <w:rsid w:val="00F04826"/>
    <w:rsid w:val="00F0486C"/>
    <w:rsid w:val="00F049BC"/>
    <w:rsid w:val="00F04C97"/>
    <w:rsid w:val="00F0511B"/>
    <w:rsid w:val="00F058C9"/>
    <w:rsid w:val="00F05906"/>
    <w:rsid w:val="00F05C3F"/>
    <w:rsid w:val="00F05CA4"/>
    <w:rsid w:val="00F05E47"/>
    <w:rsid w:val="00F05E76"/>
    <w:rsid w:val="00F0604D"/>
    <w:rsid w:val="00F0652E"/>
    <w:rsid w:val="00F067B9"/>
    <w:rsid w:val="00F06BF8"/>
    <w:rsid w:val="00F0738B"/>
    <w:rsid w:val="00F07A91"/>
    <w:rsid w:val="00F07D70"/>
    <w:rsid w:val="00F07E83"/>
    <w:rsid w:val="00F07EFF"/>
    <w:rsid w:val="00F101DD"/>
    <w:rsid w:val="00F10232"/>
    <w:rsid w:val="00F102A2"/>
    <w:rsid w:val="00F10A44"/>
    <w:rsid w:val="00F10C53"/>
    <w:rsid w:val="00F10D05"/>
    <w:rsid w:val="00F10D08"/>
    <w:rsid w:val="00F112B1"/>
    <w:rsid w:val="00F116FB"/>
    <w:rsid w:val="00F1215E"/>
    <w:rsid w:val="00F12384"/>
    <w:rsid w:val="00F125B2"/>
    <w:rsid w:val="00F130F3"/>
    <w:rsid w:val="00F14E82"/>
    <w:rsid w:val="00F1533C"/>
    <w:rsid w:val="00F15673"/>
    <w:rsid w:val="00F157FC"/>
    <w:rsid w:val="00F15E26"/>
    <w:rsid w:val="00F15E46"/>
    <w:rsid w:val="00F15F62"/>
    <w:rsid w:val="00F16780"/>
    <w:rsid w:val="00F16B1B"/>
    <w:rsid w:val="00F17E5E"/>
    <w:rsid w:val="00F2006A"/>
    <w:rsid w:val="00F20218"/>
    <w:rsid w:val="00F202C2"/>
    <w:rsid w:val="00F209F5"/>
    <w:rsid w:val="00F21297"/>
    <w:rsid w:val="00F2144C"/>
    <w:rsid w:val="00F2175E"/>
    <w:rsid w:val="00F21D9B"/>
    <w:rsid w:val="00F21EFD"/>
    <w:rsid w:val="00F2206D"/>
    <w:rsid w:val="00F2212A"/>
    <w:rsid w:val="00F22534"/>
    <w:rsid w:val="00F225E4"/>
    <w:rsid w:val="00F226A4"/>
    <w:rsid w:val="00F227C3"/>
    <w:rsid w:val="00F235ED"/>
    <w:rsid w:val="00F23CEE"/>
    <w:rsid w:val="00F24A5C"/>
    <w:rsid w:val="00F250A0"/>
    <w:rsid w:val="00F257F8"/>
    <w:rsid w:val="00F25978"/>
    <w:rsid w:val="00F259F1"/>
    <w:rsid w:val="00F26181"/>
    <w:rsid w:val="00F26A37"/>
    <w:rsid w:val="00F26E54"/>
    <w:rsid w:val="00F274D9"/>
    <w:rsid w:val="00F27C03"/>
    <w:rsid w:val="00F302F4"/>
    <w:rsid w:val="00F31357"/>
    <w:rsid w:val="00F31985"/>
    <w:rsid w:val="00F31C42"/>
    <w:rsid w:val="00F31E82"/>
    <w:rsid w:val="00F31EBF"/>
    <w:rsid w:val="00F31FFE"/>
    <w:rsid w:val="00F323EE"/>
    <w:rsid w:val="00F32D7A"/>
    <w:rsid w:val="00F333F4"/>
    <w:rsid w:val="00F33845"/>
    <w:rsid w:val="00F338D5"/>
    <w:rsid w:val="00F33B04"/>
    <w:rsid w:val="00F33DE8"/>
    <w:rsid w:val="00F33F42"/>
    <w:rsid w:val="00F342B8"/>
    <w:rsid w:val="00F34899"/>
    <w:rsid w:val="00F34A04"/>
    <w:rsid w:val="00F35163"/>
    <w:rsid w:val="00F3523B"/>
    <w:rsid w:val="00F35624"/>
    <w:rsid w:val="00F35D5C"/>
    <w:rsid w:val="00F35D78"/>
    <w:rsid w:val="00F36021"/>
    <w:rsid w:val="00F3654F"/>
    <w:rsid w:val="00F3661A"/>
    <w:rsid w:val="00F36772"/>
    <w:rsid w:val="00F36886"/>
    <w:rsid w:val="00F36A05"/>
    <w:rsid w:val="00F36BE0"/>
    <w:rsid w:val="00F36F2D"/>
    <w:rsid w:val="00F37176"/>
    <w:rsid w:val="00F371DD"/>
    <w:rsid w:val="00F373AB"/>
    <w:rsid w:val="00F37476"/>
    <w:rsid w:val="00F37636"/>
    <w:rsid w:val="00F376E2"/>
    <w:rsid w:val="00F377DF"/>
    <w:rsid w:val="00F409FC"/>
    <w:rsid w:val="00F40A05"/>
    <w:rsid w:val="00F40DC8"/>
    <w:rsid w:val="00F41A4B"/>
    <w:rsid w:val="00F41F7F"/>
    <w:rsid w:val="00F42162"/>
    <w:rsid w:val="00F421AE"/>
    <w:rsid w:val="00F4255F"/>
    <w:rsid w:val="00F42854"/>
    <w:rsid w:val="00F42E7A"/>
    <w:rsid w:val="00F4339B"/>
    <w:rsid w:val="00F43C5D"/>
    <w:rsid w:val="00F43C80"/>
    <w:rsid w:val="00F43F46"/>
    <w:rsid w:val="00F44187"/>
    <w:rsid w:val="00F448E9"/>
    <w:rsid w:val="00F44BF0"/>
    <w:rsid w:val="00F44D70"/>
    <w:rsid w:val="00F453DA"/>
    <w:rsid w:val="00F455F6"/>
    <w:rsid w:val="00F45AAD"/>
    <w:rsid w:val="00F45C50"/>
    <w:rsid w:val="00F502FA"/>
    <w:rsid w:val="00F50404"/>
    <w:rsid w:val="00F5191D"/>
    <w:rsid w:val="00F52504"/>
    <w:rsid w:val="00F52C7B"/>
    <w:rsid w:val="00F53965"/>
    <w:rsid w:val="00F539DD"/>
    <w:rsid w:val="00F53AF0"/>
    <w:rsid w:val="00F54611"/>
    <w:rsid w:val="00F54725"/>
    <w:rsid w:val="00F5477F"/>
    <w:rsid w:val="00F54B49"/>
    <w:rsid w:val="00F54B98"/>
    <w:rsid w:val="00F55485"/>
    <w:rsid w:val="00F56128"/>
    <w:rsid w:val="00F56AB0"/>
    <w:rsid w:val="00F56AB2"/>
    <w:rsid w:val="00F56C3A"/>
    <w:rsid w:val="00F57643"/>
    <w:rsid w:val="00F57C49"/>
    <w:rsid w:val="00F57CA9"/>
    <w:rsid w:val="00F57F6A"/>
    <w:rsid w:val="00F60026"/>
    <w:rsid w:val="00F600C5"/>
    <w:rsid w:val="00F60788"/>
    <w:rsid w:val="00F609A1"/>
    <w:rsid w:val="00F60A21"/>
    <w:rsid w:val="00F60A43"/>
    <w:rsid w:val="00F6182B"/>
    <w:rsid w:val="00F61A9E"/>
    <w:rsid w:val="00F61E3E"/>
    <w:rsid w:val="00F620D4"/>
    <w:rsid w:val="00F62C88"/>
    <w:rsid w:val="00F62FD4"/>
    <w:rsid w:val="00F635F8"/>
    <w:rsid w:val="00F63DBA"/>
    <w:rsid w:val="00F6496F"/>
    <w:rsid w:val="00F64A0B"/>
    <w:rsid w:val="00F64C17"/>
    <w:rsid w:val="00F64C2B"/>
    <w:rsid w:val="00F65042"/>
    <w:rsid w:val="00F653C5"/>
    <w:rsid w:val="00F65F3A"/>
    <w:rsid w:val="00F660CA"/>
    <w:rsid w:val="00F6617E"/>
    <w:rsid w:val="00F66281"/>
    <w:rsid w:val="00F66741"/>
    <w:rsid w:val="00F70320"/>
    <w:rsid w:val="00F70905"/>
    <w:rsid w:val="00F70FAE"/>
    <w:rsid w:val="00F7141B"/>
    <w:rsid w:val="00F714E8"/>
    <w:rsid w:val="00F717DA"/>
    <w:rsid w:val="00F719D1"/>
    <w:rsid w:val="00F719FA"/>
    <w:rsid w:val="00F72FD9"/>
    <w:rsid w:val="00F73492"/>
    <w:rsid w:val="00F7350F"/>
    <w:rsid w:val="00F736BA"/>
    <w:rsid w:val="00F74532"/>
    <w:rsid w:val="00F74B28"/>
    <w:rsid w:val="00F74C52"/>
    <w:rsid w:val="00F75404"/>
    <w:rsid w:val="00F75448"/>
    <w:rsid w:val="00F7591D"/>
    <w:rsid w:val="00F760E8"/>
    <w:rsid w:val="00F763EF"/>
    <w:rsid w:val="00F764EE"/>
    <w:rsid w:val="00F765A4"/>
    <w:rsid w:val="00F76627"/>
    <w:rsid w:val="00F76D8C"/>
    <w:rsid w:val="00F77769"/>
    <w:rsid w:val="00F7786F"/>
    <w:rsid w:val="00F779FF"/>
    <w:rsid w:val="00F77B39"/>
    <w:rsid w:val="00F77BA0"/>
    <w:rsid w:val="00F77FBA"/>
    <w:rsid w:val="00F802B4"/>
    <w:rsid w:val="00F80330"/>
    <w:rsid w:val="00F80F9C"/>
    <w:rsid w:val="00F80FCD"/>
    <w:rsid w:val="00F814B3"/>
    <w:rsid w:val="00F820D5"/>
    <w:rsid w:val="00F82196"/>
    <w:rsid w:val="00F824B1"/>
    <w:rsid w:val="00F83590"/>
    <w:rsid w:val="00F84206"/>
    <w:rsid w:val="00F85287"/>
    <w:rsid w:val="00F8537A"/>
    <w:rsid w:val="00F85773"/>
    <w:rsid w:val="00F86357"/>
    <w:rsid w:val="00F8684A"/>
    <w:rsid w:val="00F86FA4"/>
    <w:rsid w:val="00F8757A"/>
    <w:rsid w:val="00F87AAD"/>
    <w:rsid w:val="00F90307"/>
    <w:rsid w:val="00F90FD2"/>
    <w:rsid w:val="00F9112C"/>
    <w:rsid w:val="00F911DC"/>
    <w:rsid w:val="00F91420"/>
    <w:rsid w:val="00F91A10"/>
    <w:rsid w:val="00F91CEA"/>
    <w:rsid w:val="00F920CC"/>
    <w:rsid w:val="00F922DD"/>
    <w:rsid w:val="00F93991"/>
    <w:rsid w:val="00F94359"/>
    <w:rsid w:val="00F94796"/>
    <w:rsid w:val="00F9516E"/>
    <w:rsid w:val="00F951F3"/>
    <w:rsid w:val="00F9521E"/>
    <w:rsid w:val="00F95EB0"/>
    <w:rsid w:val="00F95F1D"/>
    <w:rsid w:val="00F9634F"/>
    <w:rsid w:val="00F9667B"/>
    <w:rsid w:val="00F96952"/>
    <w:rsid w:val="00F96C02"/>
    <w:rsid w:val="00F96C36"/>
    <w:rsid w:val="00F96D65"/>
    <w:rsid w:val="00F97183"/>
    <w:rsid w:val="00F97627"/>
    <w:rsid w:val="00F97651"/>
    <w:rsid w:val="00F979C4"/>
    <w:rsid w:val="00F97B12"/>
    <w:rsid w:val="00FA070B"/>
    <w:rsid w:val="00FA0D7B"/>
    <w:rsid w:val="00FA16F0"/>
    <w:rsid w:val="00FA182E"/>
    <w:rsid w:val="00FA1B1C"/>
    <w:rsid w:val="00FA1CB9"/>
    <w:rsid w:val="00FA22F6"/>
    <w:rsid w:val="00FA25F0"/>
    <w:rsid w:val="00FA2943"/>
    <w:rsid w:val="00FA3741"/>
    <w:rsid w:val="00FA3C5C"/>
    <w:rsid w:val="00FA4C03"/>
    <w:rsid w:val="00FA5055"/>
    <w:rsid w:val="00FA52D4"/>
    <w:rsid w:val="00FA5568"/>
    <w:rsid w:val="00FA576F"/>
    <w:rsid w:val="00FA5F9E"/>
    <w:rsid w:val="00FA605A"/>
    <w:rsid w:val="00FA6184"/>
    <w:rsid w:val="00FA61CC"/>
    <w:rsid w:val="00FA682C"/>
    <w:rsid w:val="00FA6CE9"/>
    <w:rsid w:val="00FA760D"/>
    <w:rsid w:val="00FA7789"/>
    <w:rsid w:val="00FA7C03"/>
    <w:rsid w:val="00FB001A"/>
    <w:rsid w:val="00FB0315"/>
    <w:rsid w:val="00FB0C3A"/>
    <w:rsid w:val="00FB12D8"/>
    <w:rsid w:val="00FB1855"/>
    <w:rsid w:val="00FB18EB"/>
    <w:rsid w:val="00FB1C5B"/>
    <w:rsid w:val="00FB2AF2"/>
    <w:rsid w:val="00FB2C5E"/>
    <w:rsid w:val="00FB30AF"/>
    <w:rsid w:val="00FB3370"/>
    <w:rsid w:val="00FB39ED"/>
    <w:rsid w:val="00FB3A78"/>
    <w:rsid w:val="00FB3CC7"/>
    <w:rsid w:val="00FB3D5B"/>
    <w:rsid w:val="00FB3DBF"/>
    <w:rsid w:val="00FB4051"/>
    <w:rsid w:val="00FB467A"/>
    <w:rsid w:val="00FB48A2"/>
    <w:rsid w:val="00FB4902"/>
    <w:rsid w:val="00FB4909"/>
    <w:rsid w:val="00FB4AF9"/>
    <w:rsid w:val="00FB5209"/>
    <w:rsid w:val="00FB5284"/>
    <w:rsid w:val="00FB6390"/>
    <w:rsid w:val="00FB749A"/>
    <w:rsid w:val="00FB7683"/>
    <w:rsid w:val="00FB79AE"/>
    <w:rsid w:val="00FB7B2A"/>
    <w:rsid w:val="00FB7EDB"/>
    <w:rsid w:val="00FC0EED"/>
    <w:rsid w:val="00FC10A9"/>
    <w:rsid w:val="00FC150A"/>
    <w:rsid w:val="00FC1862"/>
    <w:rsid w:val="00FC1CC3"/>
    <w:rsid w:val="00FC2714"/>
    <w:rsid w:val="00FC3FF1"/>
    <w:rsid w:val="00FC454A"/>
    <w:rsid w:val="00FC4622"/>
    <w:rsid w:val="00FC4786"/>
    <w:rsid w:val="00FC499B"/>
    <w:rsid w:val="00FC4EDF"/>
    <w:rsid w:val="00FC5D05"/>
    <w:rsid w:val="00FC61B7"/>
    <w:rsid w:val="00FC63EB"/>
    <w:rsid w:val="00FC67E4"/>
    <w:rsid w:val="00FC685F"/>
    <w:rsid w:val="00FC6C98"/>
    <w:rsid w:val="00FC7716"/>
    <w:rsid w:val="00FC7981"/>
    <w:rsid w:val="00FC7BCE"/>
    <w:rsid w:val="00FC7F39"/>
    <w:rsid w:val="00FD0282"/>
    <w:rsid w:val="00FD0F65"/>
    <w:rsid w:val="00FD15E1"/>
    <w:rsid w:val="00FD18C3"/>
    <w:rsid w:val="00FD1BDB"/>
    <w:rsid w:val="00FD206E"/>
    <w:rsid w:val="00FD24BC"/>
    <w:rsid w:val="00FD2564"/>
    <w:rsid w:val="00FD2FC7"/>
    <w:rsid w:val="00FD3624"/>
    <w:rsid w:val="00FD3BE4"/>
    <w:rsid w:val="00FD3CD4"/>
    <w:rsid w:val="00FD3DC7"/>
    <w:rsid w:val="00FD4206"/>
    <w:rsid w:val="00FD45EF"/>
    <w:rsid w:val="00FD4D73"/>
    <w:rsid w:val="00FD5366"/>
    <w:rsid w:val="00FD55D5"/>
    <w:rsid w:val="00FD5AAE"/>
    <w:rsid w:val="00FD5B24"/>
    <w:rsid w:val="00FD6258"/>
    <w:rsid w:val="00FD642F"/>
    <w:rsid w:val="00FD68E8"/>
    <w:rsid w:val="00FD7282"/>
    <w:rsid w:val="00FD74BE"/>
    <w:rsid w:val="00FD7B27"/>
    <w:rsid w:val="00FD7F0F"/>
    <w:rsid w:val="00FE06E4"/>
    <w:rsid w:val="00FE0802"/>
    <w:rsid w:val="00FE0814"/>
    <w:rsid w:val="00FE0AAB"/>
    <w:rsid w:val="00FE0D9A"/>
    <w:rsid w:val="00FE11CF"/>
    <w:rsid w:val="00FE22A8"/>
    <w:rsid w:val="00FE2D6E"/>
    <w:rsid w:val="00FE2DB7"/>
    <w:rsid w:val="00FE2E40"/>
    <w:rsid w:val="00FE2FD0"/>
    <w:rsid w:val="00FE325E"/>
    <w:rsid w:val="00FE364F"/>
    <w:rsid w:val="00FE388A"/>
    <w:rsid w:val="00FE3C16"/>
    <w:rsid w:val="00FE3D7D"/>
    <w:rsid w:val="00FE3DBA"/>
    <w:rsid w:val="00FE3F6E"/>
    <w:rsid w:val="00FE43C3"/>
    <w:rsid w:val="00FE480C"/>
    <w:rsid w:val="00FE48EE"/>
    <w:rsid w:val="00FE4B33"/>
    <w:rsid w:val="00FE4C25"/>
    <w:rsid w:val="00FE5341"/>
    <w:rsid w:val="00FE6785"/>
    <w:rsid w:val="00FE6F09"/>
    <w:rsid w:val="00FE6FAC"/>
    <w:rsid w:val="00FE73A0"/>
    <w:rsid w:val="00FE78DD"/>
    <w:rsid w:val="00FE7A61"/>
    <w:rsid w:val="00FE7A76"/>
    <w:rsid w:val="00FE7B95"/>
    <w:rsid w:val="00FE7D14"/>
    <w:rsid w:val="00FF0204"/>
    <w:rsid w:val="00FF0666"/>
    <w:rsid w:val="00FF0EFF"/>
    <w:rsid w:val="00FF13A0"/>
    <w:rsid w:val="00FF176C"/>
    <w:rsid w:val="00FF1868"/>
    <w:rsid w:val="00FF1AA3"/>
    <w:rsid w:val="00FF2298"/>
    <w:rsid w:val="00FF2602"/>
    <w:rsid w:val="00FF2D4B"/>
    <w:rsid w:val="00FF2DA6"/>
    <w:rsid w:val="00FF2F05"/>
    <w:rsid w:val="00FF3044"/>
    <w:rsid w:val="00FF30D5"/>
    <w:rsid w:val="00FF3315"/>
    <w:rsid w:val="00FF407E"/>
    <w:rsid w:val="00FF4585"/>
    <w:rsid w:val="00FF53AA"/>
    <w:rsid w:val="00FF646F"/>
    <w:rsid w:val="00FF6470"/>
    <w:rsid w:val="00FF6628"/>
    <w:rsid w:val="00FF6B0D"/>
    <w:rsid w:val="00FF7229"/>
    <w:rsid w:val="00FF7570"/>
    <w:rsid w:val="00FF78BE"/>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FE68191A-501A-4E9F-A57F-461A7E4D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7EE"/>
    <w:pPr>
      <w:widowControl w:val="0"/>
      <w:jc w:val="both"/>
    </w:pPr>
    <w:rPr>
      <w:rFonts w:ascii="Times New Roman" w:eastAsia="宋体" w:hAnsi="Times New Roman" w:cs="Times New Roman"/>
      <w:szCs w:val="24"/>
    </w:rPr>
  </w:style>
  <w:style w:type="paragraph" w:styleId="2">
    <w:name w:val="heading 2"/>
    <w:basedOn w:val="a"/>
    <w:next w:val="a0"/>
    <w:link w:val="2Char"/>
    <w:qFormat/>
    <w:rsid w:val="008C07E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C0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C07EE"/>
    <w:rPr>
      <w:sz w:val="18"/>
      <w:szCs w:val="18"/>
    </w:rPr>
  </w:style>
  <w:style w:type="paragraph" w:styleId="a5">
    <w:name w:val="footer"/>
    <w:basedOn w:val="a"/>
    <w:link w:val="Char0"/>
    <w:uiPriority w:val="99"/>
    <w:unhideWhenUsed/>
    <w:rsid w:val="008C07EE"/>
    <w:pPr>
      <w:tabs>
        <w:tab w:val="center" w:pos="4153"/>
        <w:tab w:val="right" w:pos="8306"/>
      </w:tabs>
      <w:snapToGrid w:val="0"/>
      <w:jc w:val="left"/>
    </w:pPr>
    <w:rPr>
      <w:sz w:val="18"/>
      <w:szCs w:val="18"/>
    </w:rPr>
  </w:style>
  <w:style w:type="character" w:customStyle="1" w:styleId="Char0">
    <w:name w:val="页脚 Char"/>
    <w:basedOn w:val="a1"/>
    <w:link w:val="a5"/>
    <w:uiPriority w:val="99"/>
    <w:rsid w:val="008C07EE"/>
    <w:rPr>
      <w:sz w:val="18"/>
      <w:szCs w:val="18"/>
    </w:rPr>
  </w:style>
  <w:style w:type="character" w:customStyle="1" w:styleId="2Char">
    <w:name w:val="标题 2 Char"/>
    <w:basedOn w:val="a1"/>
    <w:link w:val="2"/>
    <w:rsid w:val="008C07EE"/>
    <w:rPr>
      <w:rFonts w:ascii="Arial" w:eastAsia="黑体" w:hAnsi="Arial" w:cs="Times New Roman"/>
      <w:b/>
      <w:sz w:val="32"/>
      <w:szCs w:val="20"/>
    </w:rPr>
  </w:style>
  <w:style w:type="character" w:styleId="a6">
    <w:name w:val="page number"/>
    <w:basedOn w:val="a1"/>
    <w:rsid w:val="008C07EE"/>
  </w:style>
  <w:style w:type="paragraph" w:styleId="a7">
    <w:name w:val="Normal (Web)"/>
    <w:basedOn w:val="a"/>
    <w:rsid w:val="008C07E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C07EE"/>
    <w:rPr>
      <w:b/>
      <w:bCs/>
    </w:rPr>
  </w:style>
  <w:style w:type="character" w:styleId="a9">
    <w:name w:val="Hyperlink"/>
    <w:uiPriority w:val="99"/>
    <w:rsid w:val="008C07EE"/>
    <w:rPr>
      <w:color w:val="0000FF"/>
      <w:u w:val="single"/>
    </w:rPr>
  </w:style>
  <w:style w:type="paragraph" w:customStyle="1" w:styleId="wz1">
    <w:name w:val="wz1"/>
    <w:basedOn w:val="a"/>
    <w:rsid w:val="008C07E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C07E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C07EE"/>
    <w:rPr>
      <w:rFonts w:ascii="仿宋_GB2312" w:eastAsia="仿宋_GB2312" w:hAnsi="Times New Roman" w:cs="Times New Roman"/>
      <w:color w:val="000000"/>
      <w:kern w:val="0"/>
      <w:sz w:val="24"/>
      <w:szCs w:val="28"/>
    </w:rPr>
  </w:style>
  <w:style w:type="character" w:customStyle="1" w:styleId="read">
    <w:name w:val="read"/>
    <w:basedOn w:val="a1"/>
    <w:rsid w:val="008C07EE"/>
  </w:style>
  <w:style w:type="paragraph" w:styleId="a0">
    <w:name w:val="Normal Indent"/>
    <w:basedOn w:val="a"/>
    <w:rsid w:val="008C07EE"/>
    <w:pPr>
      <w:ind w:firstLineChars="200" w:firstLine="420"/>
    </w:pPr>
  </w:style>
  <w:style w:type="paragraph" w:styleId="ab">
    <w:name w:val="Body Text Indent"/>
    <w:basedOn w:val="a"/>
    <w:link w:val="Char2"/>
    <w:rsid w:val="008C07E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C07EE"/>
    <w:rPr>
      <w:rFonts w:ascii="Times New Roman" w:eastAsia="方正仿宋简体" w:hAnsi="Times New Roman" w:cs="Times New Roman"/>
      <w:sz w:val="24"/>
      <w:szCs w:val="30"/>
    </w:rPr>
  </w:style>
  <w:style w:type="paragraph" w:styleId="20">
    <w:name w:val="Body Text Indent 2"/>
    <w:basedOn w:val="a"/>
    <w:link w:val="2Char0"/>
    <w:rsid w:val="008C07EE"/>
    <w:pPr>
      <w:spacing w:line="360" w:lineRule="auto"/>
      <w:ind w:firstLine="525"/>
    </w:pPr>
    <w:rPr>
      <w:rFonts w:ascii="宋体" w:hAnsi="宋体"/>
      <w:sz w:val="28"/>
      <w:szCs w:val="20"/>
    </w:rPr>
  </w:style>
  <w:style w:type="character" w:customStyle="1" w:styleId="2Char0">
    <w:name w:val="正文文本缩进 2 Char"/>
    <w:basedOn w:val="a1"/>
    <w:link w:val="20"/>
    <w:rsid w:val="008C07EE"/>
    <w:rPr>
      <w:rFonts w:ascii="宋体" w:eastAsia="宋体" w:hAnsi="宋体" w:cs="Times New Roman"/>
      <w:sz w:val="28"/>
      <w:szCs w:val="20"/>
    </w:rPr>
  </w:style>
  <w:style w:type="paragraph" w:styleId="3">
    <w:name w:val="Body Text Indent 3"/>
    <w:basedOn w:val="a"/>
    <w:link w:val="3Char"/>
    <w:rsid w:val="008C07E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C07EE"/>
    <w:rPr>
      <w:rFonts w:ascii="仿宋_GB2312" w:eastAsia="仿宋_GB2312" w:hAnsi="宋体" w:cs="Arial"/>
      <w:color w:val="000000"/>
      <w:sz w:val="24"/>
      <w:szCs w:val="24"/>
    </w:rPr>
  </w:style>
  <w:style w:type="paragraph" w:styleId="1">
    <w:name w:val="toc 1"/>
    <w:basedOn w:val="a"/>
    <w:next w:val="a"/>
    <w:autoRedefine/>
    <w:semiHidden/>
    <w:rsid w:val="008C07EE"/>
  </w:style>
  <w:style w:type="paragraph" w:styleId="21">
    <w:name w:val="toc 2"/>
    <w:basedOn w:val="a"/>
    <w:next w:val="a"/>
    <w:autoRedefine/>
    <w:uiPriority w:val="39"/>
    <w:rsid w:val="001E1963"/>
    <w:pPr>
      <w:tabs>
        <w:tab w:val="right" w:leader="dot" w:pos="8494"/>
      </w:tabs>
      <w:spacing w:line="360" w:lineRule="auto"/>
      <w:ind w:leftChars="200" w:left="420"/>
    </w:pPr>
  </w:style>
  <w:style w:type="paragraph" w:styleId="30">
    <w:name w:val="toc 3"/>
    <w:basedOn w:val="a"/>
    <w:next w:val="a"/>
    <w:autoRedefine/>
    <w:semiHidden/>
    <w:rsid w:val="008C07EE"/>
    <w:pPr>
      <w:ind w:leftChars="400" w:left="840"/>
    </w:pPr>
  </w:style>
  <w:style w:type="paragraph" w:styleId="4">
    <w:name w:val="toc 4"/>
    <w:basedOn w:val="a"/>
    <w:next w:val="a"/>
    <w:autoRedefine/>
    <w:semiHidden/>
    <w:rsid w:val="008C07EE"/>
    <w:pPr>
      <w:ind w:leftChars="600" w:left="1260"/>
    </w:pPr>
  </w:style>
  <w:style w:type="paragraph" w:styleId="5">
    <w:name w:val="toc 5"/>
    <w:basedOn w:val="a"/>
    <w:next w:val="a"/>
    <w:autoRedefine/>
    <w:semiHidden/>
    <w:rsid w:val="008C07EE"/>
    <w:pPr>
      <w:ind w:leftChars="800" w:left="1680"/>
    </w:pPr>
  </w:style>
  <w:style w:type="paragraph" w:styleId="6">
    <w:name w:val="toc 6"/>
    <w:basedOn w:val="a"/>
    <w:next w:val="a"/>
    <w:autoRedefine/>
    <w:semiHidden/>
    <w:rsid w:val="008C07EE"/>
    <w:pPr>
      <w:ind w:leftChars="1000" w:left="2100"/>
    </w:pPr>
  </w:style>
  <w:style w:type="paragraph" w:styleId="7">
    <w:name w:val="toc 7"/>
    <w:basedOn w:val="a"/>
    <w:next w:val="a"/>
    <w:autoRedefine/>
    <w:semiHidden/>
    <w:rsid w:val="008C07EE"/>
    <w:pPr>
      <w:ind w:leftChars="1200" w:left="2520"/>
    </w:pPr>
  </w:style>
  <w:style w:type="paragraph" w:styleId="8">
    <w:name w:val="toc 8"/>
    <w:basedOn w:val="a"/>
    <w:next w:val="a"/>
    <w:autoRedefine/>
    <w:semiHidden/>
    <w:rsid w:val="008C07EE"/>
    <w:pPr>
      <w:ind w:leftChars="1400" w:left="2940"/>
    </w:pPr>
  </w:style>
  <w:style w:type="paragraph" w:styleId="9">
    <w:name w:val="toc 9"/>
    <w:basedOn w:val="a"/>
    <w:next w:val="a"/>
    <w:autoRedefine/>
    <w:semiHidden/>
    <w:rsid w:val="008C07EE"/>
    <w:pPr>
      <w:ind w:leftChars="1600" w:left="3360"/>
    </w:pPr>
  </w:style>
  <w:style w:type="paragraph" w:styleId="ac">
    <w:name w:val="Balloon Text"/>
    <w:basedOn w:val="a"/>
    <w:link w:val="Char3"/>
    <w:semiHidden/>
    <w:rsid w:val="008C07EE"/>
    <w:rPr>
      <w:sz w:val="18"/>
      <w:szCs w:val="18"/>
    </w:rPr>
  </w:style>
  <w:style w:type="character" w:customStyle="1" w:styleId="Char3">
    <w:name w:val="批注框文本 Char"/>
    <w:basedOn w:val="a1"/>
    <w:link w:val="ac"/>
    <w:semiHidden/>
    <w:rsid w:val="008C07EE"/>
    <w:rPr>
      <w:rFonts w:ascii="Times New Roman" w:eastAsia="宋体" w:hAnsi="Times New Roman" w:cs="Times New Roman"/>
      <w:sz w:val="18"/>
      <w:szCs w:val="18"/>
    </w:rPr>
  </w:style>
  <w:style w:type="paragraph" w:customStyle="1" w:styleId="Char4">
    <w:name w:val="Char"/>
    <w:basedOn w:val="a"/>
    <w:rsid w:val="008C07EE"/>
  </w:style>
  <w:style w:type="paragraph" w:customStyle="1" w:styleId="Char10">
    <w:name w:val="Char1"/>
    <w:basedOn w:val="a"/>
    <w:autoRedefine/>
    <w:rsid w:val="008C07E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C07EE"/>
  </w:style>
  <w:style w:type="character" w:styleId="ad">
    <w:name w:val="annotation reference"/>
    <w:semiHidden/>
    <w:rsid w:val="008C07EE"/>
    <w:rPr>
      <w:sz w:val="21"/>
      <w:szCs w:val="21"/>
    </w:rPr>
  </w:style>
  <w:style w:type="paragraph" w:styleId="ae">
    <w:name w:val="annotation text"/>
    <w:basedOn w:val="a"/>
    <w:link w:val="Char5"/>
    <w:rsid w:val="008C07EE"/>
    <w:pPr>
      <w:jc w:val="left"/>
    </w:pPr>
  </w:style>
  <w:style w:type="character" w:customStyle="1" w:styleId="Char5">
    <w:name w:val="批注文字 Char"/>
    <w:basedOn w:val="a1"/>
    <w:link w:val="ae"/>
    <w:rsid w:val="008C07E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C07EE"/>
  </w:style>
  <w:style w:type="paragraph" w:customStyle="1" w:styleId="CharChar">
    <w:name w:val="Char Char"/>
    <w:basedOn w:val="a"/>
    <w:rsid w:val="008C07EE"/>
    <w:rPr>
      <w:szCs w:val="20"/>
    </w:rPr>
  </w:style>
  <w:style w:type="paragraph" w:styleId="HTML">
    <w:name w:val="HTML Preformatted"/>
    <w:basedOn w:val="a"/>
    <w:link w:val="HTMLChar"/>
    <w:uiPriority w:val="99"/>
    <w:unhideWhenUsed/>
    <w:rsid w:val="008C0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C07EE"/>
    <w:rPr>
      <w:rFonts w:ascii="宋体" w:eastAsia="宋体" w:hAnsi="宋体" w:cs="宋体"/>
      <w:kern w:val="0"/>
      <w:sz w:val="24"/>
      <w:szCs w:val="24"/>
    </w:rPr>
  </w:style>
  <w:style w:type="paragraph" w:styleId="af">
    <w:name w:val="annotation subject"/>
    <w:basedOn w:val="ae"/>
    <w:next w:val="ae"/>
    <w:link w:val="Char6"/>
    <w:rsid w:val="008C07EE"/>
    <w:rPr>
      <w:b/>
      <w:bCs/>
    </w:rPr>
  </w:style>
  <w:style w:type="character" w:customStyle="1" w:styleId="Char6">
    <w:name w:val="批注主题 Char"/>
    <w:basedOn w:val="Char5"/>
    <w:link w:val="af"/>
    <w:rsid w:val="008C07EE"/>
    <w:rPr>
      <w:rFonts w:ascii="Times New Roman" w:eastAsia="宋体" w:hAnsi="Times New Roman" w:cs="Times New Roman"/>
      <w:b/>
      <w:bCs/>
      <w:szCs w:val="24"/>
    </w:rPr>
  </w:style>
  <w:style w:type="paragraph" w:customStyle="1" w:styleId="af0">
    <w:uiPriority w:val="99"/>
    <w:unhideWhenUsed/>
    <w:rsid w:val="008C07EE"/>
    <w:pPr>
      <w:widowControl w:val="0"/>
      <w:jc w:val="both"/>
    </w:pPr>
    <w:rPr>
      <w:rFonts w:ascii="Times New Roman" w:eastAsia="宋体" w:hAnsi="Times New Roman" w:cs="Times New Roman"/>
      <w:szCs w:val="24"/>
    </w:rPr>
  </w:style>
  <w:style w:type="paragraph" w:styleId="af1">
    <w:name w:val="Revision"/>
    <w:hidden/>
    <w:uiPriority w:val="99"/>
    <w:semiHidden/>
    <w:rsid w:val="008C07EE"/>
    <w:rPr>
      <w:rFonts w:ascii="Times New Roman" w:eastAsia="宋体" w:hAnsi="Times New Roman" w:cs="Times New Roman"/>
      <w:szCs w:val="24"/>
    </w:rPr>
  </w:style>
  <w:style w:type="paragraph" w:customStyle="1" w:styleId="CharChar0">
    <w:name w:val="Char Char"/>
    <w:basedOn w:val="a"/>
    <w:rsid w:val="008C07EE"/>
    <w:rPr>
      <w:szCs w:val="20"/>
    </w:rPr>
  </w:style>
  <w:style w:type="character" w:styleId="af2">
    <w:name w:val="FollowedHyperlink"/>
    <w:basedOn w:val="a1"/>
    <w:uiPriority w:val="99"/>
    <w:semiHidden/>
    <w:unhideWhenUsed/>
    <w:rsid w:val="008C0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41</Pages>
  <Words>4792</Words>
  <Characters>27319</Characters>
  <Application>Microsoft Office Word</Application>
  <DocSecurity>0</DocSecurity>
  <Lines>227</Lines>
  <Paragraphs>64</Paragraphs>
  <ScaleCrop>false</ScaleCrop>
  <Company/>
  <LinksUpToDate>false</LinksUpToDate>
  <CharactersWithSpaces>32047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彭意</dc:creator>
  <cp:lastModifiedBy>何丝宇</cp:lastModifiedBy>
  <cp:revision>19</cp:revision>
  <cp:lastPrinted>2017-10-24T05:14:00Z</cp:lastPrinted>
  <dcterms:created xsi:type="dcterms:W3CDTF">2017-07-28T10:51:00Z</dcterms:created>
  <dcterms:modified xsi:type="dcterms:W3CDTF">2017-11-23T08:22:00Z</dcterms:modified>
</cp:coreProperties>
</file>