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BE" w:rsidRDefault="009100BE">
      <w:pPr>
        <w:adjustRightInd w:val="0"/>
        <w:snapToGrid w:val="0"/>
        <w:jc w:val="center"/>
        <w:rPr>
          <w:rFonts w:ascii="彩虹粗仿宋" w:eastAsia="彩虹粗仿宋" w:hAnsi="宋体" w:cs="Arial"/>
          <w:sz w:val="24"/>
        </w:rPr>
      </w:pPr>
    </w:p>
    <w:p w:rsidR="009100BE" w:rsidRDefault="009100BE">
      <w:pPr>
        <w:adjustRightInd w:val="0"/>
        <w:snapToGrid w:val="0"/>
        <w:jc w:val="center"/>
        <w:rPr>
          <w:rFonts w:ascii="彩虹粗仿宋" w:eastAsia="彩虹粗仿宋" w:hAnsi="宋体" w:cs="Arial"/>
          <w:sz w:val="24"/>
        </w:rPr>
      </w:pPr>
    </w:p>
    <w:p w:rsidR="009100BE" w:rsidRDefault="009100BE">
      <w:pPr>
        <w:adjustRightInd w:val="0"/>
        <w:snapToGrid w:val="0"/>
        <w:rPr>
          <w:rFonts w:ascii="彩虹粗仿宋" w:eastAsia="彩虹粗仿宋" w:hAnsi="宋体" w:cs="Arial"/>
          <w:sz w:val="24"/>
        </w:rPr>
      </w:pPr>
    </w:p>
    <w:p w:rsidR="009100BE" w:rsidRDefault="009100BE">
      <w:pPr>
        <w:adjustRightInd w:val="0"/>
        <w:snapToGrid w:val="0"/>
        <w:jc w:val="center"/>
        <w:rPr>
          <w:rFonts w:ascii="彩虹粗仿宋" w:eastAsia="彩虹粗仿宋" w:hAnsi="宋体" w:cs="Arial"/>
          <w:sz w:val="24"/>
        </w:rPr>
      </w:pPr>
    </w:p>
    <w:p w:rsidR="009100BE" w:rsidRDefault="009100BE">
      <w:pPr>
        <w:adjustRightInd w:val="0"/>
        <w:snapToGrid w:val="0"/>
        <w:jc w:val="center"/>
        <w:rPr>
          <w:rFonts w:ascii="彩虹粗仿宋" w:eastAsia="彩虹粗仿宋" w:hAnsi="宋体" w:cs="Arial"/>
          <w:sz w:val="24"/>
        </w:rPr>
      </w:pPr>
    </w:p>
    <w:p w:rsidR="009100BE" w:rsidRDefault="009100BE">
      <w:pPr>
        <w:adjustRightInd w:val="0"/>
        <w:snapToGrid w:val="0"/>
        <w:jc w:val="center"/>
        <w:rPr>
          <w:rFonts w:ascii="彩虹粗仿宋" w:eastAsia="彩虹粗仿宋" w:hAnsi="宋体" w:cs="Arial"/>
          <w:sz w:val="24"/>
        </w:rPr>
      </w:pPr>
    </w:p>
    <w:p w:rsidR="009100BE" w:rsidRDefault="009100BE">
      <w:pPr>
        <w:adjustRightInd w:val="0"/>
        <w:snapToGrid w:val="0"/>
        <w:jc w:val="center"/>
        <w:rPr>
          <w:rFonts w:ascii="彩虹粗仿宋" w:eastAsia="彩虹粗仿宋" w:hAnsi="宋体" w:cs="Arial"/>
          <w:sz w:val="24"/>
        </w:rPr>
      </w:pPr>
    </w:p>
    <w:p w:rsidR="009100BE" w:rsidRDefault="009100BE">
      <w:pPr>
        <w:adjustRightInd w:val="0"/>
        <w:snapToGrid w:val="0"/>
        <w:jc w:val="center"/>
        <w:rPr>
          <w:rFonts w:ascii="彩虹粗仿宋" w:eastAsia="彩虹粗仿宋" w:hAnsi="宋体" w:cs="Arial"/>
          <w:sz w:val="24"/>
        </w:rPr>
      </w:pPr>
    </w:p>
    <w:p w:rsidR="009100BE" w:rsidRDefault="009100BE">
      <w:pPr>
        <w:adjustRightInd w:val="0"/>
        <w:snapToGrid w:val="0"/>
        <w:jc w:val="center"/>
        <w:rPr>
          <w:rFonts w:ascii="彩虹粗仿宋" w:eastAsia="彩虹粗仿宋" w:hAnsi="宋体" w:cs="Arial"/>
          <w:sz w:val="24"/>
        </w:rPr>
      </w:pPr>
    </w:p>
    <w:p w:rsidR="009100BE" w:rsidRDefault="00E71C7C">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鹏扬景泰</w:t>
      </w:r>
      <w:proofErr w:type="gramEnd"/>
      <w:r>
        <w:rPr>
          <w:rFonts w:ascii="彩虹粗仿宋" w:eastAsia="彩虹粗仿宋" w:hAnsi="宋体" w:cs="Arial" w:hint="eastAsia"/>
          <w:b/>
          <w:sz w:val="44"/>
        </w:rPr>
        <w:t>成长混合型发起式证券投资基金</w:t>
      </w:r>
    </w:p>
    <w:p w:rsidR="009100BE" w:rsidRDefault="00E71C7C">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E71C7C">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w:t>
      </w:r>
      <w:proofErr w:type="gramStart"/>
      <w:r>
        <w:rPr>
          <w:rFonts w:ascii="彩虹粗仿宋" w:eastAsia="彩虹粗仿宋" w:hAnsi="宋体" w:cs="Arial" w:hint="eastAsia"/>
          <w:b/>
          <w:bCs/>
          <w:sz w:val="28"/>
        </w:rPr>
        <w:t>鹏扬基金</w:t>
      </w:r>
      <w:proofErr w:type="gramEnd"/>
      <w:r>
        <w:rPr>
          <w:rFonts w:ascii="彩虹粗仿宋" w:eastAsia="彩虹粗仿宋" w:hAnsi="宋体" w:cs="Arial" w:hint="eastAsia"/>
          <w:b/>
          <w:bCs/>
          <w:sz w:val="28"/>
        </w:rPr>
        <w:t>管理有限公司</w:t>
      </w:r>
    </w:p>
    <w:p w:rsidR="009100BE" w:rsidRDefault="00E71C7C">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E71C7C">
      <w:pPr>
        <w:adjustRightInd w:val="0"/>
        <w:snapToGrid w:val="0"/>
        <w:jc w:val="center"/>
        <w:outlineLvl w:val="0"/>
        <w:rPr>
          <w:rFonts w:ascii="彩虹粗仿宋" w:eastAsia="彩虹粗仿宋" w:hAnsi="宋体" w:cs="Arial"/>
          <w:sz w:val="24"/>
        </w:rPr>
      </w:pPr>
      <w:r>
        <w:rPr>
          <w:rFonts w:ascii="彩虹粗仿宋" w:eastAsia="彩虹粗仿宋" w:hAnsi="宋体" w:cs="Arial" w:hint="eastAsia"/>
          <w:sz w:val="24"/>
        </w:rPr>
        <w:t>二零一七年六月</w:t>
      </w: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outlineLvl w:val="0"/>
        <w:rPr>
          <w:rFonts w:ascii="彩虹粗仿宋" w:eastAsia="彩虹粗仿宋" w:hAnsi="宋体" w:cs="Arial"/>
          <w:sz w:val="24"/>
        </w:rPr>
      </w:pPr>
    </w:p>
    <w:p w:rsidR="009100BE" w:rsidRDefault="009100BE">
      <w:pPr>
        <w:adjustRightInd w:val="0"/>
        <w:snapToGrid w:val="0"/>
        <w:jc w:val="center"/>
        <w:rPr>
          <w:rFonts w:ascii="彩虹粗仿宋" w:eastAsia="彩虹粗仿宋" w:hAnsi="宋体" w:cs="Arial"/>
          <w:bCs/>
          <w:sz w:val="24"/>
        </w:rPr>
      </w:pPr>
    </w:p>
    <w:p w:rsidR="009100BE" w:rsidRDefault="009100BE">
      <w:pPr>
        <w:adjustRightInd w:val="0"/>
        <w:snapToGrid w:val="0"/>
        <w:jc w:val="center"/>
        <w:rPr>
          <w:rFonts w:ascii="彩虹粗仿宋" w:eastAsia="彩虹粗仿宋" w:hAnsi="宋体" w:cs="Arial"/>
          <w:bCs/>
          <w:sz w:val="24"/>
        </w:rPr>
      </w:pPr>
    </w:p>
    <w:p w:rsidR="009100BE" w:rsidRDefault="009100BE">
      <w:pPr>
        <w:adjustRightInd w:val="0"/>
        <w:snapToGrid w:val="0"/>
        <w:jc w:val="center"/>
        <w:rPr>
          <w:rFonts w:ascii="彩虹粗仿宋" w:eastAsia="彩虹粗仿宋" w:hAnsi="宋体" w:cs="Arial"/>
          <w:bCs/>
          <w:sz w:val="24"/>
        </w:rPr>
      </w:pPr>
    </w:p>
    <w:p w:rsidR="009100BE" w:rsidRDefault="00E71C7C">
      <w:pPr>
        <w:jc w:val="center"/>
        <w:rPr>
          <w:rFonts w:ascii="彩虹粗仿宋" w:eastAsia="彩虹粗仿宋"/>
          <w:b/>
          <w:bCs/>
          <w:sz w:val="30"/>
        </w:rPr>
      </w:pPr>
      <w:r>
        <w:rPr>
          <w:rFonts w:ascii="彩虹粗仿宋" w:eastAsia="彩虹粗仿宋" w:hint="eastAsia"/>
          <w:b/>
          <w:bCs/>
          <w:sz w:val="30"/>
        </w:rPr>
        <w:lastRenderedPageBreak/>
        <w:t>目    录</w:t>
      </w:r>
    </w:p>
    <w:p w:rsidR="009100BE" w:rsidRDefault="00E71C7C">
      <w:pPr>
        <w:pStyle w:val="21"/>
        <w:tabs>
          <w:tab w:val="right" w:leader="dot" w:pos="8494"/>
        </w:tabs>
        <w:rPr>
          <w:rFonts w:ascii="彩虹粗仿宋" w:eastAsia="彩虹粗仿宋" w:hAnsi="宋体"/>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sz w:val="28"/>
            <w:szCs w:val="32"/>
          </w:rPr>
          <w:t>一、基金托管协议当事人</w:t>
        </w:r>
        <w:r>
          <w:rPr>
            <w:rFonts w:ascii="彩虹粗仿宋" w:eastAsia="彩虹粗仿宋" w:hAnsi="宋体" w:hint="eastAsia"/>
            <w:sz w:val="28"/>
          </w:rPr>
          <w:tab/>
        </w:r>
        <w:r>
          <w:rPr>
            <w:rFonts w:ascii="彩虹粗仿宋" w:eastAsia="彩虹粗仿宋" w:hAnsi="宋体" w:hint="eastAsia"/>
            <w:sz w:val="28"/>
          </w:rPr>
          <w:fldChar w:fldCharType="begin"/>
        </w:r>
        <w:r>
          <w:rPr>
            <w:rFonts w:ascii="彩虹粗仿宋" w:eastAsia="彩虹粗仿宋" w:hAnsi="宋体" w:hint="eastAsia"/>
            <w:sz w:val="28"/>
          </w:rPr>
          <w:instrText xml:space="preserve"> PAGEREF _Toc124325885 \h </w:instrText>
        </w:r>
        <w:r>
          <w:rPr>
            <w:rFonts w:ascii="彩虹粗仿宋" w:eastAsia="彩虹粗仿宋" w:hAnsi="宋体" w:hint="eastAsia"/>
            <w:sz w:val="28"/>
          </w:rPr>
        </w:r>
        <w:r>
          <w:rPr>
            <w:rFonts w:ascii="彩虹粗仿宋" w:eastAsia="彩虹粗仿宋" w:hAnsi="宋体" w:hint="eastAsia"/>
            <w:sz w:val="28"/>
          </w:rPr>
          <w:fldChar w:fldCharType="separate"/>
        </w:r>
        <w:r>
          <w:rPr>
            <w:rFonts w:ascii="彩虹粗仿宋" w:eastAsia="彩虹粗仿宋" w:hAnsi="宋体"/>
            <w:sz w:val="28"/>
          </w:rPr>
          <w:t>3</w:t>
        </w:r>
        <w:r>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86" w:history="1">
        <w:r w:rsidR="00E71C7C">
          <w:rPr>
            <w:rStyle w:val="af"/>
            <w:rFonts w:ascii="彩虹粗仿宋" w:eastAsia="彩虹粗仿宋" w:hAnsi="宋体" w:hint="eastAsia"/>
            <w:sz w:val="28"/>
            <w:szCs w:val="32"/>
          </w:rPr>
          <w:t>二、基金托管协议的依据、目的和原则</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_Toc124325886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4</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87" w:history="1">
        <w:r w:rsidR="00E71C7C">
          <w:rPr>
            <w:rStyle w:val="af"/>
            <w:rFonts w:ascii="彩虹粗仿宋" w:eastAsia="彩虹粗仿宋" w:hAnsi="宋体" w:hint="eastAsia"/>
            <w:sz w:val="28"/>
            <w:szCs w:val="32"/>
          </w:rPr>
          <w:t>三、基金托管人对基金管理人的业务监督和核查</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_Toc124325887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4</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88" w:history="1">
        <w:r w:rsidR="00E71C7C">
          <w:rPr>
            <w:rStyle w:val="af"/>
            <w:rFonts w:ascii="彩虹粗仿宋" w:eastAsia="彩虹粗仿宋" w:hAnsi="宋体" w:hint="eastAsia"/>
            <w:sz w:val="28"/>
            <w:szCs w:val="32"/>
          </w:rPr>
          <w:t>四、基金管理人对基金托管人的业务核查</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_Toc124325888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8</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89" w:history="1">
        <w:r w:rsidR="00E71C7C">
          <w:rPr>
            <w:rStyle w:val="af"/>
            <w:rFonts w:ascii="彩虹粗仿宋" w:eastAsia="彩虹粗仿宋" w:hAnsi="宋体" w:hint="eastAsia"/>
            <w:sz w:val="28"/>
            <w:szCs w:val="32"/>
          </w:rPr>
          <w:t>五、基金财产的保管</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_Toc124325889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9</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90" w:history="1">
        <w:r w:rsidR="00E71C7C">
          <w:rPr>
            <w:rStyle w:val="af"/>
            <w:rFonts w:ascii="彩虹粗仿宋" w:eastAsia="彩虹粗仿宋" w:hAnsi="宋体" w:hint="eastAsia"/>
            <w:sz w:val="28"/>
            <w:szCs w:val="32"/>
          </w:rPr>
          <w:t>六、指令的发送、确认及执行</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_Toc124325890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11</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91" w:history="1">
        <w:r w:rsidR="00E71C7C">
          <w:rPr>
            <w:rStyle w:val="af"/>
            <w:rFonts w:ascii="彩虹粗仿宋" w:eastAsia="彩虹粗仿宋" w:hAnsi="宋体" w:hint="eastAsia"/>
            <w:sz w:val="28"/>
            <w:szCs w:val="32"/>
          </w:rPr>
          <w:t>七、交易及清算交收安</w:t>
        </w:r>
        <w:bookmarkStart w:id="0" w:name="_Hlt419449173"/>
        <w:r w:rsidR="00E71C7C">
          <w:rPr>
            <w:rStyle w:val="af"/>
            <w:rFonts w:ascii="彩虹粗仿宋" w:eastAsia="彩虹粗仿宋" w:hAnsi="宋体" w:hint="eastAsia"/>
            <w:sz w:val="28"/>
            <w:szCs w:val="32"/>
          </w:rPr>
          <w:t>排</w:t>
        </w:r>
        <w:bookmarkEnd w:id="0"/>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_Toc124325891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13</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92" w:history="1">
        <w:r w:rsidR="00E71C7C">
          <w:rPr>
            <w:rStyle w:val="af"/>
            <w:rFonts w:ascii="彩虹粗仿宋" w:eastAsia="彩虹粗仿宋" w:hAnsi="宋体" w:hint="eastAsia"/>
            <w:sz w:val="28"/>
            <w:szCs w:val="32"/>
          </w:rPr>
          <w:t>八、基金资产净值</w:t>
        </w:r>
        <w:bookmarkStart w:id="1" w:name="_Hlt419449178"/>
        <w:r w:rsidR="00E71C7C">
          <w:rPr>
            <w:rStyle w:val="af"/>
            <w:rFonts w:ascii="彩虹粗仿宋" w:eastAsia="彩虹粗仿宋" w:hAnsi="宋体" w:hint="eastAsia"/>
            <w:sz w:val="28"/>
            <w:szCs w:val="32"/>
          </w:rPr>
          <w:t>计</w:t>
        </w:r>
        <w:bookmarkEnd w:id="1"/>
        <w:r w:rsidR="00E71C7C">
          <w:rPr>
            <w:rStyle w:val="af"/>
            <w:rFonts w:ascii="彩虹粗仿宋" w:eastAsia="彩虹粗仿宋" w:hAnsi="宋体" w:hint="eastAsia"/>
            <w:sz w:val="28"/>
            <w:szCs w:val="32"/>
          </w:rPr>
          <w:t>算和会计核算</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_Toc124325892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16</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93" w:history="1">
        <w:r w:rsidR="00E71C7C">
          <w:rPr>
            <w:rStyle w:val="af"/>
            <w:rFonts w:ascii="彩虹粗仿宋" w:eastAsia="彩虹粗仿宋" w:hAnsi="宋体" w:hint="eastAsia"/>
            <w:sz w:val="28"/>
            <w:szCs w:val="32"/>
          </w:rPr>
          <w:t>九、基金收益分配</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_Toc124325893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20</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94" w:history="1">
        <w:r w:rsidR="00E71C7C">
          <w:rPr>
            <w:rStyle w:val="af"/>
            <w:rFonts w:ascii="彩虹粗仿宋" w:eastAsia="彩虹粗仿宋" w:hAnsi="宋体" w:hint="eastAsia"/>
            <w:sz w:val="28"/>
            <w:szCs w:val="32"/>
          </w:rPr>
          <w:t>十、基金信息披露</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_Toc124325894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20</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95" w:history="1">
        <w:r w:rsidR="00E71C7C">
          <w:rPr>
            <w:rStyle w:val="af"/>
            <w:rFonts w:ascii="彩虹粗仿宋" w:eastAsia="彩虹粗仿宋" w:hAnsi="宋体" w:hint="eastAsia"/>
            <w:sz w:val="28"/>
            <w:szCs w:val="32"/>
          </w:rPr>
          <w:t>十一、基金费用</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_Toc124325895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21</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96" w:history="1">
        <w:r w:rsidR="00E71C7C">
          <w:rPr>
            <w:rStyle w:val="af"/>
            <w:rFonts w:ascii="彩虹粗仿宋" w:eastAsia="彩虹粗仿宋" w:hAnsi="宋体" w:hint="eastAsia"/>
            <w:sz w:val="28"/>
            <w:szCs w:val="32"/>
          </w:rPr>
          <w:t>十二、基金份额持有人名册的保管</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_Toc124325896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23</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97" w:history="1">
        <w:r w:rsidR="00E71C7C">
          <w:rPr>
            <w:rStyle w:val="af"/>
            <w:rFonts w:ascii="彩虹粗仿宋" w:eastAsia="彩虹粗仿宋" w:hAnsi="宋体" w:hint="eastAsia"/>
            <w:sz w:val="28"/>
            <w:szCs w:val="32"/>
          </w:rPr>
          <w:t>十三、基金有关文件档案的保存</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_Toc124325897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23</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98" w:history="1">
        <w:r w:rsidR="00E71C7C">
          <w:rPr>
            <w:rStyle w:val="af"/>
            <w:rFonts w:ascii="彩虹粗仿宋" w:eastAsia="彩虹粗仿宋" w:hAnsi="宋体" w:hint="eastAsia"/>
            <w:sz w:val="28"/>
            <w:szCs w:val="32"/>
          </w:rPr>
          <w:t>十四、基金管理人和基金托管人的更换</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_Toc124325898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23</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899" w:history="1">
        <w:r w:rsidR="00E71C7C">
          <w:rPr>
            <w:rStyle w:val="af"/>
            <w:rFonts w:ascii="彩虹粗仿宋" w:eastAsia="彩虹粗仿宋" w:hAnsi="宋体" w:hint="eastAsia"/>
            <w:sz w:val="28"/>
            <w:szCs w:val="32"/>
          </w:rPr>
          <w:t>十五、禁止行为</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_Toc124325899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25</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900" w:history="1">
        <w:r w:rsidR="00E71C7C">
          <w:rPr>
            <w:rStyle w:val="af"/>
            <w:rFonts w:ascii="彩虹粗仿宋" w:eastAsia="彩虹粗仿宋" w:hAnsi="宋体" w:hint="eastAsia"/>
            <w:sz w:val="28"/>
            <w:szCs w:val="32"/>
          </w:rPr>
          <w:t>十六、托管协议的变更、终止与基金财产的清算</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_Toc124325900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25</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901" w:history="1">
        <w:r w:rsidR="00E71C7C">
          <w:rPr>
            <w:rStyle w:val="af"/>
            <w:rFonts w:ascii="彩虹粗仿宋" w:eastAsia="彩虹粗仿宋" w:hAnsi="宋体" w:hint="eastAsia"/>
            <w:sz w:val="28"/>
            <w:szCs w:val="32"/>
          </w:rPr>
          <w:t>十七、违约责任</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_Toc124325901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27</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902" w:history="1">
        <w:r w:rsidR="00E71C7C">
          <w:rPr>
            <w:rStyle w:val="af"/>
            <w:rFonts w:ascii="彩虹粗仿宋" w:eastAsia="彩虹粗仿宋" w:hAnsi="宋体" w:hint="eastAsia"/>
            <w:sz w:val="28"/>
            <w:szCs w:val="32"/>
          </w:rPr>
          <w:t>十八、争议解决方式</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_Toc124325902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27</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903" w:history="1">
        <w:r w:rsidR="00E71C7C">
          <w:rPr>
            <w:rStyle w:val="af"/>
            <w:rFonts w:ascii="彩虹粗仿宋" w:eastAsia="彩虹粗仿宋" w:hAnsi="宋体" w:hint="eastAsia"/>
            <w:sz w:val="28"/>
            <w:szCs w:val="32"/>
          </w:rPr>
          <w:t>十九、托管协议的效力</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_Toc124325903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28</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904" w:history="1">
        <w:r w:rsidR="00E71C7C">
          <w:rPr>
            <w:rStyle w:val="af"/>
            <w:rFonts w:ascii="彩虹粗仿宋" w:eastAsia="彩虹粗仿宋" w:hAnsi="宋体" w:hint="eastAsia"/>
            <w:sz w:val="28"/>
            <w:szCs w:val="32"/>
          </w:rPr>
          <w:t>二十、其他事项</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_Toc124325904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28</w:t>
        </w:r>
        <w:r w:rsidR="00E71C7C">
          <w:rPr>
            <w:rFonts w:ascii="彩虹粗仿宋" w:eastAsia="彩虹粗仿宋" w:hAnsi="宋体" w:hint="eastAsia"/>
            <w:sz w:val="28"/>
          </w:rPr>
          <w:fldChar w:fldCharType="end"/>
        </w:r>
      </w:hyperlink>
    </w:p>
    <w:p w:rsidR="009100BE" w:rsidRDefault="00895047">
      <w:pPr>
        <w:pStyle w:val="21"/>
        <w:tabs>
          <w:tab w:val="right" w:leader="dot" w:pos="8494"/>
        </w:tabs>
        <w:rPr>
          <w:rFonts w:ascii="彩虹粗仿宋" w:eastAsia="彩虹粗仿宋" w:hAnsi="宋体"/>
          <w:sz w:val="28"/>
        </w:rPr>
      </w:pPr>
      <w:hyperlink w:anchor="_Toc124325905" w:history="1">
        <w:r w:rsidR="00E71C7C">
          <w:rPr>
            <w:rStyle w:val="af"/>
            <w:rFonts w:ascii="彩虹粗仿宋" w:eastAsia="彩虹粗仿宋" w:hAnsi="宋体" w:hint="eastAsia"/>
            <w:sz w:val="28"/>
            <w:szCs w:val="32"/>
          </w:rPr>
          <w:t>二十一、托管协议的签订</w:t>
        </w:r>
        <w:r w:rsidR="00E71C7C">
          <w:rPr>
            <w:rFonts w:ascii="彩虹粗仿宋" w:eastAsia="彩虹粗仿宋" w:hAnsi="宋体" w:hint="eastAsia"/>
            <w:sz w:val="28"/>
          </w:rPr>
          <w:tab/>
        </w:r>
        <w:r w:rsidR="00E71C7C">
          <w:rPr>
            <w:rFonts w:ascii="彩虹粗仿宋" w:eastAsia="彩虹粗仿宋" w:hAnsi="宋体" w:hint="eastAsia"/>
            <w:sz w:val="28"/>
          </w:rPr>
          <w:fldChar w:fldCharType="begin"/>
        </w:r>
        <w:r w:rsidR="00E71C7C">
          <w:rPr>
            <w:rFonts w:ascii="彩虹粗仿宋" w:eastAsia="彩虹粗仿宋" w:hAnsi="宋体" w:hint="eastAsia"/>
            <w:sz w:val="28"/>
          </w:rPr>
          <w:instrText xml:space="preserve"> PAGEREF _Toc124325905 \h </w:instrText>
        </w:r>
        <w:r w:rsidR="00E71C7C">
          <w:rPr>
            <w:rFonts w:ascii="彩虹粗仿宋" w:eastAsia="彩虹粗仿宋" w:hAnsi="宋体" w:hint="eastAsia"/>
            <w:sz w:val="28"/>
          </w:rPr>
        </w:r>
        <w:r w:rsidR="00E71C7C">
          <w:rPr>
            <w:rFonts w:ascii="彩虹粗仿宋" w:eastAsia="彩虹粗仿宋" w:hAnsi="宋体" w:hint="eastAsia"/>
            <w:sz w:val="28"/>
          </w:rPr>
          <w:fldChar w:fldCharType="separate"/>
        </w:r>
        <w:r w:rsidR="00E71C7C">
          <w:rPr>
            <w:rFonts w:ascii="彩虹粗仿宋" w:eastAsia="彩虹粗仿宋" w:hAnsi="宋体"/>
            <w:sz w:val="28"/>
          </w:rPr>
          <w:t>28</w:t>
        </w:r>
        <w:r w:rsidR="00E71C7C">
          <w:rPr>
            <w:rFonts w:ascii="彩虹粗仿宋" w:eastAsia="彩虹粗仿宋" w:hAnsi="宋体" w:hint="eastAsia"/>
            <w:sz w:val="28"/>
          </w:rPr>
          <w:fldChar w:fldCharType="end"/>
        </w:r>
      </w:hyperlink>
    </w:p>
    <w:p w:rsidR="009100BE" w:rsidRDefault="00E71C7C">
      <w:pPr>
        <w:rPr>
          <w:rFonts w:ascii="彩虹粗仿宋" w:eastAsia="彩虹粗仿宋"/>
          <w:sz w:val="24"/>
        </w:rPr>
      </w:pPr>
      <w:r>
        <w:rPr>
          <w:rFonts w:ascii="彩虹粗仿宋" w:eastAsia="彩虹粗仿宋" w:hAnsi="宋体" w:hint="eastAsia"/>
          <w:sz w:val="28"/>
        </w:rPr>
        <w:lastRenderedPageBreak/>
        <w:fldChar w:fldCharType="end"/>
      </w:r>
    </w:p>
    <w:p w:rsidR="009100BE" w:rsidRDefault="00E71C7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proofErr w:type="gramStart"/>
      <w:r>
        <w:rPr>
          <w:rFonts w:ascii="彩虹粗仿宋" w:eastAsia="彩虹粗仿宋" w:hAnsi="宋体" w:cs="Arial" w:hint="eastAsia"/>
          <w:kern w:val="0"/>
          <w:sz w:val="24"/>
        </w:rPr>
        <w:t>鹏扬基金</w:t>
      </w:r>
      <w:proofErr w:type="gramEnd"/>
      <w:r>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w:t>
      </w:r>
      <w:proofErr w:type="gramStart"/>
      <w:r>
        <w:rPr>
          <w:rFonts w:ascii="彩虹粗仿宋" w:eastAsia="彩虹粗仿宋" w:hAnsi="宋体" w:cs="Arial" w:hint="eastAsia"/>
          <w:kern w:val="0"/>
          <w:sz w:val="24"/>
        </w:rPr>
        <w:t>发行鹏扬景泰</w:t>
      </w:r>
      <w:proofErr w:type="gramEnd"/>
      <w:r>
        <w:rPr>
          <w:rFonts w:ascii="彩虹粗仿宋" w:eastAsia="彩虹粗仿宋" w:hAnsi="宋体" w:cs="Arial" w:hint="eastAsia"/>
          <w:kern w:val="0"/>
          <w:sz w:val="24"/>
        </w:rPr>
        <w:t>成长混合型发起式证券投资基金；</w:t>
      </w:r>
    </w:p>
    <w:p w:rsidR="009100BE" w:rsidRDefault="00E71C7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9100BE" w:rsidRDefault="00E71C7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proofErr w:type="gramStart"/>
      <w:r>
        <w:rPr>
          <w:rFonts w:ascii="彩虹粗仿宋" w:eastAsia="彩虹粗仿宋" w:hAnsi="宋体" w:cs="Arial" w:hint="eastAsia"/>
          <w:kern w:val="0"/>
          <w:sz w:val="24"/>
        </w:rPr>
        <w:t>鹏扬基金</w:t>
      </w:r>
      <w:proofErr w:type="gramEnd"/>
      <w:r>
        <w:rPr>
          <w:rFonts w:ascii="彩虹粗仿宋" w:eastAsia="彩虹粗仿宋" w:hAnsi="宋体" w:cs="Arial" w:hint="eastAsia"/>
          <w:kern w:val="0"/>
          <w:sz w:val="24"/>
        </w:rPr>
        <w:t>管理有限公司拟</w:t>
      </w:r>
      <w:proofErr w:type="gramStart"/>
      <w:r>
        <w:rPr>
          <w:rFonts w:ascii="彩虹粗仿宋" w:eastAsia="彩虹粗仿宋" w:hAnsi="宋体" w:cs="Arial" w:hint="eastAsia"/>
          <w:kern w:val="0"/>
          <w:sz w:val="24"/>
        </w:rPr>
        <w:t>担任鹏扬景泰</w:t>
      </w:r>
      <w:proofErr w:type="gramEnd"/>
      <w:r>
        <w:rPr>
          <w:rFonts w:ascii="彩虹粗仿宋" w:eastAsia="彩虹粗仿宋" w:hAnsi="宋体" w:cs="Arial" w:hint="eastAsia"/>
          <w:kern w:val="0"/>
          <w:sz w:val="24"/>
        </w:rPr>
        <w:t>成长混合型发起式证券投资基金的基金管理人，中国建设银行股份有限公司拟</w:t>
      </w:r>
      <w:proofErr w:type="gramStart"/>
      <w:r>
        <w:rPr>
          <w:rFonts w:ascii="彩虹粗仿宋" w:eastAsia="彩虹粗仿宋" w:hAnsi="宋体" w:cs="Arial" w:hint="eastAsia"/>
          <w:kern w:val="0"/>
          <w:sz w:val="24"/>
        </w:rPr>
        <w:t>担任鹏扬景泰</w:t>
      </w:r>
      <w:proofErr w:type="gramEnd"/>
      <w:r>
        <w:rPr>
          <w:rFonts w:ascii="彩虹粗仿宋" w:eastAsia="彩虹粗仿宋" w:hAnsi="宋体" w:cs="Arial" w:hint="eastAsia"/>
          <w:kern w:val="0"/>
          <w:sz w:val="24"/>
        </w:rPr>
        <w:t>成长混合型发起式证券投资基金的基金托管人；</w:t>
      </w:r>
    </w:p>
    <w:p w:rsidR="009100BE" w:rsidRDefault="00E71C7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w:t>
      </w:r>
      <w:proofErr w:type="gramStart"/>
      <w:r>
        <w:rPr>
          <w:rFonts w:ascii="彩虹粗仿宋" w:eastAsia="彩虹粗仿宋" w:hAnsi="宋体" w:cs="Arial" w:hint="eastAsia"/>
          <w:kern w:val="0"/>
          <w:sz w:val="24"/>
        </w:rPr>
        <w:t>明确鹏扬景泰</w:t>
      </w:r>
      <w:proofErr w:type="gramEnd"/>
      <w:r>
        <w:rPr>
          <w:rFonts w:ascii="彩虹粗仿宋" w:eastAsia="彩虹粗仿宋" w:hAnsi="宋体" w:cs="Arial" w:hint="eastAsia"/>
          <w:kern w:val="0"/>
          <w:sz w:val="24"/>
        </w:rPr>
        <w:t>成长混合型发起式证券投资基金的基金管理人和基金托管人之间的权利义务关系，特制订本托管协议；</w:t>
      </w:r>
    </w:p>
    <w:p w:rsidR="009100BE" w:rsidRDefault="00E71C7C">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鹏扬景泰成长混合型发起式证券投资</w:t>
      </w:r>
      <w:r>
        <w:rPr>
          <w:rFonts w:ascii="彩虹粗仿宋" w:eastAsia="彩虹粗仿宋" w:hAnsi="宋体" w:cs="Arial" w:hint="eastAsia"/>
          <w:kern w:val="0"/>
          <w:sz w:val="24"/>
          <w:lang w:val="en-GB"/>
        </w:rPr>
        <w:t>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9100BE" w:rsidRDefault="009100BE">
      <w:pPr>
        <w:rPr>
          <w:rFonts w:ascii="彩虹粗仿宋" w:eastAsia="彩虹粗仿宋"/>
          <w:sz w:val="24"/>
          <w:lang w:val="en-GB"/>
        </w:rPr>
      </w:pPr>
    </w:p>
    <w:p w:rsidR="009100BE" w:rsidRDefault="00E71C7C">
      <w:pPr>
        <w:pStyle w:val="2"/>
        <w:jc w:val="center"/>
        <w:rPr>
          <w:rFonts w:ascii="彩虹粗仿宋" w:eastAsia="彩虹粗仿宋"/>
        </w:rPr>
      </w:pPr>
      <w:bookmarkStart w:id="2" w:name="_Toc124325885"/>
      <w:r>
        <w:rPr>
          <w:rFonts w:ascii="彩虹粗仿宋" w:eastAsia="彩虹粗仿宋" w:hint="eastAsia"/>
        </w:rPr>
        <w:t>一、基金托管协议当事人</w:t>
      </w:r>
      <w:bookmarkEnd w:id="2"/>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w:t>
      </w:r>
      <w:proofErr w:type="gramStart"/>
      <w:r>
        <w:rPr>
          <w:rFonts w:ascii="彩虹粗仿宋" w:eastAsia="彩虹粗仿宋" w:hAnsi="宋体" w:cs="Arial" w:hint="eastAsia"/>
          <w:sz w:val="24"/>
        </w:rPr>
        <w:t>鹏扬基金</w:t>
      </w:r>
      <w:proofErr w:type="gramEnd"/>
      <w:r>
        <w:rPr>
          <w:rFonts w:ascii="彩虹粗仿宋" w:eastAsia="彩虹粗仿宋" w:hAnsi="宋体" w:cs="Arial" w:hint="eastAsia"/>
          <w:sz w:val="24"/>
        </w:rPr>
        <w:t>管理有限公司</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注册地址：上海市中国(上海)自由贸易试验区栖霞路120号3层302室</w:t>
      </w:r>
      <w:r>
        <w:rPr>
          <w:rFonts w:ascii="彩虹粗仿宋" w:eastAsia="彩虹粗仿宋" w:hAnsi="宋体" w:cs="Arial" w:hint="eastAsia"/>
          <w:sz w:val="24"/>
        </w:rPr>
        <w:tab/>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办公地址：北京市西城区复兴门外大街A2号中化大厦16层</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 100045</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法定代表人：杨爱斌</w:t>
      </w:r>
      <w:r>
        <w:rPr>
          <w:rFonts w:ascii="彩虹粗仿宋" w:eastAsia="彩虹粗仿宋" w:hAnsi="宋体" w:cs="Arial" w:hint="eastAsia"/>
          <w:sz w:val="24"/>
        </w:rPr>
        <w:tab/>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成立日期：2016</w:t>
      </w:r>
      <w:r>
        <w:rPr>
          <w:rStyle w:val="read"/>
          <w:rFonts w:ascii="彩虹粗仿宋" w:eastAsia="彩虹粗仿宋" w:hAnsi="宋体" w:cs="Arial" w:hint="eastAsia"/>
          <w:sz w:val="24"/>
        </w:rPr>
        <w:t>年07月06日</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 证监许可【2016】1453号</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注册资本：1.0518亿</w:t>
      </w:r>
      <w:r>
        <w:rPr>
          <w:rStyle w:val="read"/>
          <w:rFonts w:ascii="彩虹粗仿宋" w:eastAsia="彩虹粗仿宋" w:hAnsi="宋体" w:cs="Arial" w:hint="eastAsia"/>
          <w:sz w:val="24"/>
        </w:rPr>
        <w:t>元</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经营范围：公开募集证券投资基金管理、基</w:t>
      </w:r>
      <w:r>
        <w:rPr>
          <w:rFonts w:ascii="彩虹粗仿宋" w:eastAsia="彩虹粗仿宋" w:hAnsi="宋体" w:cs="Arial"/>
          <w:sz w:val="24"/>
        </w:rPr>
        <w:t>金销售</w:t>
      </w:r>
      <w:r>
        <w:rPr>
          <w:rFonts w:ascii="彩虹粗仿宋" w:eastAsia="彩虹粗仿宋" w:hAnsi="宋体" w:cs="Arial" w:hint="eastAsia"/>
          <w:sz w:val="24"/>
        </w:rPr>
        <w:t>、特定客户</w:t>
      </w:r>
      <w:r>
        <w:rPr>
          <w:rFonts w:ascii="彩虹粗仿宋" w:eastAsia="彩虹粗仿宋" w:hAnsi="宋体" w:cs="Arial"/>
          <w:sz w:val="24"/>
        </w:rPr>
        <w:t>资产管理</w:t>
      </w:r>
      <w:r>
        <w:rPr>
          <w:rFonts w:ascii="彩虹粗仿宋" w:eastAsia="彩虹粗仿宋" w:hAnsi="宋体" w:cs="Arial" w:hint="eastAsia"/>
          <w:sz w:val="24"/>
        </w:rPr>
        <w:t>和</w:t>
      </w:r>
      <w:r>
        <w:rPr>
          <w:rFonts w:ascii="彩虹粗仿宋" w:eastAsia="彩虹粗仿宋" w:hAnsi="宋体" w:cs="Arial"/>
          <w:sz w:val="24"/>
        </w:rPr>
        <w:t>中国证监会</w:t>
      </w:r>
      <w:r>
        <w:rPr>
          <w:rFonts w:ascii="彩虹粗仿宋" w:eastAsia="彩虹粗仿宋" w:hAnsi="宋体" w:cs="Arial" w:hint="eastAsia"/>
          <w:sz w:val="24"/>
        </w:rPr>
        <w:t>许可</w:t>
      </w:r>
      <w:r>
        <w:rPr>
          <w:rFonts w:ascii="彩虹粗仿宋" w:eastAsia="彩虹粗仿宋" w:hAnsi="宋体" w:cs="Arial"/>
          <w:sz w:val="24"/>
        </w:rPr>
        <w:t>的其他业务。</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w:t>
      </w:r>
      <w:r w:rsidR="00C2177D">
        <w:rPr>
          <w:rFonts w:ascii="彩虹粗仿宋" w:eastAsia="彩虹粗仿宋" w:hAnsi="宋体" w:cs="Arial" w:hint="eastAsia"/>
          <w:sz w:val="24"/>
        </w:rPr>
        <w:t>田国立</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基金托管业务批准文号：中国证监会 </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3" w:name="OLE_LINK3"/>
      <w:r>
        <w:rPr>
          <w:rFonts w:ascii="彩虹粗仿宋" w:eastAsia="彩虹粗仿宋" w:hAnsi="宋体" w:cs="Arial" w:hint="eastAsia"/>
          <w:sz w:val="24"/>
        </w:rPr>
        <w:t>]</w:t>
      </w:r>
      <w:bookmarkEnd w:id="3"/>
      <w:r>
        <w:rPr>
          <w:rFonts w:ascii="彩虹粗仿宋" w:eastAsia="彩虹粗仿宋" w:hAnsi="宋体" w:cs="Arial" w:hint="eastAsia"/>
          <w:sz w:val="24"/>
        </w:rPr>
        <w:t>12号</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9100BE" w:rsidRDefault="00E71C7C">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9100BE" w:rsidRDefault="009100BE">
      <w:pPr>
        <w:rPr>
          <w:rFonts w:ascii="彩虹粗仿宋" w:eastAsia="彩虹粗仿宋"/>
          <w:sz w:val="24"/>
        </w:rPr>
      </w:pPr>
    </w:p>
    <w:p w:rsidR="009100BE" w:rsidRDefault="00E71C7C">
      <w:pPr>
        <w:pStyle w:val="2"/>
        <w:jc w:val="center"/>
        <w:rPr>
          <w:rFonts w:ascii="彩虹粗仿宋" w:eastAsia="彩虹粗仿宋"/>
          <w:sz w:val="30"/>
        </w:rPr>
      </w:pPr>
      <w:bookmarkStart w:id="4" w:name="_Toc124325886"/>
      <w:r>
        <w:rPr>
          <w:rFonts w:ascii="彩虹粗仿宋" w:eastAsia="彩虹粗仿宋" w:hint="eastAsia"/>
          <w:sz w:val="30"/>
        </w:rPr>
        <w:t>二、基金托管协议的依据、目的和原则</w:t>
      </w:r>
      <w:bookmarkEnd w:id="4"/>
    </w:p>
    <w:p w:rsidR="009100BE" w:rsidRDefault="00E71C7C">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9100BE" w:rsidRDefault="00E71C7C">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100BE" w:rsidRDefault="009100BE">
      <w:pPr>
        <w:adjustRightInd w:val="0"/>
        <w:snapToGrid w:val="0"/>
        <w:ind w:firstLineChars="200" w:firstLine="480"/>
        <w:rPr>
          <w:rFonts w:ascii="彩虹粗仿宋" w:eastAsia="彩虹粗仿宋"/>
          <w:sz w:val="24"/>
        </w:rPr>
      </w:pPr>
    </w:p>
    <w:p w:rsidR="009100BE" w:rsidRDefault="00E71C7C">
      <w:pPr>
        <w:pStyle w:val="2"/>
        <w:jc w:val="center"/>
        <w:rPr>
          <w:rFonts w:ascii="彩虹粗仿宋" w:eastAsia="彩虹粗仿宋"/>
          <w:sz w:val="30"/>
          <w:szCs w:val="24"/>
        </w:rPr>
      </w:pPr>
      <w:bookmarkStart w:id="5" w:name="_Toc124325887"/>
      <w:r>
        <w:rPr>
          <w:rFonts w:ascii="彩虹粗仿宋" w:eastAsia="彩虹粗仿宋" w:hint="eastAsia"/>
          <w:sz w:val="30"/>
        </w:rPr>
        <w:t>三、基金托管人对基金管理人的业务监督和核查</w:t>
      </w:r>
      <w:bookmarkEnd w:id="5"/>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为具有良好流动性的金融工具，包括国内依法发行上市的股票（包括主板、中小板、创业板及其他中国证监会核准上市的股票）、债券（包括国债、央行票据、金融债、地方政府债、企业债、公司债、中期票据、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、公开发行的次级债券、政府支持债券、可转债、可交换债、可分离交易可转债的</w:t>
      </w:r>
      <w:proofErr w:type="gramStart"/>
      <w:r>
        <w:rPr>
          <w:rFonts w:ascii="彩虹粗仿宋" w:eastAsia="彩虹粗仿宋" w:hAnsi="宋体" w:cs="Arial" w:hint="eastAsia"/>
          <w:sz w:val="24"/>
        </w:rPr>
        <w:t>纯债部分</w:t>
      </w:r>
      <w:proofErr w:type="gramEnd"/>
      <w:r>
        <w:rPr>
          <w:rFonts w:ascii="彩虹粗仿宋" w:eastAsia="彩虹粗仿宋" w:hAnsi="宋体" w:cs="Arial" w:hint="eastAsia"/>
          <w:sz w:val="24"/>
        </w:rPr>
        <w:t>及其他经中国证监会允许投资的债券）、衍生品（包括权证、股指期货、国债期货等）、货币市场工具（含同业存单）、资产支持证券、债券质押式及买断式回购以及法律法规或中国证监会允许基金投资的其他金融工具。</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股票投资占基金资产的比例为50%—95%，每个交易日日终在扣除国债期货、股指期货合约需缴纳的交易保证金后，本基金持有现金以及到期日在1年以内的政府债券不低于基金资产净值的5%，其中，现金不包括结算备付金、存出保证金、应收申购款等。</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（1）本基金股票资产占基金资产的比例为50% -95% ；</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2）本基金每个交易日日终在扣除国债期货、股指期货合约需缴纳的交易保证金后，保持不低于基金资产净值5%的现金或者到期日在一年以内的政府债券，其中现金不包括结算备付金、存出保证金、应收申购款等；</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（3）本基金持有一家公司发行的证券，其市值不超过基金资产净值的10％；</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（4）本基金管理人管理的且由本基金托管人托管的全部基金持有一家公司发行的证券，不超过该证券的10％；</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（5）本基金持有的全部权证，不得超过基金资产净值的3%；</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（6）本基金管理人管理的且由本基金托管人托管的全部基金持有的同一权证，不得超过该权证的10％；</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（7）本基金在任何交易日买入权证的总金额，不得超过上一交易日基金资产净值的0.5%；</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（8）本基金投资于同一原始权益人的各类资产支持证券的比例，不得超过基金资产净值的 10％；</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（9）本基金持有的全部资产支持证券，其市值不得超过基金资产净值的20％；</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（10）本基金持有的同一(指同一信用级别)资产支持证券的比例，不得超过该资产支持证券规模的 10％；</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（11）本基金管理人管理的且由本基金托管人托管的全部基金投资于同一原始权益人的各类资产支持证券，不得超过其各类资产支持证券合计规模的10%；</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 xml:space="preserve">（13）基金财产参与股票发行申购，本基金所申报的金额不超过本基金的总资产，本基金所申报的股票数量不超过拟发行股票公司本次发行股票的总量； </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（14）基金资产总值不得超过基金资产净值的140%；</w:t>
      </w:r>
    </w:p>
    <w:p w:rsidR="009100BE" w:rsidRPr="002826BC" w:rsidRDefault="00E71C7C">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（15）本基金进入全国银行间同业市场进行债券回购的资金余额不得超过基金资产</w:t>
      </w:r>
      <w:r w:rsidRPr="002826BC">
        <w:rPr>
          <w:rFonts w:ascii="彩虹粗仿宋" w:eastAsia="彩虹粗仿宋" w:hAnsi="宋体" w:cs="Arial" w:hint="eastAsia"/>
          <w:sz w:val="24"/>
        </w:rPr>
        <w:t>净值的</w:t>
      </w:r>
      <w:r w:rsidRPr="002826BC">
        <w:rPr>
          <w:rFonts w:ascii="彩虹粗仿宋" w:eastAsia="彩虹粗仿宋" w:hAnsi="宋体" w:cs="Arial"/>
          <w:sz w:val="24"/>
        </w:rPr>
        <w:t xml:space="preserve"> </w:t>
      </w:r>
      <w:r w:rsidRPr="002826BC">
        <w:rPr>
          <w:rFonts w:ascii="彩虹粗仿宋" w:eastAsia="彩虹粗仿宋" w:hAnsi="宋体" w:cs="Arial" w:hint="eastAsia"/>
          <w:sz w:val="24"/>
        </w:rPr>
        <w:t>40%；在全国银行间同业市场中的债券回购最长期限为1年，债券回购到期后不得展期；</w:t>
      </w:r>
    </w:p>
    <w:p w:rsidR="009100BE" w:rsidRPr="002826BC" w:rsidRDefault="00E71C7C" w:rsidP="002826BC">
      <w:pPr>
        <w:adjustRightInd w:val="0"/>
        <w:snapToGrid w:val="0"/>
        <w:ind w:firstLineChars="200" w:firstLine="480"/>
        <w:rPr>
          <w:rFonts w:ascii="彩虹粗仿宋" w:eastAsia="彩虹粗仿宋" w:hAnsi="宋体" w:cs="Arial"/>
          <w:sz w:val="24"/>
        </w:rPr>
      </w:pPr>
      <w:r w:rsidRPr="002826BC">
        <w:rPr>
          <w:rFonts w:ascii="彩虹粗仿宋" w:eastAsia="彩虹粗仿宋" w:hAnsi="宋体" w:cs="Arial" w:hint="eastAsia"/>
          <w:sz w:val="24"/>
        </w:rPr>
        <w:t>（16）本基金参与国债期货、股指期货交易时，需遵守下列投资比例限制：</w:t>
      </w:r>
    </w:p>
    <w:p w:rsidR="009100BE" w:rsidRPr="002826BC" w:rsidRDefault="00E71C7C" w:rsidP="002826BC">
      <w:pPr>
        <w:adjustRightInd w:val="0"/>
        <w:snapToGrid w:val="0"/>
        <w:ind w:firstLineChars="200" w:firstLine="480"/>
        <w:rPr>
          <w:rFonts w:ascii="彩虹粗仿宋" w:eastAsia="彩虹粗仿宋" w:hAnsi="宋体" w:cs="Arial"/>
          <w:sz w:val="24"/>
        </w:rPr>
      </w:pPr>
      <w:r w:rsidRPr="002826BC">
        <w:rPr>
          <w:rFonts w:ascii="彩虹粗仿宋" w:eastAsia="彩虹粗仿宋" w:hAnsi="宋体" w:cs="Arial" w:hint="eastAsia"/>
          <w:sz w:val="24"/>
        </w:rPr>
        <w:t>（a）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rsidR="009100BE" w:rsidRPr="002826BC" w:rsidRDefault="00E71C7C" w:rsidP="002826BC">
      <w:pPr>
        <w:adjustRightInd w:val="0"/>
        <w:snapToGrid w:val="0"/>
        <w:ind w:firstLineChars="200" w:firstLine="480"/>
        <w:rPr>
          <w:rFonts w:ascii="彩虹粗仿宋" w:eastAsia="彩虹粗仿宋" w:hAnsi="宋体" w:cs="Arial"/>
          <w:sz w:val="24"/>
        </w:rPr>
      </w:pPr>
      <w:r w:rsidRPr="002826BC">
        <w:rPr>
          <w:rFonts w:ascii="彩虹粗仿宋" w:eastAsia="彩虹粗仿宋" w:hAnsi="宋体" w:cs="Arial" w:hint="eastAsia"/>
          <w:sz w:val="24"/>
        </w:rPr>
        <w:t>（b）本基金在任何交易日日终，持有的买入股指期货合约价值，不得超过基金资产净值的10%；本基金在任何交易日日终，持有的卖出股指期货合约价值不得超过基金持有的股票总市值的20%；本基金在任何交易日内交易（不包括平仓）的股指期货合约的成交金额不得超过上一交易日基金资产净值的20%；</w:t>
      </w:r>
    </w:p>
    <w:p w:rsidR="009100BE" w:rsidRPr="002826BC" w:rsidRDefault="00E71C7C" w:rsidP="002826BC">
      <w:pPr>
        <w:adjustRightInd w:val="0"/>
        <w:snapToGrid w:val="0"/>
        <w:ind w:firstLineChars="200" w:firstLine="480"/>
        <w:rPr>
          <w:rFonts w:ascii="彩虹粗仿宋" w:eastAsia="彩虹粗仿宋" w:hAnsi="宋体" w:cs="Arial"/>
          <w:sz w:val="24"/>
        </w:rPr>
      </w:pPr>
      <w:r w:rsidRPr="002826BC">
        <w:rPr>
          <w:rFonts w:ascii="彩虹粗仿宋" w:eastAsia="彩虹粗仿宋" w:hAnsi="宋体" w:cs="Arial" w:hint="eastAsia"/>
          <w:sz w:val="24"/>
        </w:rPr>
        <w:t>（c）本基金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r w:rsidRPr="002826BC">
        <w:rPr>
          <w:rFonts w:ascii="彩虹粗仿宋" w:eastAsia="彩虹粗仿宋" w:hAnsi="宋体" w:cs="Arial"/>
          <w:sz w:val="24"/>
        </w:rPr>
        <w:t xml:space="preserve"> </w:t>
      </w:r>
      <w:r w:rsidRPr="002826BC">
        <w:rPr>
          <w:rFonts w:ascii="彩虹粗仿宋" w:eastAsia="彩虹粗仿宋" w:hAnsi="宋体" w:cs="Arial" w:hint="eastAsia"/>
          <w:sz w:val="24"/>
        </w:rPr>
        <w:t>如基金未参与股指期货、国债期货交易，则不受上述投资限制；</w:t>
      </w:r>
    </w:p>
    <w:p w:rsidR="009100BE" w:rsidRDefault="00E71C7C">
      <w:pPr>
        <w:adjustRightInd w:val="0"/>
        <w:snapToGrid w:val="0"/>
        <w:ind w:firstLineChars="200" w:firstLine="480"/>
        <w:rPr>
          <w:rFonts w:ascii="彩虹粗仿宋" w:eastAsia="彩虹粗仿宋" w:hAnsi="宋体" w:cs="Arial"/>
          <w:sz w:val="24"/>
        </w:rPr>
      </w:pPr>
      <w:r w:rsidRPr="002826BC">
        <w:rPr>
          <w:rFonts w:ascii="彩虹粗仿宋" w:eastAsia="彩虹粗仿宋" w:hAnsi="宋体" w:cs="Arial" w:hint="eastAsia"/>
          <w:sz w:val="24"/>
        </w:rPr>
        <w:t>（d）本基金所持有的股票市值和买入、卖出股指期货合约价值，合计（轧差计</w:t>
      </w:r>
      <w:r>
        <w:rPr>
          <w:rFonts w:ascii="彩虹粗仿宋" w:eastAsia="彩虹粗仿宋" w:hAnsi="宋体" w:cs="Arial" w:hint="eastAsia"/>
          <w:sz w:val="24"/>
        </w:rPr>
        <w:t>算）不低于基金资产的50%且不超过基金资产的95%；</w:t>
      </w:r>
    </w:p>
    <w:p w:rsidR="009100BE" w:rsidRPr="002826BC" w:rsidRDefault="00E71C7C">
      <w:pPr>
        <w:adjustRightInd w:val="0"/>
        <w:snapToGrid w:val="0"/>
        <w:ind w:firstLineChars="200" w:firstLine="480"/>
        <w:rPr>
          <w:rFonts w:ascii="彩虹粗仿宋" w:eastAsia="彩虹粗仿宋" w:hAnsi="宋体" w:cs="Arial"/>
          <w:sz w:val="24"/>
        </w:rPr>
      </w:pPr>
      <w:r w:rsidRPr="002826BC">
        <w:rPr>
          <w:rFonts w:ascii="彩虹粗仿宋" w:eastAsia="彩虹粗仿宋" w:hAnsi="宋体" w:cs="Arial" w:hint="eastAsia"/>
          <w:sz w:val="24"/>
        </w:rPr>
        <w:t>（e）本基金所持有的债券（不含到期日在一年以内的政府债券）市值和买入、</w:t>
      </w:r>
      <w:r w:rsidRPr="002826BC">
        <w:rPr>
          <w:rFonts w:ascii="彩虹粗仿宋" w:eastAsia="彩虹粗仿宋" w:hAnsi="宋体" w:cs="Arial" w:hint="eastAsia"/>
          <w:sz w:val="24"/>
        </w:rPr>
        <w:lastRenderedPageBreak/>
        <w:t>卖出国债期货合约价值，合计（轧差计算）应当符合关于债券投资比例的有关约定。</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w:t>
      </w:r>
      <w:proofErr w:type="gramStart"/>
      <w:r>
        <w:rPr>
          <w:rFonts w:ascii="彩虹粗仿宋" w:eastAsia="彩虹粗仿宋" w:hAnsi="宋体" w:cs="Arial" w:hint="eastAsia"/>
          <w:sz w:val="24"/>
        </w:rPr>
        <w:t>一同就</w:t>
      </w:r>
      <w:proofErr w:type="gramEnd"/>
      <w:r>
        <w:rPr>
          <w:rFonts w:ascii="彩虹粗仿宋" w:eastAsia="彩虹粗仿宋" w:hAnsi="宋体" w:cs="Arial" w:hint="eastAsia"/>
          <w:sz w:val="24"/>
        </w:rPr>
        <w:t>期货开户、清算、估值、交收等事宜另行签署《期货投资托管操作三方备忘录》。</w:t>
      </w:r>
    </w:p>
    <w:p w:rsidR="009100BE" w:rsidRPr="002826BC" w:rsidRDefault="00E71C7C" w:rsidP="0097078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2826BC">
        <w:rPr>
          <w:rFonts w:ascii="彩虹粗仿宋" w:eastAsia="彩虹粗仿宋" w:hAnsi="宋体" w:cs="Arial" w:hint="eastAsia"/>
          <w:sz w:val="24"/>
        </w:rPr>
        <w:t>17）本基金持有的所有流通受限证券，其公允价值不得超过本基金资产净值的</w:t>
      </w:r>
      <w:r w:rsidR="0097078E" w:rsidRPr="002826BC">
        <w:rPr>
          <w:rFonts w:ascii="彩虹粗仿宋" w:eastAsia="彩虹粗仿宋" w:hAnsi="宋体" w:cs="Arial" w:hint="eastAsia"/>
          <w:sz w:val="24"/>
        </w:rPr>
        <w:t>20</w:t>
      </w:r>
      <w:r w:rsidRPr="002826BC">
        <w:rPr>
          <w:rFonts w:ascii="彩虹粗仿宋" w:eastAsia="彩虹粗仿宋" w:hAnsi="宋体" w:cs="Arial"/>
          <w:sz w:val="24"/>
        </w:rPr>
        <w:t>%</w:t>
      </w:r>
      <w:r w:rsidRPr="002826BC">
        <w:rPr>
          <w:rFonts w:ascii="彩虹粗仿宋" w:eastAsia="彩虹粗仿宋" w:hAnsi="宋体" w:cs="Arial" w:hint="eastAsia"/>
          <w:sz w:val="24"/>
        </w:rPr>
        <w:t>；本基金持有的同</w:t>
      </w:r>
      <w:proofErr w:type="gramStart"/>
      <w:r w:rsidRPr="002826BC">
        <w:rPr>
          <w:rFonts w:ascii="彩虹粗仿宋" w:eastAsia="彩虹粗仿宋" w:hAnsi="宋体" w:cs="Arial" w:hint="eastAsia"/>
          <w:sz w:val="24"/>
        </w:rPr>
        <w:t>一流通</w:t>
      </w:r>
      <w:proofErr w:type="gramEnd"/>
      <w:r w:rsidRPr="002826BC">
        <w:rPr>
          <w:rFonts w:ascii="彩虹粗仿宋" w:eastAsia="彩虹粗仿宋" w:hAnsi="宋体" w:cs="Arial" w:hint="eastAsia"/>
          <w:sz w:val="24"/>
        </w:rPr>
        <w:t>受限证券，其公允价值不得超过本基金资产净值的</w:t>
      </w:r>
      <w:r w:rsidRPr="002826BC">
        <w:rPr>
          <w:rFonts w:ascii="彩虹粗仿宋" w:eastAsia="彩虹粗仿宋" w:hAnsi="宋体" w:cs="Arial"/>
          <w:sz w:val="24"/>
        </w:rPr>
        <w:t xml:space="preserve"> 10%；</w:t>
      </w:r>
    </w:p>
    <w:p w:rsidR="009100BE" w:rsidRDefault="00FB349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(18)</w:t>
      </w:r>
      <w:r w:rsidR="00E71C7C">
        <w:rPr>
          <w:rFonts w:ascii="彩虹粗仿宋" w:eastAsia="彩虹粗仿宋" w:hAnsi="宋体" w:cs="Arial" w:hint="eastAsia"/>
          <w:sz w:val="24"/>
        </w:rPr>
        <w:t>本基金管理人管理且由本基金托管人托管的全部开放式基金持有一家上市公司发行的可流通股票，不得超过该上市公司可流通股票的 15%；本基金管理人管理且由本基金托管人托管的全部投资组合持有一家上市公司发行的可流通股票，不得超过该上市公司可流通股票的 30%；</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FB349F">
        <w:rPr>
          <w:rFonts w:ascii="彩虹粗仿宋" w:eastAsia="彩虹粗仿宋" w:hAnsi="宋体" w:cs="Arial" w:hint="eastAsia"/>
          <w:sz w:val="24"/>
        </w:rPr>
        <w:t>9</w:t>
      </w:r>
      <w:r>
        <w:rPr>
          <w:rFonts w:ascii="彩虹粗仿宋" w:eastAsia="彩虹粗仿宋" w:hAnsi="宋体" w:cs="Arial" w:hint="eastAsia"/>
          <w:sz w:val="24"/>
        </w:rPr>
        <w:t>）本基金主动投资于流动性受限资产的市值合计不得超过该基金资产净值的 15%；</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因证券市场波动、上市公司股票停牌、基金规模变动等基金管理人之外的因素致使基金不符合前款所规定比例限制的，基金管理人不得主动新增流动性受限资产的投资；</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5D6425">
        <w:rPr>
          <w:rFonts w:ascii="彩虹粗仿宋" w:eastAsia="彩虹粗仿宋" w:hAnsi="宋体" w:cs="Arial" w:hint="eastAsia"/>
          <w:sz w:val="24"/>
        </w:rPr>
        <w:t>20</w:t>
      </w:r>
      <w:r>
        <w:rPr>
          <w:rFonts w:ascii="彩虹粗仿宋" w:eastAsia="彩虹粗仿宋" w:hAnsi="宋体" w:cs="Arial" w:hint="eastAsia"/>
          <w:sz w:val="24"/>
        </w:rPr>
        <w:t>）法律法规及中国证监会规定的和《基金合同》约定的其他投资限制。</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除第（2）、（12）、（1</w:t>
      </w:r>
      <w:r w:rsidR="00FB349F">
        <w:rPr>
          <w:rFonts w:ascii="彩虹粗仿宋" w:eastAsia="彩虹粗仿宋" w:hAnsi="宋体" w:cs="Arial" w:hint="eastAsia"/>
          <w:sz w:val="24"/>
        </w:rPr>
        <w:t>9</w:t>
      </w:r>
      <w:r>
        <w:rPr>
          <w:rFonts w:ascii="彩虹粗仿宋" w:eastAsia="彩虹粗仿宋" w:hAnsi="宋体" w:cs="Arial" w:hint="eastAsia"/>
          <w:sz w:val="24"/>
        </w:rPr>
        <w:t>）条外另有约定外，因证券、期货市场波动、证券发行人合并、基金规模变动等基金管理人之外的因素致使基金投资比例不符合上述规定投资比例的，基金管理人应当在10个交易日内进行调整。法律法规或监管机构另有规定的，从其规定。</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法律法规或监管部门取消或变更上述限制，则本基金投资可不再受相关限制或以变更后的规定为准，但须提前公告，不需要经基金份额持有人大会审议。</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9100BE" w:rsidRDefault="00E71C7C">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w:t>
      </w:r>
      <w:r>
        <w:rPr>
          <w:rFonts w:ascii="彩虹粗仿宋" w:eastAsia="彩虹粗仿宋" w:hAnsi="宋体" w:cs="Arial" w:hint="eastAsia"/>
          <w:sz w:val="24"/>
        </w:rPr>
        <w:lastRenderedPageBreak/>
        <w:t>金托管人协商解决。</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负责向相关交易对手追偿。</w:t>
      </w:r>
      <w:r>
        <w:rPr>
          <w:rFonts w:ascii="彩虹粗仿宋" w:eastAsia="彩虹粗仿宋" w:hAnsi="宋体" w:cs="Arial" w:hint="eastAsia"/>
          <w:color w:val="000000"/>
          <w:sz w:val="24"/>
        </w:rPr>
        <w:t>基金托管人则根据银行间债券市场成</w:t>
      </w:r>
      <w:r>
        <w:rPr>
          <w:rFonts w:ascii="彩虹粗仿宋" w:eastAsia="彩虹粗仿宋" w:hAnsi="宋体" w:cs="Arial" w:hint="eastAsia"/>
          <w:sz w:val="24"/>
        </w:rPr>
        <w:t>交单对合同履行情况进行监督。如基金托管人事后发现基金管理人没有按照事先约定的交易对手或交易方式进行交易时，基金托管人应及时提醒基金管理人，基金托管人不承担由此造成的任何损失和责任。</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Pr>
          <w:rFonts w:ascii="彩虹粗仿宋" w:eastAsia="彩虹粗仿宋" w:hAnsi="宋体" w:cs="Arial"/>
          <w:sz w:val="24"/>
        </w:rPr>
        <w:t>）</w:t>
      </w:r>
      <w:r>
        <w:rPr>
          <w:rFonts w:ascii="彩虹粗仿宋" w:eastAsia="彩虹粗仿宋" w:hAnsi="宋体" w:cs="Arial" w:hint="eastAsia"/>
          <w:sz w:val="24"/>
        </w:rPr>
        <w:t>基金托管人根据有关法律法规的规定及《基金合同》的约定，对基金管理人投资流通受限证券进行监督。</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等流通受限证券。本基金不投资有</w:t>
      </w:r>
      <w:proofErr w:type="gramStart"/>
      <w:r>
        <w:rPr>
          <w:rFonts w:ascii="彩虹粗仿宋" w:eastAsia="彩虹粗仿宋" w:hAnsi="宋体" w:cs="Arial" w:hint="eastAsia"/>
          <w:sz w:val="24"/>
        </w:rPr>
        <w:t>锁定期但锁定</w:t>
      </w:r>
      <w:proofErr w:type="gramEnd"/>
      <w:r>
        <w:rPr>
          <w:rFonts w:ascii="彩虹粗仿宋" w:eastAsia="彩虹粗仿宋" w:hAnsi="宋体" w:cs="Arial" w:hint="eastAsia"/>
          <w:sz w:val="24"/>
        </w:rPr>
        <w:t>期不明确的证券。</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int="eastAsia"/>
          <w:sz w:val="24"/>
        </w:rPr>
        <w:t>人原因</w:t>
      </w:r>
      <w:proofErr w:type="gramEnd"/>
      <w:r>
        <w:rPr>
          <w:rFonts w:ascii="彩虹粗仿宋" w:eastAsia="彩虹粗仿宋" w:hint="eastAsia"/>
          <w:sz w:val="24"/>
        </w:rPr>
        <w:t>导致本基金出现损失致使基金托管人承担连带赔偿责任的，基金管理人应赔偿基金托管人由此遭受的损失。</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（4）基金拟认购的数量、价格、总成本、账面价值。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本基金有关投资流通受限证券比例如违反有关限制规定，在合理期限内未能进行及时调整，基金管理人应在两日内编制临时报告书，予以公告。</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（4）信息披露情况。</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100BE" w:rsidRDefault="009100BE">
      <w:pPr>
        <w:rPr>
          <w:rFonts w:ascii="彩虹粗仿宋" w:eastAsia="彩虹粗仿宋"/>
          <w:sz w:val="24"/>
        </w:rPr>
      </w:pPr>
    </w:p>
    <w:p w:rsidR="009100BE" w:rsidRDefault="00E71C7C">
      <w:pPr>
        <w:pStyle w:val="2"/>
        <w:jc w:val="center"/>
        <w:rPr>
          <w:rFonts w:ascii="彩虹粗仿宋" w:eastAsia="彩虹粗仿宋"/>
          <w:sz w:val="30"/>
        </w:rPr>
      </w:pPr>
      <w:bookmarkStart w:id="7" w:name="_Toc86649722"/>
      <w:bookmarkStart w:id="8" w:name="_Toc86726439"/>
      <w:bookmarkStart w:id="9" w:name="_Toc86737929"/>
      <w:bookmarkStart w:id="10" w:name="_Toc86727355"/>
      <w:bookmarkStart w:id="11" w:name="_Toc118212950"/>
      <w:bookmarkStart w:id="12" w:name="_Toc118972648"/>
      <w:bookmarkStart w:id="13" w:name="_Toc118774803"/>
      <w:bookmarkStart w:id="14" w:name="_Toc124325888"/>
      <w:bookmarkStart w:id="15" w:name="_Toc86223242"/>
      <w:bookmarkStart w:id="16" w:name="_Toc86225291"/>
      <w:bookmarkStart w:id="17" w:name="_Toc108512358"/>
      <w:bookmarkStart w:id="18" w:name="_Toc89163368"/>
      <w:bookmarkStart w:id="19" w:name="_Toc120435783"/>
      <w:bookmarkStart w:id="20" w:name="_Toc110830492"/>
      <w:bookmarkStart w:id="21" w:name="_Toc110765660"/>
      <w:bookmarkStart w:id="22" w:name="_Toc110761796"/>
      <w:bookmarkStart w:id="23" w:name="_Toc119402710"/>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（一）基金管理人对基金托管人履行托管职责情况进行核查，核查事项包括基金托管人安全保管基金财产、开设基金财产的资金账户、证券账户以及投资所</w:t>
      </w:r>
      <w:r>
        <w:rPr>
          <w:rFonts w:ascii="彩虹粗仿宋" w:eastAsia="彩虹粗仿宋" w:hAnsi="宋体" w:cs="Arial" w:hint="eastAsia"/>
          <w:sz w:val="24"/>
        </w:rPr>
        <w:lastRenderedPageBreak/>
        <w:t>需的其他账户、复核基金管理人计算的基金资产净值和各类基金份额净值、根据基金管理人指令办理清算交收、相关信息披露和监督基金投资运作等行为。</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100BE" w:rsidRDefault="009100BE">
      <w:pPr>
        <w:rPr>
          <w:rFonts w:ascii="彩虹粗仿宋" w:eastAsia="彩虹粗仿宋"/>
          <w:sz w:val="24"/>
        </w:rPr>
      </w:pPr>
    </w:p>
    <w:p w:rsidR="009100BE" w:rsidRDefault="00E71C7C">
      <w:pPr>
        <w:pStyle w:val="2"/>
        <w:jc w:val="center"/>
        <w:rPr>
          <w:rFonts w:ascii="彩虹粗仿宋" w:eastAsia="彩虹粗仿宋"/>
          <w:sz w:val="30"/>
        </w:rPr>
      </w:pPr>
      <w:bookmarkStart w:id="24" w:name="_Toc86225292"/>
      <w:bookmarkStart w:id="25" w:name="_Toc118212951"/>
      <w:bookmarkStart w:id="26" w:name="_Toc86726440"/>
      <w:bookmarkStart w:id="27" w:name="_Toc86649723"/>
      <w:bookmarkStart w:id="28" w:name="_Toc110761797"/>
      <w:bookmarkStart w:id="29" w:name="_Toc84133786"/>
      <w:bookmarkStart w:id="30" w:name="_Toc110765661"/>
      <w:bookmarkStart w:id="31" w:name="_Toc89163369"/>
      <w:bookmarkStart w:id="32" w:name="_Toc86727356"/>
      <w:bookmarkStart w:id="33" w:name="_Toc84234435"/>
      <w:bookmarkStart w:id="34" w:name="_Toc120435784"/>
      <w:bookmarkStart w:id="35" w:name="_Toc84234388"/>
      <w:bookmarkStart w:id="36" w:name="_Toc86737930"/>
      <w:bookmarkStart w:id="37" w:name="_Toc110830493"/>
      <w:bookmarkStart w:id="38" w:name="_Toc119402711"/>
      <w:bookmarkStart w:id="39" w:name="_Toc86204789"/>
      <w:bookmarkStart w:id="40" w:name="_Toc108512359"/>
      <w:bookmarkStart w:id="41" w:name="_Toc118972649"/>
      <w:bookmarkStart w:id="42" w:name="_Toc118774804"/>
      <w:bookmarkStart w:id="43" w:name="_Toc86223243"/>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3.基金托管人按照规定开设基金财产的资金账户、证券账户以及投资所需的其他账户。</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2.基金募集期满或基金停止募集时，发起资金的认购金额、发起资金提供方及其承诺的持有期限符合《基金法》、《运作办法》等有关规定后，基金管理人应</w:t>
      </w:r>
      <w:r>
        <w:rPr>
          <w:rFonts w:ascii="彩虹粗仿宋" w:eastAsia="彩虹粗仿宋" w:hAnsi="宋体" w:cs="Arial" w:hint="eastAsia"/>
          <w:sz w:val="24"/>
        </w:rPr>
        <w:lastRenderedPageBreak/>
        <w:t>将属于基金财产的全部资金划入基金托管人开立的基金银行账户，同时在规定时间内，聘请具有从事证券相关业务资格的会计师事务所进行验资，出具验资报告，验资报告需对发起资金的持有人及其持有份额进行专门说明。出具的验资报告由参加验资的2名或2名以上中国注册会计师签字方为有效。</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9100BE" w:rsidRPr="002826BC"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w:t>
      </w:r>
      <w:r w:rsidRPr="002826BC">
        <w:rPr>
          <w:rFonts w:ascii="彩虹粗仿宋" w:eastAsia="彩虹粗仿宋" w:hAnsi="宋体" w:cs="Arial" w:hint="eastAsia"/>
          <w:sz w:val="24"/>
        </w:rPr>
        <w:t>管人签署的《托管银行证券资金结算协议》执行。</w:t>
      </w:r>
    </w:p>
    <w:p w:rsidR="00D8609A" w:rsidRPr="002826BC" w:rsidRDefault="00D8609A">
      <w:pPr>
        <w:adjustRightInd w:val="0"/>
        <w:snapToGrid w:val="0"/>
        <w:ind w:firstLineChars="200" w:firstLine="480"/>
        <w:rPr>
          <w:rFonts w:ascii="彩虹粗仿宋" w:eastAsia="彩虹粗仿宋" w:hAnsi="宋体" w:cs="Arial"/>
          <w:sz w:val="24"/>
        </w:rPr>
      </w:pPr>
      <w:r w:rsidRPr="002826BC">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w:t>
      </w:r>
      <w:proofErr w:type="gramStart"/>
      <w:r w:rsidRPr="002826BC">
        <w:rPr>
          <w:rFonts w:ascii="彩虹粗仿宋" w:eastAsia="彩虹粗仿宋" w:hAnsi="宋体" w:cs="Arial" w:hint="eastAsia"/>
          <w:sz w:val="24"/>
        </w:rPr>
        <w:t>需基金</w:t>
      </w:r>
      <w:proofErr w:type="gramEnd"/>
      <w:r w:rsidRPr="002826BC">
        <w:rPr>
          <w:rFonts w:ascii="彩虹粗仿宋" w:eastAsia="彩虹粗仿宋" w:hAnsi="宋体" w:cs="Arial" w:hint="eastAsia"/>
          <w:sz w:val="24"/>
        </w:rPr>
        <w:t>托管人提供配合的，基金托管人应予以配合。</w:t>
      </w:r>
    </w:p>
    <w:p w:rsidR="009100BE" w:rsidRDefault="00D8609A">
      <w:pPr>
        <w:adjustRightInd w:val="0"/>
        <w:snapToGrid w:val="0"/>
        <w:ind w:firstLineChars="200" w:firstLine="480"/>
        <w:rPr>
          <w:rFonts w:ascii="彩虹粗仿宋" w:eastAsia="彩虹粗仿宋" w:hAnsi="宋体" w:cs="Arial"/>
          <w:sz w:val="24"/>
        </w:rPr>
      </w:pPr>
      <w:r w:rsidRPr="002826BC">
        <w:rPr>
          <w:rFonts w:ascii="彩虹粗仿宋" w:eastAsia="彩虹粗仿宋" w:hAnsi="宋体" w:cs="Arial" w:hint="eastAsia"/>
          <w:sz w:val="24"/>
        </w:rPr>
        <w:t>6</w:t>
      </w:r>
      <w:r w:rsidR="00E71C7C" w:rsidRPr="002826BC">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00E71C7C" w:rsidRPr="002826BC">
        <w:rPr>
          <w:rFonts w:ascii="彩虹粗仿宋" w:eastAsia="彩虹粗仿宋" w:hAnsi="宋体" w:cs="Arial" w:hint="eastAsia"/>
          <w:sz w:val="24"/>
        </w:rPr>
        <w:t>则基金</w:t>
      </w:r>
      <w:proofErr w:type="gramEnd"/>
      <w:r w:rsidR="00E71C7C" w:rsidRPr="002826BC">
        <w:rPr>
          <w:rFonts w:ascii="彩虹粗仿宋" w:eastAsia="彩虹粗仿宋" w:hAnsi="宋体" w:cs="Arial" w:hint="eastAsia"/>
          <w:sz w:val="24"/>
        </w:rPr>
        <w:t>托管人比照上述关于账户开立、使用的规</w:t>
      </w:r>
      <w:r w:rsidR="00E71C7C">
        <w:rPr>
          <w:rFonts w:ascii="彩虹粗仿宋" w:eastAsia="彩虹粗仿宋" w:hAnsi="宋体" w:cs="Arial" w:hint="eastAsia"/>
          <w:sz w:val="24"/>
        </w:rPr>
        <w:t>定执行。</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w:t>
      </w:r>
      <w:r>
        <w:rPr>
          <w:rFonts w:ascii="彩虹粗仿宋" w:eastAsia="彩虹粗仿宋" w:hAnsi="宋体" w:cs="Arial" w:hint="eastAsia"/>
          <w:sz w:val="24"/>
        </w:rPr>
        <w:lastRenderedPageBreak/>
        <w:t>协议。</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9100BE" w:rsidRDefault="00E71C7C">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9100BE" w:rsidRDefault="00E71C7C">
      <w:pPr>
        <w:adjustRightInd w:val="0"/>
        <w:snapToGrid w:val="0"/>
        <w:ind w:firstLineChars="200" w:firstLine="480"/>
        <w:rPr>
          <w:rFonts w:ascii="彩虹粗仿宋" w:eastAsia="彩虹粗仿宋" w:hAnsi="宋体" w:cs="Arial"/>
          <w:sz w:val="24"/>
          <w:shd w:val="pct10" w:color="auto" w:fill="FFFFFF"/>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rsidR="009100BE" w:rsidRDefault="00E71C7C">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对于无法取得二份以上的正本的，基金管理人应向基金托管人提供加盖授权业务章的合同复印件或传真件，未经双方协商或未在合同约定范围内，合同原件不得转移。</w:t>
      </w:r>
    </w:p>
    <w:p w:rsidR="009100BE" w:rsidRDefault="00E71C7C">
      <w:pPr>
        <w:pStyle w:val="2"/>
        <w:jc w:val="center"/>
        <w:rPr>
          <w:rFonts w:ascii="彩虹粗仿宋" w:eastAsia="彩虹粗仿宋"/>
          <w:sz w:val="30"/>
        </w:rPr>
      </w:pPr>
      <w:bookmarkStart w:id="45" w:name="_Toc124325890"/>
      <w:bookmarkStart w:id="46" w:name="_Toc86727357"/>
      <w:bookmarkStart w:id="47" w:name="_Toc120435785"/>
      <w:bookmarkStart w:id="48" w:name="_Toc110830494"/>
      <w:bookmarkStart w:id="49" w:name="_Toc118972650"/>
      <w:bookmarkStart w:id="50" w:name="_Toc84234436"/>
      <w:bookmarkStart w:id="51" w:name="_Toc86649724"/>
      <w:bookmarkStart w:id="52" w:name="_Toc118774805"/>
      <w:bookmarkStart w:id="53" w:name="_Toc86726441"/>
      <w:bookmarkStart w:id="54" w:name="_Toc108512360"/>
      <w:bookmarkStart w:id="55" w:name="_Toc86223244"/>
      <w:bookmarkStart w:id="56" w:name="_Toc84133787"/>
      <w:bookmarkStart w:id="57" w:name="_Toc84234389"/>
      <w:bookmarkStart w:id="58" w:name="_Toc119402712"/>
      <w:bookmarkStart w:id="59" w:name="_Toc110765662"/>
      <w:bookmarkStart w:id="60" w:name="_Toc86737931"/>
      <w:bookmarkStart w:id="61" w:name="_Toc86225293"/>
      <w:bookmarkStart w:id="62" w:name="_Toc86204790"/>
      <w:bookmarkStart w:id="63" w:name="_Toc110761798"/>
      <w:bookmarkStart w:id="64" w:name="_Toc118212952"/>
      <w:bookmarkStart w:id="65" w:name="_Toc8916337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2.基金管理人发给基金托管人的指令应写明款项事由、支付时间、到账时间、金额、账户等，加盖预留印鉴并由被授权人签字。</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基金管理人发送指令应采用传真方式或双方协商一致的其他方式。</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9100BE" w:rsidRDefault="00E71C7C">
      <w:pPr>
        <w:pStyle w:val="a7"/>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且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w:t>
      </w:r>
      <w:r w:rsidRPr="002826BC">
        <w:rPr>
          <w:rFonts w:ascii="彩虹粗仿宋" w:eastAsia="彩虹粗仿宋" w:hAnsi="宋体" w:cs="Arial" w:hint="eastAsia"/>
          <w:szCs w:val="24"/>
        </w:rPr>
        <w:t>偿在</w:t>
      </w:r>
      <w:r w:rsidR="00D8609A" w:rsidRPr="002826BC">
        <w:rPr>
          <w:rFonts w:ascii="彩虹粗仿宋" w:eastAsia="彩虹粗仿宋" w:hAnsi="宋体" w:cs="Arial" w:hint="eastAsia"/>
          <w:szCs w:val="24"/>
        </w:rPr>
        <w:t>该</w:t>
      </w:r>
      <w:r w:rsidRPr="002826BC">
        <w:rPr>
          <w:rFonts w:ascii="彩虹粗仿宋" w:eastAsia="彩虹粗仿宋" w:hAnsi="宋体" w:cs="Arial" w:hint="eastAsia"/>
          <w:szCs w:val="24"/>
        </w:rPr>
        <w:t>市场引</w:t>
      </w:r>
      <w:bookmarkStart w:id="66" w:name="_GoBack"/>
      <w:bookmarkEnd w:id="66"/>
      <w:r>
        <w:rPr>
          <w:rFonts w:ascii="彩虹粗仿宋" w:eastAsia="彩虹粗仿宋" w:hAnsi="宋体" w:cs="Arial" w:hint="eastAsia"/>
          <w:szCs w:val="24"/>
        </w:rPr>
        <w:t>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9100BE" w:rsidRDefault="00E71C7C">
      <w:pPr>
        <w:pStyle w:val="a7"/>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9100BE" w:rsidRDefault="00E71C7C">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w:t>
      </w:r>
      <w:r>
        <w:rPr>
          <w:rFonts w:ascii="彩虹粗仿宋" w:eastAsia="彩虹粗仿宋" w:hAnsi="宋体" w:cs="Arial" w:hint="eastAsia"/>
          <w:sz w:val="24"/>
        </w:rPr>
        <w:lastRenderedPageBreak/>
        <w:t>约定的，应当拒绝执行，立即通知基金管理人。</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基金托管人由于自身原因，未按照基金管理人发送的指令执行并对基金财产或投资人造成的直接损失，由基金托管人</w:t>
      </w:r>
      <w:r>
        <w:rPr>
          <w:rFonts w:ascii="彩虹粗仿宋" w:eastAsia="彩虹粗仿宋" w:hint="eastAsia"/>
          <w:sz w:val="24"/>
        </w:rPr>
        <w:t>赔偿由此造成的直接损失。</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基金托管人更换接收基金管理人指令的人员，应提前通过录音电话通知基金管理人。</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9100BE" w:rsidRDefault="009100BE">
      <w:pPr>
        <w:adjustRightInd w:val="0"/>
        <w:snapToGrid w:val="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67" w:name="_Toc89163371"/>
      <w:bookmarkStart w:id="68" w:name="_Toc86727358"/>
      <w:bookmarkStart w:id="69" w:name="_Toc86223245"/>
      <w:bookmarkStart w:id="70" w:name="_Toc118774806"/>
      <w:bookmarkStart w:id="71" w:name="_Toc110765663"/>
      <w:bookmarkStart w:id="72" w:name="_Toc118972651"/>
      <w:bookmarkStart w:id="73" w:name="_Toc84234390"/>
      <w:bookmarkStart w:id="74" w:name="_Toc120435786"/>
      <w:bookmarkStart w:id="75" w:name="_Toc110830495"/>
      <w:bookmarkStart w:id="76" w:name="_Toc86737932"/>
      <w:bookmarkStart w:id="77" w:name="_Toc108512361"/>
      <w:bookmarkStart w:id="78" w:name="_Toc124325891"/>
      <w:bookmarkStart w:id="79" w:name="_Toc84234437"/>
      <w:bookmarkStart w:id="80" w:name="_Toc86726442"/>
      <w:bookmarkStart w:id="81" w:name="_Toc118212953"/>
      <w:bookmarkStart w:id="82" w:name="_Toc86225294"/>
      <w:bookmarkStart w:id="83" w:name="_Toc110761799"/>
      <w:bookmarkStart w:id="84" w:name="_Toc119402713"/>
      <w:bookmarkStart w:id="85" w:name="_Toc86204791"/>
      <w:bookmarkStart w:id="86" w:name="_Toc86649725"/>
      <w:bookmarkStart w:id="87" w:name="_Toc84133788"/>
      <w:r>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基金管理人负责选择代理本基金期货交易的期货经纪机构，并与其签订期货经纪合同。其他事宜根据法律法规、《基金合同》的相关规定执行，若无明确规定的，可参照有关证券买卖、证券经纪机构选择的规则执行。</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9100BE" w:rsidRDefault="00E71C7C">
      <w:pPr>
        <w:adjustRightInd w:val="0"/>
        <w:snapToGrid w:val="0"/>
        <w:ind w:firstLine="480"/>
        <w:rPr>
          <w:rFonts w:ascii="彩虹粗仿宋" w:eastAsia="彩虹粗仿宋"/>
          <w:sz w:val="24"/>
        </w:rPr>
      </w:pPr>
      <w:r>
        <w:rPr>
          <w:rFonts w:ascii="彩虹粗仿宋" w:eastAsia="彩虹粗仿宋" w:hint="eastAsia"/>
          <w:sz w:val="24"/>
        </w:rPr>
        <w:t>基金</w:t>
      </w:r>
      <w:r>
        <w:rPr>
          <w:rFonts w:ascii="彩虹粗仿宋" w:eastAsia="彩虹粗仿宋" w:hAnsi="宋体" w:cs="Arial" w:hint="eastAsia"/>
          <w:sz w:val="24"/>
        </w:rPr>
        <w:t>管理</w:t>
      </w:r>
      <w:r>
        <w:rPr>
          <w:rFonts w:ascii="彩虹粗仿宋" w:eastAsia="彩虹粗仿宋" w:hint="eastAsia"/>
          <w:sz w:val="24"/>
        </w:rPr>
        <w:t>人与基金托管人应根据有关法律法规及相关业务规则，签订《托管银行证券资金结算协议》，用以具体明确基金管理人与基金托管人在证券交易资金结算业务中的责任。</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w:t>
      </w:r>
      <w:r>
        <w:rPr>
          <w:rFonts w:ascii="彩虹粗仿宋" w:eastAsia="彩虹粗仿宋" w:hint="eastAsia"/>
          <w:sz w:val="24"/>
        </w:rPr>
        <w:lastRenderedPageBreak/>
        <w:t>需的现金头寸。</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9100BE" w:rsidRDefault="00E71C7C">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Pr>
          <w:rFonts w:ascii="彩虹粗仿宋" w:eastAsia="彩虹粗仿宋" w:hAnsi="宋体" w:cs="Arial" w:hint="eastAsia"/>
          <w:sz w:val="24"/>
        </w:rPr>
        <w:t>末最后</w:t>
      </w:r>
      <w:proofErr w:type="gramEnd"/>
      <w:r>
        <w:rPr>
          <w:rFonts w:ascii="彩虹粗仿宋" w:eastAsia="彩虹粗仿宋" w:hAnsi="宋体" w:cs="Arial" w:hint="eastAsia"/>
          <w:sz w:val="24"/>
        </w:rPr>
        <w:t>一个交易日</w:t>
      </w:r>
      <w:proofErr w:type="gramStart"/>
      <w:r>
        <w:rPr>
          <w:rFonts w:ascii="彩虹粗仿宋" w:eastAsia="彩虹粗仿宋" w:hAnsi="宋体" w:cs="Arial" w:hint="eastAsia"/>
          <w:sz w:val="24"/>
        </w:rPr>
        <w:t>核对非</w:t>
      </w:r>
      <w:proofErr w:type="gramEnd"/>
      <w:r>
        <w:rPr>
          <w:rFonts w:ascii="彩虹粗仿宋" w:eastAsia="彩虹粗仿宋" w:hAnsi="宋体" w:cs="Arial" w:hint="eastAsia"/>
          <w:sz w:val="24"/>
        </w:rPr>
        <w:t>交易所场内的证券账目。</w:t>
      </w:r>
    </w:p>
    <w:p w:rsidR="009100BE" w:rsidRDefault="00E71C7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1.基金份额申购、赎回的确认、清算由基金管理人或其委托的注册登记机构负责。</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3.基金管理人应保证本基金（或本基金管理人委托）的注册登记机构每个工</w:t>
      </w:r>
      <w:r>
        <w:rPr>
          <w:rFonts w:ascii="彩虹粗仿宋" w:eastAsia="彩虹粗仿宋" w:hAnsi="宋体" w:cs="Arial" w:hint="eastAsia"/>
          <w:sz w:val="24"/>
        </w:rPr>
        <w:lastRenderedPageBreak/>
        <w:t>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rsidR="009100BE" w:rsidRDefault="00E71C7C">
      <w:pPr>
        <w:autoSpaceDE w:val="0"/>
        <w:autoSpaceDN w:val="0"/>
        <w:adjustRightInd w:val="0"/>
        <w:ind w:firstLineChars="200" w:firstLine="480"/>
        <w:jc w:val="left"/>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w:t>
      </w:r>
      <w:r>
        <w:rPr>
          <w:rFonts w:ascii="彩虹粗仿宋" w:eastAsia="彩虹粗仿宋" w:hAnsi="宋体" w:cs="Arial"/>
          <w:sz w:val="24"/>
        </w:rPr>
        <w:t xml:space="preserve">(T </w:t>
      </w:r>
      <w:r>
        <w:rPr>
          <w:rFonts w:ascii="彩虹粗仿宋" w:eastAsia="彩虹粗仿宋" w:hAnsi="宋体" w:cs="Arial" w:hint="eastAsia"/>
          <w:sz w:val="24"/>
        </w:rPr>
        <w:t>日：资金交收日，下同</w:t>
      </w:r>
      <w:r>
        <w:rPr>
          <w:rFonts w:ascii="彩虹粗仿宋" w:eastAsia="彩虹粗仿宋" w:hAnsi="宋体" w:cs="Arial"/>
          <w:sz w:val="24"/>
        </w:rPr>
        <w:t xml:space="preserve">) </w:t>
      </w:r>
      <w:r>
        <w:rPr>
          <w:rFonts w:ascii="彩虹粗仿宋" w:eastAsia="彩虹粗仿宋" w:hAnsi="宋体" w:cs="Arial" w:hint="eastAsia"/>
          <w:sz w:val="24"/>
        </w:rPr>
        <w:t>按照托管账户应收资金</w:t>
      </w:r>
      <w:r>
        <w:rPr>
          <w:rFonts w:ascii="彩虹粗仿宋" w:eastAsia="彩虹粗仿宋" w:hAnsi="宋体" w:cs="Arial"/>
          <w:sz w:val="24"/>
        </w:rPr>
        <w:t>(T-2日申购申请对应申购金额与T-3日基金转换</w:t>
      </w:r>
      <w:proofErr w:type="gramStart"/>
      <w:r>
        <w:rPr>
          <w:rFonts w:ascii="彩虹粗仿宋" w:eastAsia="彩虹粗仿宋" w:hAnsi="宋体" w:cs="Arial" w:hint="eastAsia"/>
          <w:sz w:val="24"/>
        </w:rPr>
        <w:t>入申请</w:t>
      </w:r>
      <w:proofErr w:type="gramEnd"/>
      <w:r>
        <w:rPr>
          <w:rFonts w:ascii="彩虹粗仿宋" w:eastAsia="彩虹粗仿宋" w:hAnsi="宋体" w:cs="Arial" w:hint="eastAsia"/>
          <w:sz w:val="24"/>
        </w:rPr>
        <w:t>对应金额之和</w:t>
      </w:r>
      <w:r>
        <w:rPr>
          <w:rFonts w:ascii="彩虹粗仿宋" w:eastAsia="彩虹粗仿宋" w:hAnsi="宋体" w:cs="Arial"/>
          <w:sz w:val="24"/>
        </w:rPr>
        <w:t>)</w:t>
      </w:r>
      <w:r>
        <w:rPr>
          <w:rFonts w:ascii="彩虹粗仿宋" w:eastAsia="彩虹粗仿宋" w:hAnsi="宋体" w:cs="Arial" w:hint="eastAsia"/>
          <w:sz w:val="24"/>
        </w:rPr>
        <w:t>与应付资金</w:t>
      </w:r>
      <w:r>
        <w:rPr>
          <w:rFonts w:ascii="彩虹粗仿宋" w:eastAsia="彩虹粗仿宋" w:hAnsi="宋体" w:cs="Arial"/>
          <w:sz w:val="24"/>
        </w:rPr>
        <w:t>(T-3日赎回申请对应赎回金额与T-3日基金转换出申请对应金额之和)</w:t>
      </w:r>
      <w:r>
        <w:rPr>
          <w:rFonts w:ascii="彩虹粗仿宋" w:eastAsia="彩虹粗仿宋" w:hAnsi="宋体" w:cs="Arial" w:hint="eastAsia"/>
          <w:sz w:val="24"/>
        </w:rPr>
        <w:t>的差额来确定托管账户净应收额或净应付额，以此确定资金交收额。当存在托管账户净应收额时，基金管理人应在</w:t>
      </w:r>
      <w:r>
        <w:rPr>
          <w:rFonts w:ascii="彩虹粗仿宋" w:eastAsia="彩虹粗仿宋" w:hAnsi="宋体" w:cs="Arial"/>
          <w:sz w:val="24"/>
        </w:rPr>
        <w:t xml:space="preserve">T </w:t>
      </w:r>
      <w:r>
        <w:rPr>
          <w:rFonts w:ascii="彩虹粗仿宋" w:eastAsia="彩虹粗仿宋" w:hAnsi="宋体" w:cs="Arial" w:hint="eastAsia"/>
          <w:sz w:val="24"/>
        </w:rPr>
        <w:t>日</w:t>
      </w:r>
      <w:r>
        <w:rPr>
          <w:rFonts w:ascii="彩虹粗仿宋" w:eastAsia="彩虹粗仿宋" w:hAnsi="宋体" w:cs="Arial"/>
          <w:sz w:val="24"/>
        </w:rPr>
        <w:t xml:space="preserve">15:00 </w:t>
      </w:r>
      <w:r>
        <w:rPr>
          <w:rFonts w:ascii="彩虹粗仿宋" w:eastAsia="彩虹粗仿宋" w:hAnsi="宋体" w:cs="Arial" w:hint="eastAsia"/>
          <w:sz w:val="24"/>
        </w:rPr>
        <w:t>之前从基金清算账户划到基金托管账户；；当存在托管账户净应付额时，基金管理人应在</w:t>
      </w:r>
      <w:r>
        <w:rPr>
          <w:rFonts w:ascii="彩虹粗仿宋" w:eastAsia="彩虹粗仿宋" w:hAnsi="宋体" w:cs="Arial"/>
          <w:sz w:val="24"/>
        </w:rPr>
        <w:t>T</w:t>
      </w:r>
      <w:r>
        <w:rPr>
          <w:rFonts w:ascii="彩虹粗仿宋" w:eastAsia="彩虹粗仿宋" w:hAnsi="宋体" w:cs="Arial" w:hint="eastAsia"/>
          <w:sz w:val="24"/>
        </w:rPr>
        <w:t>-1</w:t>
      </w:r>
      <w:r>
        <w:rPr>
          <w:rFonts w:ascii="彩虹粗仿宋" w:eastAsia="彩虹粗仿宋" w:hAnsi="宋体" w:cs="Arial"/>
          <w:sz w:val="24"/>
        </w:rPr>
        <w:t xml:space="preserve"> </w:t>
      </w:r>
      <w:r>
        <w:rPr>
          <w:rFonts w:ascii="彩虹粗仿宋" w:eastAsia="彩虹粗仿宋" w:hAnsi="宋体" w:cs="Arial" w:hint="eastAsia"/>
          <w:sz w:val="24"/>
        </w:rPr>
        <w:t>日将划款指令发送给基金托管人，基金托管人按基金管理人的划款指令将托管账户净应付额在</w:t>
      </w:r>
      <w:r>
        <w:rPr>
          <w:rFonts w:ascii="彩虹粗仿宋" w:eastAsia="彩虹粗仿宋" w:hAnsi="宋体" w:cs="Arial"/>
          <w:sz w:val="24"/>
        </w:rPr>
        <w:t xml:space="preserve">T </w:t>
      </w:r>
      <w:r>
        <w:rPr>
          <w:rFonts w:ascii="彩虹粗仿宋" w:eastAsia="彩虹粗仿宋" w:hAnsi="宋体" w:cs="Arial" w:hint="eastAsia"/>
          <w:sz w:val="24"/>
        </w:rPr>
        <w:t>日</w:t>
      </w:r>
      <w:r>
        <w:rPr>
          <w:rFonts w:ascii="彩虹粗仿宋" w:eastAsia="彩虹粗仿宋" w:hAnsi="宋体" w:cs="Arial"/>
          <w:sz w:val="24"/>
        </w:rPr>
        <w:t xml:space="preserve">12:00 </w:t>
      </w:r>
      <w:r>
        <w:rPr>
          <w:rFonts w:ascii="彩虹粗仿宋" w:eastAsia="彩虹粗仿宋" w:hAnsi="宋体" w:cs="Arial" w:hint="eastAsia"/>
          <w:sz w:val="24"/>
        </w:rPr>
        <w:t>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rsidR="009100BE" w:rsidRDefault="00E71C7C">
      <w:pPr>
        <w:autoSpaceDE w:val="0"/>
        <w:autoSpaceDN w:val="0"/>
        <w:adjustRightInd w:val="0"/>
        <w:ind w:firstLineChars="200" w:firstLine="480"/>
        <w:jc w:val="left"/>
        <w:rPr>
          <w:rFonts w:ascii="彩虹粗仿宋" w:eastAsia="彩虹粗仿宋" w:hAnsi="宋体" w:cs="Arial"/>
          <w:sz w:val="24"/>
        </w:rPr>
      </w:pPr>
      <w:r>
        <w:rPr>
          <w:rFonts w:ascii="彩虹粗仿宋" w:eastAsia="彩虹粗仿宋" w:hAnsi="宋体" w:cs="Arial" w:hint="eastAsia"/>
          <w:sz w:val="24"/>
        </w:rPr>
        <w:t>当存在托管账户净应付额时，如基金银行账户有足够的资金，基金托管人应按时拨付；因基金银行账户没有足够的资金，导致基金托管人不能按时拨付，如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在发生巨额赎回或《基金合同》载明的其他暂停赎回或延缓支付赎回款项的情形时，款项的支付办法按照《基金合同》有关条款处理。</w:t>
      </w:r>
    </w:p>
    <w:p w:rsidR="009100BE" w:rsidRDefault="00E71C7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9100BE" w:rsidRDefault="00E71C7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rsidR="009100BE" w:rsidRDefault="00E71C7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lastRenderedPageBreak/>
        <w:t>3.本基金开展基金转换业务应按相关法律法规规定及《基金合同》的约定进行公告。</w:t>
      </w:r>
    </w:p>
    <w:p w:rsidR="009100BE" w:rsidRDefault="00E71C7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w:t>
      </w:r>
      <w:r>
        <w:rPr>
          <w:rFonts w:ascii="彩虹粗仿宋" w:eastAsia="彩虹粗仿宋" w:hAnsi="宋体" w:cs="Arial"/>
          <w:sz w:val="24"/>
        </w:rPr>
        <w:t>）</w:t>
      </w:r>
      <w:r>
        <w:rPr>
          <w:rFonts w:ascii="彩虹粗仿宋" w:eastAsia="彩虹粗仿宋" w:hAnsi="宋体" w:cs="Arial" w:hint="eastAsia"/>
          <w:sz w:val="24"/>
        </w:rPr>
        <w:t>基金现金分红</w:t>
      </w:r>
    </w:p>
    <w:p w:rsidR="009100BE" w:rsidRDefault="00E71C7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1.基金管理人确定分红方案通知基金托管人，双方核定后依照《信息披露办法》的有关规定在中国证监会指定媒介上公告并报中国证监会备案。</w:t>
      </w:r>
    </w:p>
    <w:p w:rsidR="009100BE" w:rsidRDefault="00E71C7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100BE" w:rsidRDefault="00E71C7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9100BE" w:rsidRDefault="00E71C7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（七）投资银行存款的特别约定</w:t>
      </w:r>
    </w:p>
    <w:p w:rsidR="009100BE" w:rsidRDefault="00E71C7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9100BE" w:rsidRDefault="00E71C7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rsidR="009100BE" w:rsidRDefault="00E71C7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9100BE" w:rsidRDefault="00E71C7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9100BE" w:rsidRDefault="00E71C7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9100BE" w:rsidRDefault="00E71C7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9100BE" w:rsidRDefault="00E71C7C">
      <w:pPr>
        <w:adjustRightInd w:val="0"/>
        <w:snapToGrid w:val="0"/>
        <w:ind w:firstLine="482"/>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100BE" w:rsidRDefault="00E71C7C">
      <w:pPr>
        <w:pStyle w:val="2"/>
        <w:jc w:val="center"/>
        <w:rPr>
          <w:rFonts w:ascii="彩虹粗仿宋" w:eastAsia="彩虹粗仿宋"/>
          <w:sz w:val="30"/>
        </w:rPr>
      </w:pPr>
      <w:bookmarkStart w:id="88" w:name="_Toc124325892"/>
      <w:r>
        <w:rPr>
          <w:rFonts w:ascii="彩虹粗仿宋" w:eastAsia="彩虹粗仿宋" w:hint="eastAsia"/>
          <w:sz w:val="30"/>
        </w:rPr>
        <w:t xml:space="preserve"> 八、基金资产净值计算和会计核算</w:t>
      </w:r>
      <w:bookmarkEnd w:id="88"/>
    </w:p>
    <w:p w:rsidR="009100BE" w:rsidRDefault="00E71C7C">
      <w:pPr>
        <w:autoSpaceDE w:val="0"/>
        <w:autoSpaceDN w:val="0"/>
        <w:adjustRightInd w:val="0"/>
        <w:ind w:firstLineChars="200" w:firstLine="480"/>
        <w:jc w:val="left"/>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9100BE" w:rsidRDefault="00E71C7C">
      <w:pPr>
        <w:autoSpaceDE w:val="0"/>
        <w:autoSpaceDN w:val="0"/>
        <w:adjustRightInd w:val="0"/>
        <w:jc w:val="left"/>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1.基金资产净值是指基金资产总值减去负债后的金额。各类基金份额净值是按照每个工作日闭市后，该类基金资产净值除以当日该类基金份额的余额数量计算，精确到0.0001 元，小数点后第五位四舍五入。国家另有规定的，从其规定。</w:t>
      </w:r>
    </w:p>
    <w:p w:rsidR="009100BE" w:rsidRDefault="00E71C7C">
      <w:pPr>
        <w:autoSpaceDE w:val="0"/>
        <w:autoSpaceDN w:val="0"/>
        <w:adjustRightInd w:val="0"/>
        <w:ind w:firstLineChars="200" w:firstLine="480"/>
        <w:jc w:val="left"/>
        <w:rPr>
          <w:rFonts w:ascii="彩虹粗仿宋" w:eastAsia="彩虹粗仿宋" w:hAnsi="宋体" w:cs="Arial"/>
          <w:sz w:val="24"/>
        </w:rPr>
      </w:pPr>
      <w:r>
        <w:rPr>
          <w:rFonts w:ascii="彩虹粗仿宋" w:eastAsia="彩虹粗仿宋" w:hAnsi="宋体" w:cs="Arial" w:hint="eastAsia"/>
          <w:sz w:val="24"/>
        </w:rPr>
        <w:t>基金管理人每个工作日计算基金资产净值及各类基金份额净值，并按规定公告。</w:t>
      </w:r>
    </w:p>
    <w:p w:rsidR="009100BE" w:rsidRDefault="00E71C7C">
      <w:pPr>
        <w:autoSpaceDE w:val="0"/>
        <w:autoSpaceDN w:val="0"/>
        <w:adjustRightInd w:val="0"/>
        <w:ind w:firstLineChars="200" w:firstLine="480"/>
        <w:jc w:val="left"/>
        <w:rPr>
          <w:rFonts w:ascii="彩虹粗仿宋" w:eastAsia="彩虹粗仿宋" w:hAnsi="宋体" w:cs="Arial"/>
          <w:sz w:val="24"/>
        </w:rPr>
      </w:pPr>
      <w:r>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各类基金份额净值结果发送基金托管人，经基金托管人复核无误后，由基金管理人对外公布。</w:t>
      </w:r>
    </w:p>
    <w:p w:rsidR="009100BE" w:rsidRDefault="00E71C7C">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基金所拥有的股票、债券、权证、股指期货合约、国债期货合约和银行存款</w:t>
      </w:r>
      <w:r>
        <w:rPr>
          <w:rFonts w:ascii="彩虹粗仿宋" w:eastAsia="彩虹粗仿宋" w:hAnsi="宋体" w:cs="Arial" w:hint="eastAsia"/>
          <w:sz w:val="24"/>
        </w:rPr>
        <w:lastRenderedPageBreak/>
        <w:t>本息、应收款项、其它投资等资产及负债。</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②交易所上市交易或挂牌转让的固定收益品种（基金合同另有规定的除外），选取估值日第三方估值机构提供的相应品种对应的估值净价估值；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交易所上市实行全价交易的债券（可转债除外），选取第三方估值机构提供的估值全价减去估值全价中所含的债券（税后）应收利息得到的净价进行估值。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对在交易所市场发行未上市或未挂牌转让的有价证券，对存在活跃市场的情况下，应以活跃市场上未经调整的报价作为计量日的公允价值进行估值；对于活跃市场报价未能代表计量日公允价值的情况下，应对市场报价进行调整，确认计量日的公允价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fldChar w:fldCharType="begin"/>
      </w:r>
      <w:r>
        <w:rPr>
          <w:rFonts w:ascii="彩虹粗仿宋" w:eastAsia="彩虹粗仿宋" w:hAnsi="宋体" w:cs="Arial"/>
          <w:sz w:val="24"/>
        </w:rPr>
        <w:instrText xml:space="preserve"> </w:instrText>
      </w:r>
      <w:r>
        <w:rPr>
          <w:rFonts w:ascii="彩虹粗仿宋" w:eastAsia="彩虹粗仿宋" w:hAnsi="宋体" w:cs="Arial" w:hint="eastAsia"/>
          <w:sz w:val="24"/>
        </w:rPr>
        <w:instrText>= 5 \* GB3</w:instrText>
      </w:r>
      <w:r>
        <w:rPr>
          <w:rFonts w:ascii="彩虹粗仿宋" w:eastAsia="彩虹粗仿宋" w:hAnsi="宋体" w:cs="Arial"/>
          <w:sz w:val="24"/>
        </w:rPr>
        <w:instrText xml:space="preserve"> </w:instrText>
      </w:r>
      <w:r>
        <w:rPr>
          <w:rFonts w:ascii="彩虹粗仿宋" w:eastAsia="彩虹粗仿宋" w:hAnsi="宋体" w:cs="Arial"/>
          <w:sz w:val="24"/>
        </w:rPr>
        <w:fldChar w:fldCharType="separate"/>
      </w:r>
      <w:r>
        <w:rPr>
          <w:rFonts w:ascii="彩虹粗仿宋" w:eastAsia="彩虹粗仿宋" w:hAnsi="宋体" w:cs="Arial" w:hint="eastAsia"/>
          <w:sz w:val="24"/>
        </w:rPr>
        <w:t>⑤</w:t>
      </w:r>
      <w:r>
        <w:rPr>
          <w:rFonts w:ascii="彩虹粗仿宋" w:eastAsia="彩虹粗仿宋" w:hAnsi="宋体" w:cs="Arial"/>
          <w:sz w:val="24"/>
        </w:rPr>
        <w:fldChar w:fldCharType="end"/>
      </w:r>
      <w:r>
        <w:rPr>
          <w:rFonts w:ascii="彩虹粗仿宋" w:eastAsia="彩虹粗仿宋" w:hAnsi="宋体"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fldChar w:fldCharType="begin"/>
      </w:r>
      <w:r>
        <w:rPr>
          <w:rFonts w:ascii="彩虹粗仿宋" w:eastAsia="彩虹粗仿宋" w:hAnsi="宋体" w:cs="Arial"/>
          <w:sz w:val="24"/>
        </w:rPr>
        <w:instrText xml:space="preserve"> </w:instrText>
      </w:r>
      <w:r>
        <w:rPr>
          <w:rFonts w:ascii="彩虹粗仿宋" w:eastAsia="彩虹粗仿宋" w:hAnsi="宋体" w:cs="Arial" w:hint="eastAsia"/>
          <w:sz w:val="24"/>
        </w:rPr>
        <w:instrText>= 1 \* GB3</w:instrText>
      </w:r>
      <w:r>
        <w:rPr>
          <w:rFonts w:ascii="彩虹粗仿宋" w:eastAsia="彩虹粗仿宋" w:hAnsi="宋体" w:cs="Arial"/>
          <w:sz w:val="24"/>
        </w:rPr>
        <w:instrText xml:space="preserve"> </w:instrText>
      </w:r>
      <w:r>
        <w:rPr>
          <w:rFonts w:ascii="彩虹粗仿宋" w:eastAsia="彩虹粗仿宋" w:hAnsi="宋体" w:cs="Arial"/>
          <w:sz w:val="24"/>
        </w:rPr>
        <w:fldChar w:fldCharType="separate"/>
      </w:r>
      <w:r>
        <w:rPr>
          <w:rFonts w:ascii="彩虹粗仿宋" w:eastAsia="彩虹粗仿宋" w:hAnsi="宋体" w:cs="Arial" w:hint="eastAsia"/>
          <w:sz w:val="24"/>
        </w:rPr>
        <w:t>①</w:t>
      </w:r>
      <w:r>
        <w:rPr>
          <w:rFonts w:ascii="彩虹粗仿宋" w:eastAsia="彩虹粗仿宋" w:hAnsi="宋体" w:cs="Arial"/>
          <w:sz w:val="24"/>
        </w:rPr>
        <w:fldChar w:fldCharType="end"/>
      </w:r>
      <w:r>
        <w:rPr>
          <w:rFonts w:ascii="彩虹粗仿宋" w:eastAsia="彩虹粗仿宋" w:hAnsi="宋体" w:cs="Arial" w:hint="eastAsia"/>
          <w:sz w:val="24"/>
        </w:rPr>
        <w:t>送股、转增股、配股和公开增发的股票，按估值日在证券交易所挂牌的同一股票的估值方法估值；该日无交易的，以最近一日的市价（收盘价）估值；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fldChar w:fldCharType="begin"/>
      </w:r>
      <w:r>
        <w:rPr>
          <w:rFonts w:ascii="彩虹粗仿宋" w:eastAsia="彩虹粗仿宋" w:hAnsi="宋体" w:cs="Arial"/>
          <w:sz w:val="24"/>
        </w:rPr>
        <w:instrText xml:space="preserve"> </w:instrText>
      </w:r>
      <w:r>
        <w:rPr>
          <w:rFonts w:ascii="彩虹粗仿宋" w:eastAsia="彩虹粗仿宋" w:hAnsi="宋体" w:cs="Arial" w:hint="eastAsia"/>
          <w:sz w:val="24"/>
        </w:rPr>
        <w:instrText>= 2 \* GB3</w:instrText>
      </w:r>
      <w:r>
        <w:rPr>
          <w:rFonts w:ascii="彩虹粗仿宋" w:eastAsia="彩虹粗仿宋" w:hAnsi="宋体" w:cs="Arial"/>
          <w:sz w:val="24"/>
        </w:rPr>
        <w:instrText xml:space="preserve"> </w:instrText>
      </w:r>
      <w:r>
        <w:rPr>
          <w:rFonts w:ascii="彩虹粗仿宋" w:eastAsia="彩虹粗仿宋" w:hAnsi="宋体" w:cs="Arial"/>
          <w:sz w:val="24"/>
        </w:rPr>
        <w:fldChar w:fldCharType="separate"/>
      </w:r>
      <w:r>
        <w:rPr>
          <w:rFonts w:ascii="彩虹粗仿宋" w:eastAsia="彩虹粗仿宋" w:hAnsi="宋体" w:cs="Arial" w:hint="eastAsia"/>
          <w:sz w:val="24"/>
        </w:rPr>
        <w:t>②</w:t>
      </w:r>
      <w:r>
        <w:rPr>
          <w:rFonts w:ascii="彩虹粗仿宋" w:eastAsia="彩虹粗仿宋" w:hAnsi="宋体" w:cs="Arial"/>
          <w:sz w:val="24"/>
        </w:rPr>
        <w:fldChar w:fldCharType="end"/>
      </w:r>
      <w:r>
        <w:rPr>
          <w:rFonts w:ascii="彩虹粗仿宋" w:eastAsia="彩虹粗仿宋" w:hAnsi="宋体" w:cs="Arial" w:hint="eastAsia"/>
          <w:sz w:val="24"/>
        </w:rPr>
        <w:t>首次公开发行未上市的股票、债券，采用估值技术确定公允价值，在估值技术难以可靠计量公允价值的情况下，按成本估值；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全国银行间债券市场交易的债券、资产支持证券等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按成本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（4）同一债券同时在两个或两个以上市场交易的，按债券所处的市场分别估值。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（5）投资证券衍生品的估值方法</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fldChar w:fldCharType="begin"/>
      </w:r>
      <w:r>
        <w:rPr>
          <w:rFonts w:ascii="彩虹粗仿宋" w:eastAsia="彩虹粗仿宋" w:hAnsi="宋体" w:cs="Arial"/>
          <w:sz w:val="24"/>
        </w:rPr>
        <w:instrText xml:space="preserve"> </w:instrText>
      </w:r>
      <w:r>
        <w:rPr>
          <w:rFonts w:ascii="彩虹粗仿宋" w:eastAsia="彩虹粗仿宋" w:hAnsi="宋体" w:cs="Arial" w:hint="eastAsia"/>
          <w:sz w:val="24"/>
        </w:rPr>
        <w:instrText>= 1 \* GB3</w:instrText>
      </w:r>
      <w:r>
        <w:rPr>
          <w:rFonts w:ascii="彩虹粗仿宋" w:eastAsia="彩虹粗仿宋" w:hAnsi="宋体" w:cs="Arial"/>
          <w:sz w:val="24"/>
        </w:rPr>
        <w:instrText xml:space="preserve"> </w:instrText>
      </w:r>
      <w:r>
        <w:rPr>
          <w:rFonts w:ascii="彩虹粗仿宋" w:eastAsia="彩虹粗仿宋" w:hAnsi="宋体" w:cs="Arial"/>
          <w:sz w:val="24"/>
        </w:rPr>
        <w:fldChar w:fldCharType="separate"/>
      </w:r>
      <w:r>
        <w:rPr>
          <w:rFonts w:ascii="彩虹粗仿宋" w:eastAsia="彩虹粗仿宋" w:hAnsi="宋体" w:cs="Arial" w:hint="eastAsia"/>
          <w:sz w:val="24"/>
        </w:rPr>
        <w:t>①</w:t>
      </w:r>
      <w:r>
        <w:rPr>
          <w:rFonts w:ascii="彩虹粗仿宋" w:eastAsia="彩虹粗仿宋" w:hAnsi="宋体" w:cs="Arial"/>
          <w:sz w:val="24"/>
        </w:rPr>
        <w:fldChar w:fldCharType="end"/>
      </w:r>
      <w:r>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w:t>
      </w:r>
      <w:r>
        <w:rPr>
          <w:rFonts w:ascii="彩虹粗仿宋" w:eastAsia="彩虹粗仿宋" w:hAnsi="宋体" w:cs="Arial" w:hint="eastAsia"/>
          <w:sz w:val="24"/>
        </w:rPr>
        <w:lastRenderedPageBreak/>
        <w:t>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fldChar w:fldCharType="begin"/>
      </w:r>
      <w:r>
        <w:rPr>
          <w:rFonts w:ascii="彩虹粗仿宋" w:eastAsia="彩虹粗仿宋" w:hAnsi="宋体" w:cs="Arial"/>
          <w:sz w:val="24"/>
        </w:rPr>
        <w:instrText xml:space="preserve"> </w:instrText>
      </w:r>
      <w:r>
        <w:rPr>
          <w:rFonts w:ascii="彩虹粗仿宋" w:eastAsia="彩虹粗仿宋" w:hAnsi="宋体" w:cs="Arial" w:hint="eastAsia"/>
          <w:sz w:val="24"/>
        </w:rPr>
        <w:instrText>= 2 \* GB3</w:instrText>
      </w:r>
      <w:r>
        <w:rPr>
          <w:rFonts w:ascii="彩虹粗仿宋" w:eastAsia="彩虹粗仿宋" w:hAnsi="宋体" w:cs="Arial"/>
          <w:sz w:val="24"/>
        </w:rPr>
        <w:instrText xml:space="preserve"> </w:instrText>
      </w:r>
      <w:r>
        <w:rPr>
          <w:rFonts w:ascii="彩虹粗仿宋" w:eastAsia="彩虹粗仿宋" w:hAnsi="宋体" w:cs="Arial"/>
          <w:sz w:val="24"/>
        </w:rPr>
        <w:fldChar w:fldCharType="separate"/>
      </w:r>
      <w:r>
        <w:rPr>
          <w:rFonts w:ascii="彩虹粗仿宋" w:eastAsia="彩虹粗仿宋" w:hAnsi="宋体" w:cs="Arial" w:hint="eastAsia"/>
          <w:sz w:val="24"/>
        </w:rPr>
        <w:t>②</w:t>
      </w:r>
      <w:r>
        <w:rPr>
          <w:rFonts w:ascii="彩虹粗仿宋" w:eastAsia="彩虹粗仿宋" w:hAnsi="宋体" w:cs="Arial"/>
          <w:sz w:val="24"/>
        </w:rPr>
        <w:fldChar w:fldCharType="end"/>
      </w:r>
      <w:r>
        <w:rPr>
          <w:rFonts w:ascii="彩虹粗仿宋" w:eastAsia="彩虹粗仿宋" w:hAnsi="宋体" w:cs="Arial" w:hint="eastAsia"/>
          <w:sz w:val="24"/>
        </w:rPr>
        <w:t>首次发行未上市的权证，采用估值技术确定公允价值，在估值技术难以可靠计量公允价值的情况下，按成本估值；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③股指期货合约，一般以估值当日结算价进行估值，估值当日无结算价的，且最近交易日后经济环境未发生重大变化的，采用最近交易日结算价估值；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④国债期货合约，一般以估值当日结算价进行估值，估值当日无结算价的，且最近交易日后经济环境未发生重大变化的，采用最近交易日结算价估值。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（6）持有的银行定期存款或通知存款以本金列示，按协议或合同利率逐日确认利息收入。</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（8）当发生大额申购或赎回情形时，基金管理人可以采用摆动定价机制，以确保基金估值的公平性。具体处理原则与操作规范遵循相关法律法规以及监管部门、自律规则的规定。</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）相关法律法规以及监管部门有强制规定的，从其规定。如有新增事项，按国家最新规定估值。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rsidR="009100BE" w:rsidRDefault="00E71C7C">
      <w:pPr>
        <w:adjustRightInd w:val="0"/>
        <w:snapToGrid w:val="0"/>
        <w:ind w:firstLine="480"/>
        <w:rPr>
          <w:rFonts w:ascii="彩虹粗仿宋" w:eastAsia="彩虹粗仿宋" w:hAnsi="宋体" w:cs="Arial"/>
          <w:sz w:val="24"/>
        </w:rPr>
      </w:pPr>
      <w:r>
        <w:rPr>
          <w:rFonts w:ascii="彩虹粗仿宋" w:eastAsia="彩虹粗仿宋" w:hAnsi="宋体" w:cs="Arial"/>
          <w:sz w:val="24"/>
        </w:rPr>
        <w:t>3.特殊情形的处理</w:t>
      </w:r>
    </w:p>
    <w:p w:rsidR="009100BE" w:rsidRDefault="00E71C7C">
      <w:pPr>
        <w:adjustRightInd w:val="0"/>
        <w:snapToGrid w:val="0"/>
        <w:ind w:firstLine="480"/>
        <w:rPr>
          <w:rStyle w:val="read"/>
          <w:rFonts w:ascii="彩虹粗仿宋" w:eastAsia="彩虹粗仿宋" w:hAnsi="宋体" w:cs="Arial"/>
        </w:rPr>
      </w:pPr>
      <w:r>
        <w:rPr>
          <w:rFonts w:ascii="彩虹粗仿宋" w:eastAsia="彩虹粗仿宋" w:hAnsi="宋体" w:cs="Arial" w:hint="eastAsia"/>
          <w:sz w:val="24"/>
        </w:rPr>
        <w:t>基金管理人、基金托管人按</w:t>
      </w:r>
      <w:r>
        <w:rPr>
          <w:rFonts w:hint="eastAsia"/>
          <w:sz w:val="24"/>
        </w:rPr>
        <w:t>估值方法的第（</w:t>
      </w:r>
      <w:r>
        <w:rPr>
          <w:rFonts w:hint="eastAsia"/>
          <w:sz w:val="24"/>
        </w:rPr>
        <w:t>7</w:t>
      </w:r>
      <w:r>
        <w:rPr>
          <w:rFonts w:hint="eastAsia"/>
          <w:sz w:val="24"/>
        </w:rPr>
        <w:t>）项进行估值时，所造成的误差不作为基金估值错误处理</w:t>
      </w:r>
      <w:r>
        <w:rPr>
          <w:rStyle w:val="read"/>
          <w:rFonts w:ascii="彩虹粗仿宋" w:eastAsia="彩虹粗仿宋" w:hAnsi="宋体" w:cs="Arial" w:hint="eastAsia"/>
        </w:rPr>
        <w:t>。</w:t>
      </w:r>
    </w:p>
    <w:p w:rsidR="009100BE" w:rsidRDefault="00E71C7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（三）估值错误的处理方式</w:t>
      </w:r>
    </w:p>
    <w:p w:rsidR="009100BE" w:rsidRDefault="00E71C7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1.当任一类基金份额净值小数点后4 位以内(含第4 位)发生估值错误时，视为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(2)</w:t>
      </w:r>
      <w:proofErr w:type="gramStart"/>
      <w:r>
        <w:rPr>
          <w:rFonts w:ascii="彩虹粗仿宋" w:eastAsia="彩虹粗仿宋" w:hint="eastAsia"/>
          <w:sz w:val="24"/>
        </w:rPr>
        <w:t>若基金</w:t>
      </w:r>
      <w:proofErr w:type="gramEnd"/>
      <w:r>
        <w:rPr>
          <w:rFonts w:ascii="彩虹粗仿宋" w:eastAsia="彩虹粗仿宋" w:hint="eastAsia"/>
          <w:sz w:val="24"/>
        </w:rPr>
        <w:t>管理人计算的基金份额净值已由基金托管人复核确认后公告，而且</w:t>
      </w:r>
      <w:r>
        <w:rPr>
          <w:rFonts w:ascii="彩虹粗仿宋" w:eastAsia="彩虹粗仿宋" w:hint="eastAsia"/>
          <w:sz w:val="24"/>
        </w:rPr>
        <w:lastRenderedPageBreak/>
        <w:t xml:space="preserve">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 </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100BE" w:rsidRDefault="00E71C7C">
      <w:pPr>
        <w:adjustRightInd w:val="0"/>
        <w:snapToGrid w:val="0"/>
        <w:rPr>
          <w:rFonts w:ascii="彩虹粗仿宋" w:eastAsia="彩虹粗仿宋"/>
          <w:sz w:val="24"/>
        </w:rPr>
      </w:pPr>
      <w:r>
        <w:rPr>
          <w:rFonts w:ascii="彩虹粗仿宋" w:eastAsia="彩虹粗仿宋" w:hint="eastAsia"/>
          <w:sz w:val="24"/>
        </w:rPr>
        <w:t xml:space="preserve">    (4)由于基金管理人提供的信息错误（包括但不限于基金申购或赎回金额等），进而导致基金份额净值计算错误而引起的基金份额持有人和基金财产的损失，由基金管理人负责赔付。</w:t>
      </w:r>
    </w:p>
    <w:p w:rsidR="009100BE" w:rsidRDefault="00E71C7C">
      <w:pPr>
        <w:adjustRightInd w:val="0"/>
        <w:snapToGrid w:val="0"/>
        <w:rPr>
          <w:rFonts w:ascii="彩虹粗仿宋" w:eastAsia="彩虹粗仿宋"/>
          <w:sz w:val="24"/>
        </w:rPr>
      </w:pPr>
      <w:r>
        <w:rPr>
          <w:rFonts w:ascii="彩虹粗仿宋" w:eastAsia="彩虹粗仿宋" w:hint="eastAsia"/>
          <w:sz w:val="24"/>
        </w:rPr>
        <w:t xml:space="preserve">    3.由于证券、期货交易所及登记结算公司发送的数据错误，或国家会计政策变更、市场规则变更等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9100BE" w:rsidRDefault="00E71C7C">
      <w:pPr>
        <w:adjustRightInd w:val="0"/>
        <w:snapToGrid w:val="0"/>
        <w:rPr>
          <w:rFonts w:ascii="彩虹粗仿宋" w:eastAsia="彩虹粗仿宋"/>
          <w:sz w:val="24"/>
        </w:rPr>
      </w:pPr>
      <w:r>
        <w:rPr>
          <w:rFonts w:ascii="彩虹粗仿宋" w:eastAsia="彩虹粗仿宋"/>
          <w:sz w:val="24"/>
        </w:rPr>
        <w:t>4</w:t>
      </w:r>
      <w:r>
        <w:rPr>
          <w:rFonts w:ascii="彩虹粗仿宋" w:eastAsia="彩虹粗仿宋" w:hint="eastAsia"/>
          <w:sz w:val="24"/>
        </w:rPr>
        <w:t>.基金管理人和基金托管人由于各自技术系统设置而产生的净值计算尾差，以基金管理人计算结果为准。</w:t>
      </w:r>
    </w:p>
    <w:p w:rsidR="009100BE" w:rsidRDefault="00E71C7C">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.前述内容如法律法规或者监管部门另有规定的，从其规定。如果行业另有通行做法，双方当事人应本着平等和保护基金份额持有人利益的原则进行协商。</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（四）暂停估值与公告的情形</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3、当前一估值日基金资产净值 50%以上的资产出现无可参考的活跃市场价格且采用估值技术</w:t>
      </w:r>
      <w:proofErr w:type="gramStart"/>
      <w:r>
        <w:rPr>
          <w:rFonts w:ascii="彩虹粗仿宋" w:eastAsia="彩虹粗仿宋" w:hAnsi="宋体" w:cs="Arial" w:hint="eastAsia"/>
          <w:sz w:val="24"/>
        </w:rPr>
        <w:t>仍导致</w:t>
      </w:r>
      <w:proofErr w:type="gramEnd"/>
      <w:r>
        <w:rPr>
          <w:rFonts w:ascii="彩虹粗仿宋" w:eastAsia="彩虹粗仿宋" w:hAnsi="宋体" w:cs="Arial" w:hint="eastAsia"/>
          <w:sz w:val="24"/>
        </w:rPr>
        <w:t>公允价值存在重大不确定性时，经与基金托管人协商一致的，基金管理人应当暂停估值；</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.法律法规、中国证监会和《基金合同》认定的其他情形。</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9100BE" w:rsidRDefault="00E71C7C">
      <w:pPr>
        <w:adjustRightInd w:val="0"/>
        <w:snapToGrid w:val="0"/>
        <w:ind w:firstLineChars="200" w:firstLine="480"/>
        <w:rPr>
          <w:rFonts w:ascii="TTF46827ACtCID-WinCharSetFFFF-H" w:eastAsia="TTF46827ACtCID-WinCharSetFFFF-H" w:hAnsiTheme="minorHAnsi" w:cs="TTF46827ACtCID-WinCharSetFFFF-H"/>
          <w:kern w:val="0"/>
          <w:sz w:val="24"/>
        </w:rPr>
      </w:pPr>
      <w:r>
        <w:rPr>
          <w:rFonts w:ascii="彩虹粗仿宋" w:eastAsia="彩虹粗仿宋" w:hAnsi="宋体" w:cs="Arial" w:hint="eastAsia"/>
          <w:sz w:val="24"/>
        </w:rPr>
        <w:t>基金管理人进行基金会计核算并编制基金财务会计报告。基金管理人</w:t>
      </w:r>
      <w:r>
        <w:rPr>
          <w:rFonts w:ascii="TTF46827ACtCID-WinCharSetFFFF-H" w:eastAsia="TTF46827ACtCID-WinCharSetFFFF-H" w:hAnsiTheme="minorHAnsi" w:cs="TTF46827ACtCID-WinCharSetFFFF-H" w:hint="eastAsia"/>
          <w:kern w:val="0"/>
          <w:sz w:val="24"/>
        </w:rPr>
        <w:t>和基金托管人分别</w:t>
      </w:r>
      <w:r>
        <w:rPr>
          <w:rFonts w:ascii="彩虹粗仿宋" w:eastAsia="彩虹粗仿宋" w:hAnsi="宋体" w:cs="Arial" w:hint="eastAsia"/>
          <w:sz w:val="24"/>
        </w:rPr>
        <w:t>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(1)报表的编制</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9100BE" w:rsidRDefault="00E71C7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9100BE" w:rsidRDefault="00E71C7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100BE" w:rsidRDefault="00E71C7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9100BE" w:rsidRDefault="00E71C7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9100BE" w:rsidRDefault="009100BE">
      <w:pPr>
        <w:pStyle w:val="a0"/>
        <w:adjustRightInd w:val="0"/>
        <w:snapToGrid w:val="0"/>
        <w:ind w:firstLineChars="0" w:firstLine="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89" w:name="_Toc124325893"/>
      <w:r>
        <w:rPr>
          <w:rFonts w:ascii="彩虹粗仿宋" w:eastAsia="彩虹粗仿宋" w:hint="eastAsia"/>
          <w:sz w:val="30"/>
        </w:rPr>
        <w:t>九、基金收益分配</w:t>
      </w:r>
      <w:bookmarkEnd w:id="89"/>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1、本基金的同一类别的每份基金份额享有同等分配权，由于本基金各类基金份额收取费用情况不同，各基金份额类别对应的可供分配利润将有所不同；</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人可选择现金红利或将现金红利自动转为相应类别的基金份额进行再投资；若投资人不选择，本基金默认的收益分配方式是现金分红；若投资人选择红利再投资方式进行收益分配，收益的计算以权益登记日当日收市后计算的各类基金份额净值为基准转为相应类别的基金份额进行再投资；</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3、基金收益分配后各类基金份额净值不能低于面值，即基金收益分配基准日的各类基金份额净值减去每单位该类基金份额收益分配金额后不能低于面值；</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4、在符合有关基金分红条件的前提下，基金收益每年最多分配2次，基金每次收益分配比例最低不低于已实现收益的60％，</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合同生效不满3个月则可不进行收益分配；</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在符合法律法规及基金合同约定，并对基金份额持有人利益无实质不利影响的前提下，经与基金托管人协商一致后，基金管理人可对基金收益分配原则和支付方式进行调整，不需召开基金份额持有人大会。</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本基金收益分配方案由基金管理人拟定，并由基金托管人复核，在2个工作日内在指定媒介公告并报中国证监会备案。基金红利发放</w:t>
      </w:r>
      <w:proofErr w:type="gramStart"/>
      <w:r>
        <w:rPr>
          <w:rFonts w:ascii="彩虹粗仿宋" w:eastAsia="彩虹粗仿宋" w:hAnsi="宋体" w:cs="Arial" w:hint="eastAsia"/>
          <w:sz w:val="24"/>
        </w:rPr>
        <w:t>日距离</w:t>
      </w:r>
      <w:proofErr w:type="gramEnd"/>
      <w:r>
        <w:rPr>
          <w:rFonts w:ascii="彩虹粗仿宋" w:eastAsia="彩虹粗仿宋" w:hAnsi="宋体" w:cs="Arial" w:hint="eastAsia"/>
          <w:sz w:val="24"/>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w:t>
      </w:r>
      <w:r>
        <w:rPr>
          <w:rFonts w:ascii="彩虹粗仿宋" w:eastAsia="彩虹粗仿宋" w:hAnsi="宋体" w:cs="Arial" w:hint="eastAsia"/>
          <w:sz w:val="24"/>
        </w:rPr>
        <w:lastRenderedPageBreak/>
        <w:t>记机构可将基金份额持有人的现金红利自动转为相应类别的基金份额。红利再投资的计算方法，依照《业务规则》执行。</w:t>
      </w:r>
    </w:p>
    <w:p w:rsidR="009100BE" w:rsidRDefault="009100BE">
      <w:pPr>
        <w:adjustRightInd w:val="0"/>
        <w:snapToGrid w:val="0"/>
        <w:ind w:firstLineChars="200" w:firstLine="480"/>
        <w:outlineLvl w:val="0"/>
        <w:rPr>
          <w:rFonts w:ascii="彩虹粗仿宋" w:eastAsia="彩虹粗仿宋" w:hAnsi="宋体" w:cs="Arial"/>
          <w:sz w:val="24"/>
        </w:rPr>
      </w:pPr>
    </w:p>
    <w:p w:rsidR="009100BE" w:rsidRDefault="009100BE">
      <w:pPr>
        <w:adjustRightInd w:val="0"/>
        <w:snapToGrid w:val="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90" w:name="_Toc124325894"/>
      <w:r>
        <w:rPr>
          <w:rFonts w:ascii="彩虹粗仿宋" w:eastAsia="彩虹粗仿宋" w:hint="eastAsia"/>
          <w:sz w:val="30"/>
        </w:rPr>
        <w:t>十、基金信息披露</w:t>
      </w:r>
      <w:bookmarkEnd w:id="90"/>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9100BE" w:rsidRDefault="00E71C7C">
      <w:pPr>
        <w:autoSpaceDE w:val="0"/>
        <w:autoSpaceDN w:val="0"/>
        <w:adjustRightInd w:val="0"/>
        <w:jc w:val="left"/>
        <w:rPr>
          <w:rFonts w:ascii="彩虹粗仿宋" w:eastAsia="彩虹粗仿宋" w:hAnsi="宋体" w:cs="Arial"/>
          <w:sz w:val="24"/>
        </w:rPr>
      </w:pPr>
      <w:r>
        <w:rPr>
          <w:rFonts w:ascii="彩虹粗仿宋" w:eastAsia="彩虹粗仿宋" w:hAnsi="宋体" w:cs="Arial" w:hint="eastAsia"/>
          <w:sz w:val="24"/>
        </w:rPr>
        <w:t xml:space="preserve">   基金的信息披露内容主要包括基金招募说明书、《基金合同》、托管协议、基金份额发售公告、基金</w:t>
      </w:r>
      <w:r>
        <w:rPr>
          <w:rFonts w:ascii="彩虹粗仿宋" w:eastAsia="彩虹粗仿宋" w:hAnsi="宋体" w:cs="Arial"/>
          <w:sz w:val="24"/>
        </w:rPr>
        <w:t>募集情况、</w:t>
      </w:r>
      <w:r>
        <w:rPr>
          <w:rFonts w:ascii="彩虹粗仿宋" w:eastAsia="彩虹粗仿宋" w:hAnsi="宋体" w:cs="Arial" w:hint="eastAsia"/>
          <w:sz w:val="24"/>
        </w:rPr>
        <w:t>《基金合同》生效公告、基金资产净值、各类基金份额净值、基金份额申购、赎回价格、基金定期报告（包括基金年度报告、基金半年度报告和基金季度报告）、临时报告、澄清公告、基金份额持有人大会决议、基金投资国债期货/股指期货/资产支持证券/</w:t>
      </w:r>
      <w:r>
        <w:rPr>
          <w:rFonts w:hint="eastAsia"/>
          <w:bCs/>
          <w:sz w:val="24"/>
        </w:rPr>
        <w:t>投资流通受限证券</w:t>
      </w:r>
      <w:r>
        <w:rPr>
          <w:rFonts w:ascii="彩虹粗仿宋" w:eastAsia="彩虹粗仿宋" w:hAnsi="宋体" w:cs="Arial" w:hint="eastAsia"/>
          <w:sz w:val="24"/>
        </w:rPr>
        <w:t>的信息、发起资金的信息以及中国证监会规定的其他信息。基金年度报告需经具有从事证券相关业务资格的会计师事务所审计后，方可披露。</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9100BE" w:rsidRDefault="00E71C7C">
      <w:pPr>
        <w:adjustRightInd w:val="0"/>
        <w:snapToGrid w:val="0"/>
        <w:ind w:firstLineChars="200" w:firstLine="480"/>
        <w:rPr>
          <w:rFonts w:ascii="彩虹粗仿宋" w:eastAsia="彩虹粗仿宋" w:hAnsi="宋体" w:cs="Arial"/>
          <w:sz w:val="24"/>
        </w:rPr>
      </w:pPr>
      <w:r w:rsidRPr="0003201D">
        <w:rPr>
          <w:rFonts w:ascii="彩虹粗仿宋" w:eastAsia="彩虹粗仿宋" w:hAnsi="宋体" w:cs="Arial" w:hint="eastAsia"/>
          <w:sz w:val="24"/>
        </w:rPr>
        <w:t>当出现下述情况时，基金管理人和基金托管人可暂停或延迟披露基金相关信息：</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rsidR="0003201D"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因不可抗力致使基金管理人、基金托管人无法准确评估基金资产价值时；</w:t>
      </w:r>
    </w:p>
    <w:p w:rsidR="009100BE" w:rsidRDefault="0003201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sidRPr="0003201D">
        <w:rPr>
          <w:rFonts w:ascii="彩虹粗仿宋" w:eastAsia="彩虹粗仿宋" w:hAnsi="宋体" w:cs="Arial" w:hint="eastAsia"/>
          <w:sz w:val="24"/>
        </w:rPr>
        <w:t>当前一估值日基金资产净值50%以上的资产出现无可参考的活跃市场价格</w:t>
      </w:r>
      <w:r w:rsidRPr="0003201D">
        <w:rPr>
          <w:rFonts w:ascii="彩虹粗仿宋" w:eastAsia="彩虹粗仿宋" w:hAnsi="宋体" w:cs="Arial" w:hint="eastAsia"/>
          <w:sz w:val="24"/>
        </w:rPr>
        <w:lastRenderedPageBreak/>
        <w:t>且采用估值技术</w:t>
      </w:r>
      <w:proofErr w:type="gramStart"/>
      <w:r w:rsidRPr="0003201D">
        <w:rPr>
          <w:rFonts w:ascii="彩虹粗仿宋" w:eastAsia="彩虹粗仿宋" w:hAnsi="宋体" w:cs="Arial" w:hint="eastAsia"/>
          <w:sz w:val="24"/>
        </w:rPr>
        <w:t>仍导致</w:t>
      </w:r>
      <w:proofErr w:type="gramEnd"/>
      <w:r w:rsidRPr="0003201D">
        <w:rPr>
          <w:rFonts w:ascii="彩虹粗仿宋" w:eastAsia="彩虹粗仿宋" w:hAnsi="宋体" w:cs="Arial" w:hint="eastAsia"/>
          <w:sz w:val="24"/>
        </w:rPr>
        <w:t>公允价值存在重大不确定时，经与基金托管人协商一致决定暂停估值的；</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3201D">
        <w:rPr>
          <w:rFonts w:ascii="彩虹粗仿宋" w:eastAsia="彩虹粗仿宋" w:hAnsi="宋体" w:cs="Arial"/>
          <w:sz w:val="24"/>
        </w:rPr>
        <w:t>4</w:t>
      </w:r>
      <w:r>
        <w:rPr>
          <w:rFonts w:ascii="彩虹粗仿宋" w:eastAsia="彩虹粗仿宋" w:hAnsi="宋体" w:cs="Arial" w:hint="eastAsia"/>
          <w:sz w:val="24"/>
        </w:rPr>
        <w:t>)法律法规、《基金合同》或中国证监会规定的情况。</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9100BE" w:rsidRDefault="00E71C7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100BE" w:rsidRDefault="009100BE">
      <w:pPr>
        <w:pStyle w:val="a0"/>
        <w:ind w:firstLineChars="0" w:firstLine="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91" w:name="_Toc124325895"/>
      <w:r>
        <w:rPr>
          <w:rFonts w:ascii="彩虹粗仿宋" w:eastAsia="彩虹粗仿宋" w:hint="eastAsia"/>
          <w:sz w:val="30"/>
        </w:rPr>
        <w:t>十一、基金费用</w:t>
      </w:r>
      <w:bookmarkEnd w:id="91"/>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本基金的管理费按前一日基金资产净值的1.50%年费率计提。管理费的计算方法如下：</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H＝E×1.50%÷当年天数</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0.25</w:t>
      </w:r>
      <w:r>
        <w:rPr>
          <w:rFonts w:ascii="彩虹粗仿宋" w:eastAsia="彩虹粗仿宋" w:hAnsi="宋体" w:cs="Arial" w:hint="eastAsia"/>
          <w:sz w:val="24"/>
        </w:rPr>
        <w:t>%年费率计提。托管费的计算方法如下：</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w:t>
      </w:r>
      <w:r>
        <w:rPr>
          <w:rFonts w:ascii="彩虹粗仿宋" w:eastAsia="彩虹粗仿宋" w:hAnsi="宋体" w:cs="Arial"/>
          <w:sz w:val="24"/>
        </w:rPr>
        <w:t>0.25%</w:t>
      </w:r>
      <w:r>
        <w:rPr>
          <w:rFonts w:ascii="彩虹粗仿宋" w:eastAsia="彩虹粗仿宋" w:hAnsi="宋体" w:cs="Arial" w:hint="eastAsia"/>
          <w:sz w:val="24"/>
        </w:rPr>
        <w:t>÷当年天数</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（三）基金销售服务费</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本基金A类基金份额不收取销售服务费，C类基金份额的年销售服务费率为0.40%，本基金销售服务费将专门用于本基金的销售与基金份额持有人服务。</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本基金C类基金份额销售服务费计算方法如下： </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H=E×0.40%÷当年天数</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H为每日C类基金份额应计提的销售服务费</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E为前一日C基金份额的基金资产净值</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证券账户开户费用、证券、期货交易结算费用、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（六）基金管理费、基金托管费和销售服务费的复核程序、支付方式和时间</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基金托管人对基金管理人计提的基金管理费、基金托管费和销售服务费等，根据本托管协议和《基金合同》的有关规定进行复核。</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基金管理费、基金托管费、基金销售服务费每日计提，按月支付。由基金托管人根据与基金管理人核对一致的财务数据，自动在次月初3</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在首期支付基金管理费、基金销售服务费前，基金管理人应向托管人出具正式函件指定基金管理费的收款账户。基金管理人如需要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（七）违规处理方式</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9100BE" w:rsidRDefault="009100BE">
      <w:pPr>
        <w:adjustRightInd w:val="0"/>
        <w:snapToGrid w:val="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92" w:name="_Toc124325896"/>
      <w:r>
        <w:rPr>
          <w:rFonts w:ascii="彩虹粗仿宋" w:eastAsia="彩虹粗仿宋" w:hint="eastAsia"/>
          <w:sz w:val="30"/>
        </w:rPr>
        <w:t>十二、基金份额持有人名册的保管</w:t>
      </w:r>
      <w:bookmarkEnd w:id="92"/>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9100BE" w:rsidRDefault="009100BE">
      <w:pPr>
        <w:adjustRightInd w:val="0"/>
        <w:snapToGrid w:val="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93" w:name="_Toc124325897"/>
      <w:r>
        <w:rPr>
          <w:rFonts w:ascii="彩虹粗仿宋" w:eastAsia="彩虹粗仿宋" w:hint="eastAsia"/>
          <w:sz w:val="30"/>
        </w:rPr>
        <w:t>十三、基金有关文件档案的保存</w:t>
      </w:r>
      <w:bookmarkEnd w:id="93"/>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9100BE" w:rsidRDefault="00E71C7C">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（四）基金管理人和基金托管人应按各自职责完整保存原始凭证、记账凭证、基金账册、交易记录和重要合同等，承担保密义务并保存至少十五年以上。</w:t>
      </w:r>
    </w:p>
    <w:p w:rsidR="009100BE" w:rsidRDefault="009100BE">
      <w:pPr>
        <w:adjustRightInd w:val="0"/>
        <w:snapToGrid w:val="0"/>
        <w:rPr>
          <w:rFonts w:ascii="彩虹粗仿宋" w:eastAsia="彩虹粗仿宋"/>
          <w:sz w:val="30"/>
          <w:szCs w:val="30"/>
        </w:rPr>
      </w:pPr>
    </w:p>
    <w:p w:rsidR="009100BE" w:rsidRDefault="00E71C7C">
      <w:pPr>
        <w:pStyle w:val="2"/>
        <w:jc w:val="center"/>
        <w:rPr>
          <w:rFonts w:ascii="彩虹粗仿宋" w:eastAsia="彩虹粗仿宋"/>
          <w:sz w:val="30"/>
        </w:rPr>
      </w:pPr>
      <w:bookmarkStart w:id="94" w:name="_Toc124325898"/>
      <w:r>
        <w:rPr>
          <w:rFonts w:ascii="彩虹粗仿宋" w:eastAsia="彩虹粗仿宋" w:hint="eastAsia"/>
          <w:sz w:val="30"/>
        </w:rPr>
        <w:t>十四、基金管理人和基金托管人的更换</w:t>
      </w:r>
      <w:bookmarkEnd w:id="94"/>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管理人应与基金托管人核对基金资产总值和净值；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9100BE" w:rsidRDefault="00E71C7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lastRenderedPageBreak/>
        <w:t>基金托管人形成决议，该决议需经参加大会的基金份额持有人所持表决权的三分之二以上(含三分之二)表决通过，并自表决通过之日起生效；</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w:t>
      </w:r>
      <w:r>
        <w:rPr>
          <w:rFonts w:ascii="彩虹粗仿宋" w:eastAsia="彩虹粗仿宋" w:hAnsi="宋体" w:cs="Arial"/>
          <w:sz w:val="24"/>
        </w:rPr>
        <w:t>2</w:t>
      </w:r>
      <w:r>
        <w:rPr>
          <w:rFonts w:ascii="彩虹粗仿宋" w:eastAsia="彩虹粗仿宋" w:hAnsi="宋体" w:cs="Arial" w:hint="eastAsia"/>
          <w:sz w:val="24"/>
        </w:rPr>
        <w:t>日内在指定媒介公告；</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托管人或临时基金托管人与基金管理人核对基金资产总值和净值；</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托管人应在更换基金管理人和基金托管人的基金份额持有人大会决议生效后2日内在指定媒介上联合公告。</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
    <w:p w:rsidR="009100BE" w:rsidRDefault="009100BE">
      <w:pPr>
        <w:adjustRightInd w:val="0"/>
        <w:snapToGrid w:val="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95" w:name="_Toc124325899"/>
      <w:r>
        <w:rPr>
          <w:rFonts w:ascii="彩虹粗仿宋" w:eastAsia="彩虹粗仿宋" w:hint="eastAsia"/>
          <w:sz w:val="30"/>
        </w:rPr>
        <w:t>十五、禁止行为</w:t>
      </w:r>
      <w:bookmarkEnd w:id="95"/>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rsidR="009100BE" w:rsidRDefault="00E71C7C">
      <w:pPr>
        <w:adjustRightInd w:val="0"/>
        <w:snapToGrid w:val="0"/>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rsidR="009100BE" w:rsidRDefault="00E71C7C">
      <w:pPr>
        <w:adjustRightInd w:val="0"/>
        <w:snapToGrid w:val="0"/>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9100BE" w:rsidRDefault="00E71C7C">
      <w:pPr>
        <w:pStyle w:val="a7"/>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lastRenderedPageBreak/>
        <w:t>（九）</w:t>
      </w:r>
      <w:r>
        <w:rPr>
          <w:rFonts w:ascii="彩虹粗仿宋" w:eastAsia="彩虹粗仿宋" w:hAnsi="宋体" w:cs="Arial" w:hint="eastAsia"/>
          <w:sz w:val="24"/>
        </w:rPr>
        <w:t>基金财产</w:t>
      </w:r>
      <w:r>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Pr>
          <w:rFonts w:ascii="彩虹粗仿宋" w:eastAsia="彩虹粗仿宋" w:cs="Arial" w:hint="eastAsia"/>
          <w:sz w:val="24"/>
        </w:rPr>
        <w:t>法律、行政法规或监管部门取消或变更上述限制，则本基金投资不再受相关限制或按变更后的规定执行</w:t>
      </w:r>
      <w:r>
        <w:rPr>
          <w:rFonts w:ascii="彩虹粗仿宋" w:eastAsia="彩虹粗仿宋" w:hint="eastAsia"/>
          <w:sz w:val="24"/>
        </w:rPr>
        <w:t>。</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依照法律、行政法规有关规定，由中国证监会规定禁止基金管理人、基金托管人从事的其他行为。</w:t>
      </w:r>
    </w:p>
    <w:p w:rsidR="009100BE" w:rsidRDefault="009100BE">
      <w:pPr>
        <w:adjustRightInd w:val="0"/>
        <w:snapToGrid w:val="0"/>
        <w:rPr>
          <w:rFonts w:ascii="彩虹粗仿宋" w:eastAsia="彩虹粗仿宋"/>
          <w:sz w:val="30"/>
          <w:szCs w:val="30"/>
        </w:rPr>
      </w:pPr>
    </w:p>
    <w:p w:rsidR="009100BE" w:rsidRDefault="00E71C7C">
      <w:pPr>
        <w:pStyle w:val="2"/>
        <w:jc w:val="center"/>
        <w:rPr>
          <w:rFonts w:ascii="彩虹粗仿宋" w:eastAsia="彩虹粗仿宋"/>
          <w:sz w:val="30"/>
        </w:rPr>
      </w:pPr>
      <w:bookmarkStart w:id="96" w:name="_Toc124325900"/>
      <w:r>
        <w:rPr>
          <w:rFonts w:ascii="彩虹粗仿宋" w:eastAsia="彩虹粗仿宋" w:hint="eastAsia"/>
          <w:sz w:val="30"/>
        </w:rPr>
        <w:t>十六、托管协议的变更、终止与基金财产的清算</w:t>
      </w:r>
      <w:bookmarkEnd w:id="96"/>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9100BE" w:rsidRDefault="00E71C7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2.在基金财产清算小组接管基金财产之前，基金管理人和基金托管人应按照《基金合同》和本托管协议的规定继续履行保护基金财产安全的职责。</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.基金财产清算程序：</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(6)将清算结果报中国证监会备案并公告；</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w:t>
      </w:r>
      <w:r>
        <w:rPr>
          <w:rFonts w:ascii="彩虹粗仿宋" w:eastAsia="彩虹粗仿宋" w:hAnsi="宋体" w:cs="Arial" w:hint="eastAsia"/>
          <w:sz w:val="24"/>
        </w:rPr>
        <w:t>.基金财产清算的期限为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w:t>
      </w:r>
      <w:r>
        <w:rPr>
          <w:rFonts w:ascii="彩虹粗仿宋" w:eastAsia="彩虹粗仿宋" w:hAnsi="宋体" w:cs="Arial" w:hint="eastAsia"/>
          <w:sz w:val="24"/>
        </w:rPr>
        <w:t>.清算费用</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清算费用是指基金财产清算小组在进行基金清算过程中发生的所有合理费用，清算费用由基金财产清算小组优先从基金财产中支付。</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9100BE" w:rsidRDefault="009100BE">
      <w:pPr>
        <w:adjustRightInd w:val="0"/>
        <w:snapToGrid w:val="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97" w:name="_Toc124325901"/>
      <w:r>
        <w:rPr>
          <w:rFonts w:ascii="彩虹粗仿宋" w:eastAsia="彩虹粗仿宋" w:hint="eastAsia"/>
          <w:sz w:val="30"/>
        </w:rPr>
        <w:t>十七、违约责任</w:t>
      </w:r>
      <w:bookmarkEnd w:id="97"/>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3.基金管理人由于按照《基金合同》规定的投资原则投资或不投资造成的损失等；</w:t>
      </w:r>
    </w:p>
    <w:p w:rsidR="009100BE" w:rsidRDefault="009100BE">
      <w:pPr>
        <w:adjustRightInd w:val="0"/>
        <w:snapToGrid w:val="0"/>
        <w:ind w:firstLineChars="200" w:firstLine="480"/>
        <w:rPr>
          <w:rFonts w:ascii="彩虹粗仿宋" w:eastAsia="彩虹粗仿宋" w:hAnsi="宋体" w:cs="Arial"/>
          <w:sz w:val="24"/>
          <w:shd w:val="pct10" w:color="auto" w:fill="FFFFFF"/>
        </w:rPr>
      </w:pP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100BE" w:rsidRDefault="00E71C7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100BE" w:rsidRDefault="009100BE">
      <w:pPr>
        <w:adjustRightInd w:val="0"/>
        <w:snapToGrid w:val="0"/>
        <w:outlineLvl w:val="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98" w:name="_Toc124325902"/>
      <w:r>
        <w:rPr>
          <w:rFonts w:ascii="彩虹粗仿宋" w:eastAsia="彩虹粗仿宋" w:hint="eastAsia"/>
          <w:sz w:val="30"/>
        </w:rPr>
        <w:lastRenderedPageBreak/>
        <w:t>十八、争议解决方式</w:t>
      </w:r>
      <w:bookmarkEnd w:id="98"/>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律师费用由败诉方承担。</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rsidR="009100BE" w:rsidRDefault="009100BE">
      <w:pPr>
        <w:adjustRightInd w:val="0"/>
        <w:snapToGrid w:val="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99" w:name="_Toc124325903"/>
      <w:r>
        <w:rPr>
          <w:rFonts w:ascii="彩虹粗仿宋" w:eastAsia="彩虹粗仿宋" w:hint="eastAsia"/>
          <w:sz w:val="30"/>
        </w:rPr>
        <w:t>十九、托管协议的效力</w:t>
      </w:r>
      <w:bookmarkEnd w:id="99"/>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9100BE" w:rsidRDefault="00E71C7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9100BE" w:rsidRDefault="009100BE">
      <w:pPr>
        <w:adjustRightInd w:val="0"/>
        <w:snapToGrid w:val="0"/>
        <w:rPr>
          <w:rFonts w:ascii="彩虹粗仿宋" w:eastAsia="彩虹粗仿宋" w:hAnsi="宋体" w:cs="Arial"/>
          <w:sz w:val="24"/>
        </w:rPr>
      </w:pPr>
    </w:p>
    <w:p w:rsidR="009100BE" w:rsidRDefault="00E71C7C">
      <w:pPr>
        <w:pStyle w:val="2"/>
        <w:jc w:val="center"/>
        <w:rPr>
          <w:rFonts w:ascii="彩虹粗仿宋" w:eastAsia="彩虹粗仿宋"/>
          <w:sz w:val="30"/>
        </w:rPr>
      </w:pPr>
      <w:bookmarkStart w:id="100" w:name="_Toc124325904"/>
      <w:r>
        <w:rPr>
          <w:rFonts w:ascii="彩虹粗仿宋" w:eastAsia="彩虹粗仿宋" w:hint="eastAsia"/>
          <w:sz w:val="30"/>
        </w:rPr>
        <w:t>二十、其他事项</w:t>
      </w:r>
      <w:bookmarkEnd w:id="100"/>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9100BE"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9100BE" w:rsidRDefault="009100BE">
      <w:pPr>
        <w:adjustRightInd w:val="0"/>
        <w:snapToGrid w:val="0"/>
        <w:rPr>
          <w:rFonts w:ascii="彩虹粗仿宋" w:eastAsia="彩虹粗仿宋"/>
          <w:b/>
          <w:bCs/>
        </w:rPr>
      </w:pPr>
    </w:p>
    <w:p w:rsidR="009100BE" w:rsidRDefault="00E71C7C">
      <w:pPr>
        <w:pStyle w:val="2"/>
        <w:jc w:val="center"/>
        <w:rPr>
          <w:rFonts w:ascii="彩虹粗仿宋" w:eastAsia="彩虹粗仿宋"/>
          <w:sz w:val="30"/>
        </w:rPr>
      </w:pPr>
      <w:bookmarkStart w:id="101" w:name="_Toc124325905"/>
      <w:r>
        <w:rPr>
          <w:rFonts w:ascii="彩虹粗仿宋" w:eastAsia="彩虹粗仿宋" w:hint="eastAsia"/>
          <w:sz w:val="30"/>
        </w:rPr>
        <w:t>二十一、托管协议的签订</w:t>
      </w:r>
      <w:bookmarkEnd w:id="101"/>
    </w:p>
    <w:p w:rsidR="00AF5E7F" w:rsidRDefault="00E71C7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AF5E7F" w:rsidRDefault="00AF5E7F">
      <w:pPr>
        <w:widowControl/>
        <w:jc w:val="left"/>
        <w:rPr>
          <w:rFonts w:ascii="彩虹粗仿宋" w:eastAsia="彩虹粗仿宋" w:hAnsi="宋体" w:cs="Arial"/>
          <w:sz w:val="24"/>
        </w:rPr>
      </w:pPr>
      <w:r>
        <w:rPr>
          <w:rFonts w:ascii="彩虹粗仿宋" w:eastAsia="彩虹粗仿宋" w:hAnsi="宋体" w:cs="Arial"/>
          <w:sz w:val="24"/>
        </w:rPr>
        <w:br w:type="page"/>
      </w:r>
    </w:p>
    <w:p w:rsidR="00AF5E7F" w:rsidRDefault="00AF5E7F" w:rsidP="00AF5E7F">
      <w:pPr>
        <w:spacing w:line="360" w:lineRule="auto"/>
        <w:ind w:right="26"/>
        <w:rPr>
          <w:rFonts w:ascii="彩虹粗仿宋" w:eastAsia="彩虹粗仿宋"/>
          <w:sz w:val="24"/>
        </w:rPr>
      </w:pPr>
      <w:r>
        <w:rPr>
          <w:rFonts w:ascii="彩虹粗仿宋" w:eastAsia="彩虹粗仿宋" w:hint="eastAsia"/>
          <w:sz w:val="24"/>
        </w:rPr>
        <w:lastRenderedPageBreak/>
        <w:t>本页无正文，为《鹏扬景泰成长混合型发起式证券投资基金托管协议》双方当事人</w:t>
      </w:r>
      <w:proofErr w:type="gramStart"/>
      <w:r>
        <w:rPr>
          <w:rFonts w:ascii="彩虹粗仿宋" w:eastAsia="彩虹粗仿宋" w:hint="eastAsia"/>
          <w:sz w:val="24"/>
        </w:rPr>
        <w:t>鹏扬基金</w:t>
      </w:r>
      <w:proofErr w:type="gramEnd"/>
      <w:r>
        <w:rPr>
          <w:rFonts w:ascii="彩虹粗仿宋" w:eastAsia="彩虹粗仿宋" w:hint="eastAsia"/>
          <w:sz w:val="24"/>
        </w:rPr>
        <w:t>管理有限公司、中国建设银行股份有限公司的签字盖章页。</w:t>
      </w:r>
    </w:p>
    <w:p w:rsidR="00AF5E7F" w:rsidRDefault="00AF5E7F" w:rsidP="00AF5E7F">
      <w:pPr>
        <w:spacing w:line="360" w:lineRule="auto"/>
        <w:rPr>
          <w:rFonts w:ascii="彩虹粗仿宋" w:eastAsia="彩虹粗仿宋"/>
          <w:sz w:val="24"/>
        </w:rPr>
      </w:pPr>
    </w:p>
    <w:p w:rsidR="00AF5E7F" w:rsidRDefault="00AF5E7F" w:rsidP="00AF5E7F">
      <w:pPr>
        <w:spacing w:line="360" w:lineRule="auto"/>
        <w:rPr>
          <w:rFonts w:ascii="彩虹粗仿宋" w:eastAsia="彩虹粗仿宋"/>
          <w:sz w:val="24"/>
        </w:rPr>
      </w:pPr>
    </w:p>
    <w:p w:rsidR="00AF5E7F" w:rsidRDefault="00AF5E7F" w:rsidP="00AF5E7F">
      <w:pPr>
        <w:spacing w:line="360" w:lineRule="auto"/>
        <w:ind w:right="26"/>
        <w:rPr>
          <w:rFonts w:ascii="彩虹粗仿宋" w:eastAsia="彩虹粗仿宋"/>
          <w:sz w:val="24"/>
        </w:rPr>
      </w:pPr>
      <w:r>
        <w:rPr>
          <w:rFonts w:ascii="彩虹粗仿宋" w:eastAsia="彩虹粗仿宋" w:hint="eastAsia"/>
          <w:sz w:val="24"/>
        </w:rPr>
        <w:t xml:space="preserve">基金管理人：  </w:t>
      </w:r>
      <w:proofErr w:type="gramStart"/>
      <w:r>
        <w:rPr>
          <w:rFonts w:ascii="彩虹粗仿宋" w:eastAsia="彩虹粗仿宋" w:hint="eastAsia"/>
          <w:sz w:val="24"/>
        </w:rPr>
        <w:t>鹏扬基金</w:t>
      </w:r>
      <w:proofErr w:type="gramEnd"/>
      <w:r>
        <w:rPr>
          <w:rFonts w:ascii="彩虹粗仿宋" w:eastAsia="彩虹粗仿宋" w:hint="eastAsia"/>
          <w:sz w:val="24"/>
        </w:rPr>
        <w:t>管理有限公司（盖章）</w:t>
      </w:r>
    </w:p>
    <w:p w:rsidR="00AF5E7F" w:rsidRDefault="00AF5E7F" w:rsidP="00AF5E7F">
      <w:pPr>
        <w:spacing w:line="360" w:lineRule="auto"/>
        <w:ind w:right="26"/>
        <w:rPr>
          <w:rFonts w:ascii="彩虹粗仿宋" w:eastAsia="彩虹粗仿宋"/>
          <w:sz w:val="24"/>
        </w:rPr>
      </w:pPr>
    </w:p>
    <w:p w:rsidR="00AF5E7F" w:rsidRDefault="00AF5E7F" w:rsidP="00AF5E7F">
      <w:pPr>
        <w:spacing w:line="360" w:lineRule="auto"/>
        <w:ind w:right="26"/>
        <w:rPr>
          <w:rFonts w:ascii="彩虹粗仿宋" w:eastAsia="彩虹粗仿宋"/>
          <w:sz w:val="24"/>
        </w:rPr>
      </w:pPr>
    </w:p>
    <w:p w:rsidR="00AF5E7F" w:rsidRDefault="00AF5E7F" w:rsidP="00AF5E7F">
      <w:pPr>
        <w:spacing w:line="360" w:lineRule="auto"/>
        <w:ind w:right="26"/>
        <w:rPr>
          <w:rFonts w:ascii="彩虹粗仿宋" w:eastAsia="彩虹粗仿宋"/>
          <w:sz w:val="24"/>
        </w:rPr>
      </w:pPr>
    </w:p>
    <w:p w:rsidR="00AF5E7F" w:rsidRDefault="00AF5E7F" w:rsidP="00AF5E7F">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AF5E7F" w:rsidRDefault="00AF5E7F" w:rsidP="00AF5E7F">
      <w:pPr>
        <w:spacing w:line="360" w:lineRule="auto"/>
        <w:ind w:right="26"/>
        <w:rPr>
          <w:rFonts w:ascii="彩虹粗仿宋" w:eastAsia="彩虹粗仿宋"/>
          <w:sz w:val="24"/>
        </w:rPr>
      </w:pPr>
    </w:p>
    <w:p w:rsidR="00AF5E7F" w:rsidRDefault="00AF5E7F" w:rsidP="00AF5E7F">
      <w:pPr>
        <w:spacing w:line="360" w:lineRule="auto"/>
        <w:ind w:right="26"/>
        <w:rPr>
          <w:rFonts w:ascii="彩虹粗仿宋" w:eastAsia="彩虹粗仿宋"/>
          <w:sz w:val="24"/>
        </w:rPr>
      </w:pPr>
    </w:p>
    <w:p w:rsidR="00AF5E7F" w:rsidRDefault="00AF5E7F" w:rsidP="00AF5E7F">
      <w:pPr>
        <w:spacing w:line="360" w:lineRule="auto"/>
        <w:ind w:right="26"/>
        <w:rPr>
          <w:rFonts w:ascii="彩虹粗仿宋" w:eastAsia="彩虹粗仿宋"/>
          <w:sz w:val="24"/>
        </w:rPr>
      </w:pPr>
    </w:p>
    <w:p w:rsidR="00AF5E7F" w:rsidRDefault="00AF5E7F" w:rsidP="00AF5E7F">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AF5E7F" w:rsidRDefault="00AF5E7F" w:rsidP="00AF5E7F">
      <w:pPr>
        <w:spacing w:line="360" w:lineRule="auto"/>
        <w:ind w:right="26"/>
        <w:rPr>
          <w:rFonts w:ascii="彩虹粗仿宋" w:eastAsia="彩虹粗仿宋"/>
          <w:sz w:val="24"/>
        </w:rPr>
      </w:pPr>
    </w:p>
    <w:p w:rsidR="00AF5E7F" w:rsidRDefault="00AF5E7F" w:rsidP="00AF5E7F">
      <w:pPr>
        <w:spacing w:line="360" w:lineRule="auto"/>
        <w:ind w:right="26"/>
        <w:rPr>
          <w:rFonts w:ascii="彩虹粗仿宋" w:eastAsia="彩虹粗仿宋"/>
          <w:sz w:val="24"/>
        </w:rPr>
      </w:pPr>
    </w:p>
    <w:p w:rsidR="00AF5E7F" w:rsidRDefault="00AF5E7F" w:rsidP="00AF5E7F">
      <w:pPr>
        <w:spacing w:line="360" w:lineRule="auto"/>
        <w:ind w:right="26"/>
        <w:rPr>
          <w:rFonts w:ascii="彩虹粗仿宋" w:eastAsia="彩虹粗仿宋"/>
          <w:sz w:val="24"/>
        </w:rPr>
      </w:pPr>
    </w:p>
    <w:p w:rsidR="00AF5E7F" w:rsidRDefault="00AF5E7F" w:rsidP="00AF5E7F">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AF5E7F" w:rsidRDefault="00AF5E7F" w:rsidP="00AF5E7F">
      <w:pPr>
        <w:spacing w:line="360" w:lineRule="auto"/>
        <w:ind w:right="26"/>
        <w:rPr>
          <w:rFonts w:ascii="彩虹粗仿宋" w:eastAsia="彩虹粗仿宋"/>
          <w:b/>
          <w:sz w:val="24"/>
          <w:szCs w:val="28"/>
        </w:rPr>
      </w:pPr>
    </w:p>
    <w:p w:rsidR="00AF5E7F" w:rsidRDefault="00AF5E7F" w:rsidP="00AF5E7F">
      <w:pPr>
        <w:spacing w:line="360" w:lineRule="auto"/>
        <w:ind w:right="26"/>
        <w:rPr>
          <w:rFonts w:ascii="彩虹粗仿宋" w:eastAsia="彩虹粗仿宋"/>
          <w:b/>
          <w:sz w:val="24"/>
          <w:szCs w:val="28"/>
        </w:rPr>
      </w:pPr>
    </w:p>
    <w:p w:rsidR="00AF5E7F" w:rsidRDefault="00AF5E7F" w:rsidP="00AF5E7F">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rsidR="00AF5E7F" w:rsidRDefault="00AF5E7F" w:rsidP="00AF5E7F">
      <w:r>
        <w:rPr>
          <w:rFonts w:ascii="彩虹粗仿宋" w:eastAsia="彩虹粗仿宋" w:hint="eastAsia"/>
          <w:b/>
          <w:sz w:val="24"/>
          <w:szCs w:val="28"/>
        </w:rPr>
        <w:t>签 订 日：二零一七年  月  日</w:t>
      </w:r>
    </w:p>
    <w:p w:rsidR="009100BE" w:rsidRPr="00AF5E7F" w:rsidRDefault="009100BE">
      <w:pPr>
        <w:adjustRightInd w:val="0"/>
        <w:snapToGrid w:val="0"/>
        <w:ind w:firstLineChars="200" w:firstLine="480"/>
        <w:rPr>
          <w:rFonts w:ascii="彩虹粗仿宋" w:eastAsia="彩虹粗仿宋" w:hAnsi="宋体" w:cs="Arial"/>
          <w:sz w:val="24"/>
        </w:rPr>
      </w:pPr>
    </w:p>
    <w:sectPr w:rsidR="009100BE" w:rsidRPr="00AF5E7F">
      <w:footerReference w:type="default" r:id="rId8"/>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47" w:rsidRDefault="00895047">
      <w:r>
        <w:separator/>
      </w:r>
    </w:p>
  </w:endnote>
  <w:endnote w:type="continuationSeparator" w:id="0">
    <w:p w:rsidR="00895047" w:rsidRDefault="0089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彩虹粗仿宋">
    <w:panose1 w:val="02010609000101010101"/>
    <w:charset w:val="86"/>
    <w:family w:val="modern"/>
    <w:pitch w:val="fixed"/>
    <w:sig w:usb0="00000001" w:usb1="080E0000" w:usb2="00000010" w:usb3="00000000" w:csb0="00040000" w:csb1="00000000"/>
  </w:font>
  <w:font w:name="TTF46827ACtCID-WinCharSetFFFF-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487248"/>
      <w:showingPlcHdr/>
    </w:sdtPr>
    <w:sdtEndPr/>
    <w:sdtContent>
      <w:p w:rsidR="005D6425" w:rsidRDefault="005D6425">
        <w:pPr>
          <w:pStyle w:val="a9"/>
          <w:jc w:val="center"/>
        </w:pPr>
        <w:r>
          <w:t xml:space="preserve">     </w:t>
        </w:r>
      </w:p>
    </w:sdtContent>
  </w:sdt>
  <w:p w:rsidR="005D6425" w:rsidRDefault="005D64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47" w:rsidRDefault="00895047">
      <w:r>
        <w:separator/>
      </w:r>
    </w:p>
  </w:footnote>
  <w:footnote w:type="continuationSeparator" w:id="0">
    <w:p w:rsidR="00895047" w:rsidRDefault="0089504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jy">
    <w15:presenceInfo w15:providerId="None" w15:userId="chenj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7D"/>
    <w:rsid w:val="0002511C"/>
    <w:rsid w:val="0003201D"/>
    <w:rsid w:val="000422F4"/>
    <w:rsid w:val="00043647"/>
    <w:rsid w:val="00047448"/>
    <w:rsid w:val="00061879"/>
    <w:rsid w:val="00062629"/>
    <w:rsid w:val="00065B6E"/>
    <w:rsid w:val="00087FEB"/>
    <w:rsid w:val="00094E36"/>
    <w:rsid w:val="000B5F5A"/>
    <w:rsid w:val="000C0CA1"/>
    <w:rsid w:val="000D2FEE"/>
    <w:rsid w:val="000D5F88"/>
    <w:rsid w:val="000D7675"/>
    <w:rsid w:val="000F38AC"/>
    <w:rsid w:val="000F7ADE"/>
    <w:rsid w:val="00112E39"/>
    <w:rsid w:val="001167F5"/>
    <w:rsid w:val="001401D6"/>
    <w:rsid w:val="001407CE"/>
    <w:rsid w:val="00141650"/>
    <w:rsid w:val="00142B32"/>
    <w:rsid w:val="00173F81"/>
    <w:rsid w:val="001939C2"/>
    <w:rsid w:val="00194EA8"/>
    <w:rsid w:val="001D7007"/>
    <w:rsid w:val="001E52C0"/>
    <w:rsid w:val="001E7610"/>
    <w:rsid w:val="00206CB0"/>
    <w:rsid w:val="002076E9"/>
    <w:rsid w:val="0021414E"/>
    <w:rsid w:val="00225B35"/>
    <w:rsid w:val="00251604"/>
    <w:rsid w:val="00260ED5"/>
    <w:rsid w:val="00262BBD"/>
    <w:rsid w:val="00271E27"/>
    <w:rsid w:val="002826BC"/>
    <w:rsid w:val="002B60B3"/>
    <w:rsid w:val="002D618E"/>
    <w:rsid w:val="002D6B55"/>
    <w:rsid w:val="002D73A6"/>
    <w:rsid w:val="002F4AF8"/>
    <w:rsid w:val="002F4FE0"/>
    <w:rsid w:val="00300CDE"/>
    <w:rsid w:val="00302580"/>
    <w:rsid w:val="00343AA0"/>
    <w:rsid w:val="00360BB4"/>
    <w:rsid w:val="00377215"/>
    <w:rsid w:val="003904D2"/>
    <w:rsid w:val="003A24BA"/>
    <w:rsid w:val="003C0D2B"/>
    <w:rsid w:val="003C3876"/>
    <w:rsid w:val="003C6147"/>
    <w:rsid w:val="003D4E44"/>
    <w:rsid w:val="003E5185"/>
    <w:rsid w:val="003F104E"/>
    <w:rsid w:val="003F18F3"/>
    <w:rsid w:val="004018C8"/>
    <w:rsid w:val="00421EB3"/>
    <w:rsid w:val="004262B2"/>
    <w:rsid w:val="004343F9"/>
    <w:rsid w:val="004452C0"/>
    <w:rsid w:val="00464105"/>
    <w:rsid w:val="0047617C"/>
    <w:rsid w:val="004A3DE1"/>
    <w:rsid w:val="004C0E3C"/>
    <w:rsid w:val="004D0DEB"/>
    <w:rsid w:val="004D35D1"/>
    <w:rsid w:val="004E0E58"/>
    <w:rsid w:val="004F6219"/>
    <w:rsid w:val="00507F17"/>
    <w:rsid w:val="00524DA7"/>
    <w:rsid w:val="00526075"/>
    <w:rsid w:val="00537D19"/>
    <w:rsid w:val="005916DF"/>
    <w:rsid w:val="005A1481"/>
    <w:rsid w:val="005C6AA2"/>
    <w:rsid w:val="005D6425"/>
    <w:rsid w:val="005F1B24"/>
    <w:rsid w:val="00603697"/>
    <w:rsid w:val="0060641D"/>
    <w:rsid w:val="00625923"/>
    <w:rsid w:val="0063503B"/>
    <w:rsid w:val="006455EE"/>
    <w:rsid w:val="006608F6"/>
    <w:rsid w:val="006654EA"/>
    <w:rsid w:val="0068261B"/>
    <w:rsid w:val="00690AFE"/>
    <w:rsid w:val="006A6EB2"/>
    <w:rsid w:val="006B2FB3"/>
    <w:rsid w:val="006D6D3D"/>
    <w:rsid w:val="00716959"/>
    <w:rsid w:val="00740C7D"/>
    <w:rsid w:val="00751A93"/>
    <w:rsid w:val="00766CC3"/>
    <w:rsid w:val="00770EC2"/>
    <w:rsid w:val="00795E9D"/>
    <w:rsid w:val="00796DA9"/>
    <w:rsid w:val="007A28CE"/>
    <w:rsid w:val="007C4344"/>
    <w:rsid w:val="007C6B30"/>
    <w:rsid w:val="007D0B60"/>
    <w:rsid w:val="007E6C36"/>
    <w:rsid w:val="00803808"/>
    <w:rsid w:val="00820D77"/>
    <w:rsid w:val="00824AD8"/>
    <w:rsid w:val="008253EC"/>
    <w:rsid w:val="00842512"/>
    <w:rsid w:val="00844436"/>
    <w:rsid w:val="00847156"/>
    <w:rsid w:val="0085001B"/>
    <w:rsid w:val="00861265"/>
    <w:rsid w:val="00865143"/>
    <w:rsid w:val="008710A6"/>
    <w:rsid w:val="008721B6"/>
    <w:rsid w:val="00876831"/>
    <w:rsid w:val="00887C26"/>
    <w:rsid w:val="00895047"/>
    <w:rsid w:val="00896BDA"/>
    <w:rsid w:val="008B2D92"/>
    <w:rsid w:val="008B4162"/>
    <w:rsid w:val="008C7774"/>
    <w:rsid w:val="009100BE"/>
    <w:rsid w:val="00927DC7"/>
    <w:rsid w:val="00930C66"/>
    <w:rsid w:val="00931F41"/>
    <w:rsid w:val="009364F7"/>
    <w:rsid w:val="00951CCA"/>
    <w:rsid w:val="00970420"/>
    <w:rsid w:val="0097078E"/>
    <w:rsid w:val="0098434E"/>
    <w:rsid w:val="0099179A"/>
    <w:rsid w:val="009A6CA7"/>
    <w:rsid w:val="009E5398"/>
    <w:rsid w:val="00A02FA0"/>
    <w:rsid w:val="00A1290C"/>
    <w:rsid w:val="00A1443C"/>
    <w:rsid w:val="00A30C96"/>
    <w:rsid w:val="00A477FA"/>
    <w:rsid w:val="00A611CD"/>
    <w:rsid w:val="00A6130A"/>
    <w:rsid w:val="00A71607"/>
    <w:rsid w:val="00A71D8B"/>
    <w:rsid w:val="00A71F74"/>
    <w:rsid w:val="00A73E62"/>
    <w:rsid w:val="00A91C74"/>
    <w:rsid w:val="00AA5FAE"/>
    <w:rsid w:val="00AB3039"/>
    <w:rsid w:val="00AD351D"/>
    <w:rsid w:val="00AF5E7F"/>
    <w:rsid w:val="00B04F10"/>
    <w:rsid w:val="00B713CF"/>
    <w:rsid w:val="00BA1844"/>
    <w:rsid w:val="00BB45E0"/>
    <w:rsid w:val="00BF7F5C"/>
    <w:rsid w:val="00C2177D"/>
    <w:rsid w:val="00C506E8"/>
    <w:rsid w:val="00C53F88"/>
    <w:rsid w:val="00C812F0"/>
    <w:rsid w:val="00CD4D8D"/>
    <w:rsid w:val="00CE1B54"/>
    <w:rsid w:val="00CE1CA9"/>
    <w:rsid w:val="00CF6EB9"/>
    <w:rsid w:val="00D075D9"/>
    <w:rsid w:val="00D201B3"/>
    <w:rsid w:val="00D21F8E"/>
    <w:rsid w:val="00D261DE"/>
    <w:rsid w:val="00D37522"/>
    <w:rsid w:val="00D402FF"/>
    <w:rsid w:val="00D4405C"/>
    <w:rsid w:val="00D52D6E"/>
    <w:rsid w:val="00D52E76"/>
    <w:rsid w:val="00D8609A"/>
    <w:rsid w:val="00D93A27"/>
    <w:rsid w:val="00DA3BC4"/>
    <w:rsid w:val="00E04950"/>
    <w:rsid w:val="00E128FB"/>
    <w:rsid w:val="00E51EF7"/>
    <w:rsid w:val="00E52234"/>
    <w:rsid w:val="00E71C7C"/>
    <w:rsid w:val="00E7492C"/>
    <w:rsid w:val="00EA4C6A"/>
    <w:rsid w:val="00EA4CD1"/>
    <w:rsid w:val="00EC7A7F"/>
    <w:rsid w:val="00EF1CE8"/>
    <w:rsid w:val="00F43684"/>
    <w:rsid w:val="00F574BC"/>
    <w:rsid w:val="00F74828"/>
    <w:rsid w:val="00FA097C"/>
    <w:rsid w:val="00FA14AB"/>
    <w:rsid w:val="00FB30C9"/>
    <w:rsid w:val="00FB349F"/>
    <w:rsid w:val="00FC1862"/>
    <w:rsid w:val="00FD7899"/>
    <w:rsid w:val="00FF5161"/>
    <w:rsid w:val="01182C77"/>
    <w:rsid w:val="013F23CC"/>
    <w:rsid w:val="01C60CF8"/>
    <w:rsid w:val="02476C12"/>
    <w:rsid w:val="027E6033"/>
    <w:rsid w:val="043F04B6"/>
    <w:rsid w:val="059454C9"/>
    <w:rsid w:val="065D0835"/>
    <w:rsid w:val="09262AC5"/>
    <w:rsid w:val="098449D5"/>
    <w:rsid w:val="09982A13"/>
    <w:rsid w:val="0A40400A"/>
    <w:rsid w:val="0BA552A0"/>
    <w:rsid w:val="0BFF5FCD"/>
    <w:rsid w:val="0C692E7C"/>
    <w:rsid w:val="0DFE7EE2"/>
    <w:rsid w:val="0E25095C"/>
    <w:rsid w:val="0F77590A"/>
    <w:rsid w:val="0FB43AF9"/>
    <w:rsid w:val="10873B98"/>
    <w:rsid w:val="115474BF"/>
    <w:rsid w:val="16A34AE6"/>
    <w:rsid w:val="16F33446"/>
    <w:rsid w:val="17550D31"/>
    <w:rsid w:val="17590FFA"/>
    <w:rsid w:val="180D3B68"/>
    <w:rsid w:val="18224C4A"/>
    <w:rsid w:val="1AC42951"/>
    <w:rsid w:val="1D2505E9"/>
    <w:rsid w:val="1DAD324E"/>
    <w:rsid w:val="1E3E72D2"/>
    <w:rsid w:val="1EBD1F28"/>
    <w:rsid w:val="266806F6"/>
    <w:rsid w:val="2B9B57E5"/>
    <w:rsid w:val="316C3A01"/>
    <w:rsid w:val="32721C8A"/>
    <w:rsid w:val="327F2D90"/>
    <w:rsid w:val="33AB0770"/>
    <w:rsid w:val="35A92966"/>
    <w:rsid w:val="362D037D"/>
    <w:rsid w:val="39F413F3"/>
    <w:rsid w:val="3DA77859"/>
    <w:rsid w:val="3F9E7267"/>
    <w:rsid w:val="416C026C"/>
    <w:rsid w:val="41B178EB"/>
    <w:rsid w:val="45580FE0"/>
    <w:rsid w:val="45D73301"/>
    <w:rsid w:val="49F07D0D"/>
    <w:rsid w:val="4F3A16F3"/>
    <w:rsid w:val="505E6487"/>
    <w:rsid w:val="553467FB"/>
    <w:rsid w:val="5662518B"/>
    <w:rsid w:val="5D6D28C3"/>
    <w:rsid w:val="612D7C22"/>
    <w:rsid w:val="62535FCB"/>
    <w:rsid w:val="62567AAA"/>
    <w:rsid w:val="62C11649"/>
    <w:rsid w:val="633F0EBD"/>
    <w:rsid w:val="639E73F5"/>
    <w:rsid w:val="655E27EA"/>
    <w:rsid w:val="68FD0629"/>
    <w:rsid w:val="6AF30204"/>
    <w:rsid w:val="6D285ED0"/>
    <w:rsid w:val="6D3B2408"/>
    <w:rsid w:val="73952609"/>
    <w:rsid w:val="73ED3647"/>
    <w:rsid w:val="74F632CD"/>
    <w:rsid w:val="750661D7"/>
    <w:rsid w:val="75DE26F6"/>
    <w:rsid w:val="77C3570E"/>
    <w:rsid w:val="782D5A07"/>
    <w:rsid w:val="7B233322"/>
    <w:rsid w:val="7B8B2B9F"/>
    <w:rsid w:val="7DA317DC"/>
    <w:rsid w:val="7F6D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lsdException w:name="toc 7" w:uiPriority="0" w:qFormat="1"/>
    <w:lsdException w:name="toc 8" w:uiPriority="0" w:qFormat="1"/>
    <w:lsdException w:name="toc 9" w:uiPriority="0" w:qFormat="1"/>
    <w:lsdException w:name="Normal Indent" w:semiHidden="0" w:uiPriority="0" w:qFormat="1"/>
    <w:lsdException w:name="footnote text" w:unhideWhenUsed="1"/>
    <w:lsdException w:name="annotation text" w:uiPriority="0" w:qFormat="1"/>
    <w:lsdException w:name="header" w:semiHidden="0" w:unhideWhenUsed="1"/>
    <w:lsdException w:name="footer" w:semiHidden="0" w:unhideWhenUsed="1"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1" w:unhideWhenUsed="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lsdException w:name="FollowedHyperlink" w:semiHidden="0" w:unhideWhenUsed="1" w:qFormat="1"/>
    <w:lsdException w:name="Strong"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nhideWhenUsed="1" w:qFormat="1"/>
    <w:lsdException w:name="HTML Sample" w:unhideWhenUsed="1"/>
    <w:lsdException w:name="HTML Typewriter" w:unhideWhenUsed="1"/>
    <w:lsdException w:name="HTML Variable" w:unhideWhenUsed="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uiPriority="59" w:unhideWhenUsed="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link w:val="Char"/>
    <w:qFormat/>
    <w:rPr>
      <w:b/>
      <w:bCs/>
    </w:rPr>
  </w:style>
  <w:style w:type="paragraph" w:styleId="a5">
    <w:name w:val="annotation text"/>
    <w:basedOn w:val="a"/>
    <w:link w:val="Char0"/>
    <w:semiHidden/>
    <w:qFormat/>
    <w:pPr>
      <w:jc w:val="left"/>
    </w:pPr>
  </w:style>
  <w:style w:type="paragraph" w:styleId="7">
    <w:name w:val="toc 7"/>
    <w:basedOn w:val="a"/>
    <w:next w:val="a"/>
    <w:semiHidden/>
    <w:qFormat/>
    <w:pPr>
      <w:ind w:leftChars="1200" w:left="2520"/>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rPr>
      <w:sz w:val="18"/>
      <w:szCs w:val="18"/>
    </w:rPr>
  </w:style>
  <w:style w:type="paragraph" w:styleId="a9">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Pr>
      <w:b/>
      <w:bCs/>
    </w:rPr>
  </w:style>
  <w:style w:type="character" w:styleId="ad">
    <w:name w:val="page number"/>
    <w:basedOn w:val="a1"/>
    <w:qFormat/>
  </w:style>
  <w:style w:type="character" w:styleId="ae">
    <w:name w:val="FollowedHyperlink"/>
    <w:uiPriority w:val="99"/>
    <w:unhideWhenUsed/>
    <w:qFormat/>
    <w:rPr>
      <w:color w:val="800080"/>
      <w:u w:val="single"/>
    </w:rPr>
  </w:style>
  <w:style w:type="character" w:styleId="af">
    <w:name w:val="Hyperlink"/>
    <w:rPr>
      <w:color w:val="0000FF"/>
      <w:u w:val="single"/>
    </w:rPr>
  </w:style>
  <w:style w:type="character" w:styleId="af0">
    <w:name w:val="annotation reference"/>
    <w:semiHidden/>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0">
    <w:name w:val="批注文字 Char"/>
    <w:link w:val="a5"/>
    <w:semiHidden/>
    <w:qFormat/>
    <w:rPr>
      <w:rFonts w:ascii="Times New Roman" w:eastAsia="宋体" w:hAnsi="Times New Roman" w:cs="Times New Roman"/>
      <w:szCs w:val="24"/>
    </w:rPr>
  </w:style>
  <w:style w:type="character" w:customStyle="1" w:styleId="read">
    <w:name w:val="read"/>
    <w:basedOn w:val="a1"/>
    <w:qFormat/>
  </w:style>
  <w:style w:type="character" w:customStyle="1" w:styleId="Char">
    <w:name w:val="批注主题 Char"/>
    <w:link w:val="a4"/>
    <w:rPr>
      <w:rFonts w:ascii="Times New Roman" w:eastAsia="宋体" w:hAnsi="Times New Roman" w:cs="Times New Roman"/>
      <w:b/>
      <w:bCs/>
      <w:szCs w:val="24"/>
    </w:rPr>
  </w:style>
  <w:style w:type="character" w:customStyle="1" w:styleId="2Char0">
    <w:name w:val="正文文本缩进 2 Char"/>
    <w:link w:val="20"/>
    <w:qFormat/>
    <w:rPr>
      <w:rFonts w:ascii="宋体" w:eastAsia="宋体" w:hAnsi="宋体" w:cs="Times New Roman"/>
      <w:sz w:val="28"/>
      <w:szCs w:val="20"/>
    </w:rPr>
  </w:style>
  <w:style w:type="character" w:customStyle="1" w:styleId="3Char">
    <w:name w:val="正文文本缩进 3 Char"/>
    <w:link w:val="30"/>
    <w:rPr>
      <w:rFonts w:ascii="仿宋_GB2312" w:eastAsia="仿宋_GB2312" w:hAnsi="宋体" w:cs="Arial"/>
      <w:color w:val="000000"/>
      <w:sz w:val="24"/>
      <w:szCs w:val="24"/>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2">
    <w:name w:val="正文文本缩进 Char"/>
    <w:link w:val="a7"/>
    <w:qFormat/>
    <w:rPr>
      <w:rFonts w:ascii="Times New Roman" w:eastAsia="方正仿宋简体" w:hAnsi="Times New Roman" w:cs="Times New Roman"/>
      <w:sz w:val="24"/>
      <w:szCs w:val="30"/>
    </w:rPr>
  </w:style>
  <w:style w:type="character" w:customStyle="1" w:styleId="Char4">
    <w:name w:val="页脚 Char"/>
    <w:link w:val="a9"/>
    <w:uiPriority w:val="99"/>
    <w:qFormat/>
    <w:rPr>
      <w:sz w:val="18"/>
      <w:szCs w:val="18"/>
    </w:rPr>
  </w:style>
  <w:style w:type="character" w:customStyle="1" w:styleId="Char3">
    <w:name w:val="批注框文本 Char"/>
    <w:link w:val="a8"/>
    <w:semiHidden/>
    <w:qFormat/>
    <w:rPr>
      <w:rFonts w:ascii="Times New Roman" w:eastAsia="宋体" w:hAnsi="Times New Roman" w:cs="Times New Roman"/>
      <w:sz w:val="18"/>
      <w:szCs w:val="18"/>
    </w:rPr>
  </w:style>
  <w:style w:type="character" w:customStyle="1" w:styleId="Char1">
    <w:name w:val="正文文本 Char"/>
    <w:link w:val="a6"/>
    <w:qFormat/>
    <w:rPr>
      <w:rFonts w:ascii="仿宋_GB2312" w:eastAsia="仿宋_GB2312" w:hAnsi="Times New Roman" w:cs="Times New Roman"/>
      <w:color w:val="000000"/>
      <w:kern w:val="0"/>
      <w:sz w:val="24"/>
      <w:szCs w:val="28"/>
    </w:rPr>
  </w:style>
  <w:style w:type="character" w:customStyle="1" w:styleId="Char5">
    <w:name w:val="页眉 Char"/>
    <w:link w:val="aa"/>
    <w:uiPriority w:val="99"/>
    <w:qFormat/>
    <w:rPr>
      <w:sz w:val="18"/>
      <w:szCs w:val="18"/>
    </w:rPr>
  </w:style>
  <w:style w:type="paragraph" w:customStyle="1" w:styleId="CharChar">
    <w:name w:val="Char Char"/>
    <w:basedOn w:val="a"/>
    <w:qFormat/>
    <w:rPr>
      <w:szCs w:val="20"/>
    </w:rPr>
  </w:style>
  <w:style w:type="paragraph" w:customStyle="1" w:styleId="Char10">
    <w:name w:val="Char1"/>
    <w:basedOn w:val="a"/>
    <w:pPr>
      <w:tabs>
        <w:tab w:val="left" w:pos="832"/>
      </w:tabs>
      <w:ind w:left="832" w:hanging="420"/>
      <w:jc w:val="center"/>
    </w:pPr>
    <w:rPr>
      <w:rFonts w:ascii="楷体_GB2312" w:eastAsia="楷体_GB2312"/>
      <w:b/>
      <w:color w:val="000080"/>
      <w:sz w:val="30"/>
      <w:szCs w:val="3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1">
    <w:name w:val="页眉 Char1"/>
    <w:basedOn w:val="a1"/>
    <w:uiPriority w:val="99"/>
    <w:semiHidden/>
    <w:qFormat/>
    <w:rPr>
      <w:rFonts w:ascii="Times New Roman" w:eastAsia="宋体" w:hAnsi="Times New Roman" w:cs="Times New Roman"/>
      <w:sz w:val="18"/>
      <w:szCs w:val="18"/>
    </w:rPr>
  </w:style>
  <w:style w:type="character" w:customStyle="1" w:styleId="Char12">
    <w:name w:val="批注框文本 Char1"/>
    <w:basedOn w:val="a1"/>
    <w:uiPriority w:val="99"/>
    <w:semiHidden/>
    <w:qFormat/>
    <w:rPr>
      <w:rFonts w:ascii="Times New Roman" w:eastAsia="宋体" w:hAnsi="Times New Roman" w:cs="Times New Roman"/>
      <w:sz w:val="18"/>
      <w:szCs w:val="18"/>
    </w:rPr>
  </w:style>
  <w:style w:type="paragraph" w:customStyle="1" w:styleId="Char6">
    <w:name w:val="Char"/>
    <w:basedOn w:val="a"/>
    <w:qFormat/>
  </w:style>
  <w:style w:type="character" w:customStyle="1" w:styleId="Char13">
    <w:name w:val="批注文字 Char1"/>
    <w:basedOn w:val="a1"/>
    <w:uiPriority w:val="99"/>
    <w:semiHidden/>
    <w:qFormat/>
    <w:rPr>
      <w:rFonts w:ascii="Times New Roman" w:eastAsia="宋体" w:hAnsi="Times New Roman" w:cs="Times New Roman"/>
      <w:szCs w:val="24"/>
    </w:rPr>
  </w:style>
  <w:style w:type="character" w:customStyle="1" w:styleId="Char14">
    <w:name w:val="正文文本缩进 Char1"/>
    <w:basedOn w:val="a1"/>
    <w:uiPriority w:val="99"/>
    <w:semiHidden/>
    <w:qFormat/>
    <w:rPr>
      <w:rFonts w:ascii="Times New Roman" w:eastAsia="宋体" w:hAnsi="Times New Roman" w:cs="Times New Roman"/>
      <w:szCs w:val="24"/>
    </w:rPr>
  </w:style>
  <w:style w:type="character" w:customStyle="1" w:styleId="Char15">
    <w:name w:val="正文文本 Char1"/>
    <w:basedOn w:val="a1"/>
    <w:uiPriority w:val="99"/>
    <w:semiHidden/>
    <w:qFormat/>
    <w:rPr>
      <w:rFonts w:ascii="Times New Roman" w:eastAsia="宋体" w:hAnsi="Times New Roman" w:cs="Times New Roman"/>
      <w:szCs w:val="24"/>
    </w:rPr>
  </w:style>
  <w:style w:type="character" w:customStyle="1" w:styleId="Char16">
    <w:name w:val="页脚 Char1"/>
    <w:basedOn w:val="a1"/>
    <w:uiPriority w:val="99"/>
    <w:semiHidden/>
    <w:qFormat/>
    <w:rPr>
      <w:rFonts w:ascii="Times New Roman" w:eastAsia="宋体" w:hAnsi="Times New Roman" w:cs="Times New Roman"/>
      <w:sz w:val="18"/>
      <w:szCs w:val="18"/>
    </w:rPr>
  </w:style>
  <w:style w:type="character" w:customStyle="1" w:styleId="2Char1">
    <w:name w:val="正文文本缩进 2 Char1"/>
    <w:basedOn w:val="a1"/>
    <w:uiPriority w:val="99"/>
    <w:semiHidden/>
    <w:qFormat/>
    <w:rPr>
      <w:rFonts w:ascii="Times New Roman" w:eastAsia="宋体" w:hAnsi="Times New Roman" w:cs="Times New Roman"/>
      <w:szCs w:val="24"/>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Char17">
    <w:name w:val="批注主题 Char1"/>
    <w:basedOn w:val="Char13"/>
    <w:uiPriority w:val="99"/>
    <w:semiHidden/>
    <w:qFormat/>
    <w:rPr>
      <w:rFonts w:ascii="Times New Roman" w:eastAsia="宋体" w:hAnsi="Times New Roman" w:cs="Times New Roman"/>
      <w:b/>
      <w:bCs/>
      <w:szCs w:val="24"/>
    </w:rPr>
  </w:style>
  <w:style w:type="paragraph" w:customStyle="1" w:styleId="10">
    <w:name w:val="修订1"/>
    <w:uiPriority w:val="99"/>
    <w:semiHidden/>
    <w:qFormat/>
    <w:rPr>
      <w:rFonts w:ascii="Times New Roman" w:eastAsia="宋体" w:hAnsi="Times New Roman" w:cs="Times New Roman"/>
      <w:kern w:val="2"/>
      <w:sz w:val="21"/>
      <w:szCs w:val="24"/>
    </w:rPr>
  </w:style>
  <w:style w:type="paragraph" w:customStyle="1" w:styleId="CharChar1">
    <w:name w:val="Char Char1"/>
    <w:basedOn w:val="a"/>
    <w:rPr>
      <w:szCs w:val="20"/>
    </w:rPr>
  </w:style>
  <w:style w:type="paragraph" w:customStyle="1" w:styleId="CharCharChar">
    <w:name w:val="Char Char Char"/>
    <w:basedOn w:val="a"/>
    <w:qFormat/>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paragraph" w:customStyle="1" w:styleId="CharCharCharCharCharCharChar1CharCharCharCharCharChar">
    <w:name w:val="Char Char Char Char Char Char Char1 Char Char Char Char Char Char"/>
    <w:basedOn w:val="a"/>
    <w:qFormat/>
  </w:style>
  <w:style w:type="paragraph" w:customStyle="1" w:styleId="CharChar2">
    <w:name w:val="Char Char2"/>
    <w:basedOn w:val="a"/>
    <w:qFormat/>
    <w:rPr>
      <w:szCs w:val="20"/>
    </w:rPr>
  </w:style>
  <w:style w:type="paragraph" w:customStyle="1" w:styleId="22">
    <w:name w:val="修订2"/>
    <w:hidden/>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lsdException w:name="toc 7" w:uiPriority="0" w:qFormat="1"/>
    <w:lsdException w:name="toc 8" w:uiPriority="0" w:qFormat="1"/>
    <w:lsdException w:name="toc 9" w:uiPriority="0" w:qFormat="1"/>
    <w:lsdException w:name="Normal Indent" w:semiHidden="0" w:uiPriority="0" w:qFormat="1"/>
    <w:lsdException w:name="footnote text" w:unhideWhenUsed="1"/>
    <w:lsdException w:name="annotation text" w:uiPriority="0" w:qFormat="1"/>
    <w:lsdException w:name="header" w:semiHidden="0" w:unhideWhenUsed="1"/>
    <w:lsdException w:name="footer" w:semiHidden="0" w:unhideWhenUsed="1"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1" w:unhideWhenUsed="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lsdException w:name="FollowedHyperlink" w:semiHidden="0" w:unhideWhenUsed="1" w:qFormat="1"/>
    <w:lsdException w:name="Strong"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nhideWhenUsed="1" w:qFormat="1"/>
    <w:lsdException w:name="HTML Sample" w:unhideWhenUsed="1"/>
    <w:lsdException w:name="HTML Typewriter" w:unhideWhenUsed="1"/>
    <w:lsdException w:name="HTML Variable" w:unhideWhenUsed="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uiPriority="59" w:unhideWhenUsed="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link w:val="Char"/>
    <w:qFormat/>
    <w:rPr>
      <w:b/>
      <w:bCs/>
    </w:rPr>
  </w:style>
  <w:style w:type="paragraph" w:styleId="a5">
    <w:name w:val="annotation text"/>
    <w:basedOn w:val="a"/>
    <w:link w:val="Char0"/>
    <w:semiHidden/>
    <w:qFormat/>
    <w:pPr>
      <w:jc w:val="left"/>
    </w:pPr>
  </w:style>
  <w:style w:type="paragraph" w:styleId="7">
    <w:name w:val="toc 7"/>
    <w:basedOn w:val="a"/>
    <w:next w:val="a"/>
    <w:semiHidden/>
    <w:qFormat/>
    <w:pPr>
      <w:ind w:leftChars="1200" w:left="2520"/>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rPr>
      <w:sz w:val="18"/>
      <w:szCs w:val="18"/>
    </w:rPr>
  </w:style>
  <w:style w:type="paragraph" w:styleId="a9">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Pr>
      <w:b/>
      <w:bCs/>
    </w:rPr>
  </w:style>
  <w:style w:type="character" w:styleId="ad">
    <w:name w:val="page number"/>
    <w:basedOn w:val="a1"/>
    <w:qFormat/>
  </w:style>
  <w:style w:type="character" w:styleId="ae">
    <w:name w:val="FollowedHyperlink"/>
    <w:uiPriority w:val="99"/>
    <w:unhideWhenUsed/>
    <w:qFormat/>
    <w:rPr>
      <w:color w:val="800080"/>
      <w:u w:val="single"/>
    </w:rPr>
  </w:style>
  <w:style w:type="character" w:styleId="af">
    <w:name w:val="Hyperlink"/>
    <w:rPr>
      <w:color w:val="0000FF"/>
      <w:u w:val="single"/>
    </w:rPr>
  </w:style>
  <w:style w:type="character" w:styleId="af0">
    <w:name w:val="annotation reference"/>
    <w:semiHidden/>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0">
    <w:name w:val="批注文字 Char"/>
    <w:link w:val="a5"/>
    <w:semiHidden/>
    <w:qFormat/>
    <w:rPr>
      <w:rFonts w:ascii="Times New Roman" w:eastAsia="宋体" w:hAnsi="Times New Roman" w:cs="Times New Roman"/>
      <w:szCs w:val="24"/>
    </w:rPr>
  </w:style>
  <w:style w:type="character" w:customStyle="1" w:styleId="read">
    <w:name w:val="read"/>
    <w:basedOn w:val="a1"/>
    <w:qFormat/>
  </w:style>
  <w:style w:type="character" w:customStyle="1" w:styleId="Char">
    <w:name w:val="批注主题 Char"/>
    <w:link w:val="a4"/>
    <w:rPr>
      <w:rFonts w:ascii="Times New Roman" w:eastAsia="宋体" w:hAnsi="Times New Roman" w:cs="Times New Roman"/>
      <w:b/>
      <w:bCs/>
      <w:szCs w:val="24"/>
    </w:rPr>
  </w:style>
  <w:style w:type="character" w:customStyle="1" w:styleId="2Char0">
    <w:name w:val="正文文本缩进 2 Char"/>
    <w:link w:val="20"/>
    <w:qFormat/>
    <w:rPr>
      <w:rFonts w:ascii="宋体" w:eastAsia="宋体" w:hAnsi="宋体" w:cs="Times New Roman"/>
      <w:sz w:val="28"/>
      <w:szCs w:val="20"/>
    </w:rPr>
  </w:style>
  <w:style w:type="character" w:customStyle="1" w:styleId="3Char">
    <w:name w:val="正文文本缩进 3 Char"/>
    <w:link w:val="30"/>
    <w:rPr>
      <w:rFonts w:ascii="仿宋_GB2312" w:eastAsia="仿宋_GB2312" w:hAnsi="宋体" w:cs="Arial"/>
      <w:color w:val="000000"/>
      <w:sz w:val="24"/>
      <w:szCs w:val="24"/>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2">
    <w:name w:val="正文文本缩进 Char"/>
    <w:link w:val="a7"/>
    <w:qFormat/>
    <w:rPr>
      <w:rFonts w:ascii="Times New Roman" w:eastAsia="方正仿宋简体" w:hAnsi="Times New Roman" w:cs="Times New Roman"/>
      <w:sz w:val="24"/>
      <w:szCs w:val="30"/>
    </w:rPr>
  </w:style>
  <w:style w:type="character" w:customStyle="1" w:styleId="Char4">
    <w:name w:val="页脚 Char"/>
    <w:link w:val="a9"/>
    <w:uiPriority w:val="99"/>
    <w:qFormat/>
    <w:rPr>
      <w:sz w:val="18"/>
      <w:szCs w:val="18"/>
    </w:rPr>
  </w:style>
  <w:style w:type="character" w:customStyle="1" w:styleId="Char3">
    <w:name w:val="批注框文本 Char"/>
    <w:link w:val="a8"/>
    <w:semiHidden/>
    <w:qFormat/>
    <w:rPr>
      <w:rFonts w:ascii="Times New Roman" w:eastAsia="宋体" w:hAnsi="Times New Roman" w:cs="Times New Roman"/>
      <w:sz w:val="18"/>
      <w:szCs w:val="18"/>
    </w:rPr>
  </w:style>
  <w:style w:type="character" w:customStyle="1" w:styleId="Char1">
    <w:name w:val="正文文本 Char"/>
    <w:link w:val="a6"/>
    <w:qFormat/>
    <w:rPr>
      <w:rFonts w:ascii="仿宋_GB2312" w:eastAsia="仿宋_GB2312" w:hAnsi="Times New Roman" w:cs="Times New Roman"/>
      <w:color w:val="000000"/>
      <w:kern w:val="0"/>
      <w:sz w:val="24"/>
      <w:szCs w:val="28"/>
    </w:rPr>
  </w:style>
  <w:style w:type="character" w:customStyle="1" w:styleId="Char5">
    <w:name w:val="页眉 Char"/>
    <w:link w:val="aa"/>
    <w:uiPriority w:val="99"/>
    <w:qFormat/>
    <w:rPr>
      <w:sz w:val="18"/>
      <w:szCs w:val="18"/>
    </w:rPr>
  </w:style>
  <w:style w:type="paragraph" w:customStyle="1" w:styleId="CharChar">
    <w:name w:val="Char Char"/>
    <w:basedOn w:val="a"/>
    <w:qFormat/>
    <w:rPr>
      <w:szCs w:val="20"/>
    </w:rPr>
  </w:style>
  <w:style w:type="paragraph" w:customStyle="1" w:styleId="Char10">
    <w:name w:val="Char1"/>
    <w:basedOn w:val="a"/>
    <w:pPr>
      <w:tabs>
        <w:tab w:val="left" w:pos="832"/>
      </w:tabs>
      <w:ind w:left="832" w:hanging="420"/>
      <w:jc w:val="center"/>
    </w:pPr>
    <w:rPr>
      <w:rFonts w:ascii="楷体_GB2312" w:eastAsia="楷体_GB2312"/>
      <w:b/>
      <w:color w:val="000080"/>
      <w:sz w:val="30"/>
      <w:szCs w:val="3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1">
    <w:name w:val="页眉 Char1"/>
    <w:basedOn w:val="a1"/>
    <w:uiPriority w:val="99"/>
    <w:semiHidden/>
    <w:qFormat/>
    <w:rPr>
      <w:rFonts w:ascii="Times New Roman" w:eastAsia="宋体" w:hAnsi="Times New Roman" w:cs="Times New Roman"/>
      <w:sz w:val="18"/>
      <w:szCs w:val="18"/>
    </w:rPr>
  </w:style>
  <w:style w:type="character" w:customStyle="1" w:styleId="Char12">
    <w:name w:val="批注框文本 Char1"/>
    <w:basedOn w:val="a1"/>
    <w:uiPriority w:val="99"/>
    <w:semiHidden/>
    <w:qFormat/>
    <w:rPr>
      <w:rFonts w:ascii="Times New Roman" w:eastAsia="宋体" w:hAnsi="Times New Roman" w:cs="Times New Roman"/>
      <w:sz w:val="18"/>
      <w:szCs w:val="18"/>
    </w:rPr>
  </w:style>
  <w:style w:type="paragraph" w:customStyle="1" w:styleId="Char6">
    <w:name w:val="Char"/>
    <w:basedOn w:val="a"/>
    <w:qFormat/>
  </w:style>
  <w:style w:type="character" w:customStyle="1" w:styleId="Char13">
    <w:name w:val="批注文字 Char1"/>
    <w:basedOn w:val="a1"/>
    <w:uiPriority w:val="99"/>
    <w:semiHidden/>
    <w:qFormat/>
    <w:rPr>
      <w:rFonts w:ascii="Times New Roman" w:eastAsia="宋体" w:hAnsi="Times New Roman" w:cs="Times New Roman"/>
      <w:szCs w:val="24"/>
    </w:rPr>
  </w:style>
  <w:style w:type="character" w:customStyle="1" w:styleId="Char14">
    <w:name w:val="正文文本缩进 Char1"/>
    <w:basedOn w:val="a1"/>
    <w:uiPriority w:val="99"/>
    <w:semiHidden/>
    <w:qFormat/>
    <w:rPr>
      <w:rFonts w:ascii="Times New Roman" w:eastAsia="宋体" w:hAnsi="Times New Roman" w:cs="Times New Roman"/>
      <w:szCs w:val="24"/>
    </w:rPr>
  </w:style>
  <w:style w:type="character" w:customStyle="1" w:styleId="Char15">
    <w:name w:val="正文文本 Char1"/>
    <w:basedOn w:val="a1"/>
    <w:uiPriority w:val="99"/>
    <w:semiHidden/>
    <w:qFormat/>
    <w:rPr>
      <w:rFonts w:ascii="Times New Roman" w:eastAsia="宋体" w:hAnsi="Times New Roman" w:cs="Times New Roman"/>
      <w:szCs w:val="24"/>
    </w:rPr>
  </w:style>
  <w:style w:type="character" w:customStyle="1" w:styleId="Char16">
    <w:name w:val="页脚 Char1"/>
    <w:basedOn w:val="a1"/>
    <w:uiPriority w:val="99"/>
    <w:semiHidden/>
    <w:qFormat/>
    <w:rPr>
      <w:rFonts w:ascii="Times New Roman" w:eastAsia="宋体" w:hAnsi="Times New Roman" w:cs="Times New Roman"/>
      <w:sz w:val="18"/>
      <w:szCs w:val="18"/>
    </w:rPr>
  </w:style>
  <w:style w:type="character" w:customStyle="1" w:styleId="2Char1">
    <w:name w:val="正文文本缩进 2 Char1"/>
    <w:basedOn w:val="a1"/>
    <w:uiPriority w:val="99"/>
    <w:semiHidden/>
    <w:qFormat/>
    <w:rPr>
      <w:rFonts w:ascii="Times New Roman" w:eastAsia="宋体" w:hAnsi="Times New Roman" w:cs="Times New Roman"/>
      <w:szCs w:val="24"/>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Char17">
    <w:name w:val="批注主题 Char1"/>
    <w:basedOn w:val="Char13"/>
    <w:uiPriority w:val="99"/>
    <w:semiHidden/>
    <w:qFormat/>
    <w:rPr>
      <w:rFonts w:ascii="Times New Roman" w:eastAsia="宋体" w:hAnsi="Times New Roman" w:cs="Times New Roman"/>
      <w:b/>
      <w:bCs/>
      <w:szCs w:val="24"/>
    </w:rPr>
  </w:style>
  <w:style w:type="paragraph" w:customStyle="1" w:styleId="10">
    <w:name w:val="修订1"/>
    <w:uiPriority w:val="99"/>
    <w:semiHidden/>
    <w:qFormat/>
    <w:rPr>
      <w:rFonts w:ascii="Times New Roman" w:eastAsia="宋体" w:hAnsi="Times New Roman" w:cs="Times New Roman"/>
      <w:kern w:val="2"/>
      <w:sz w:val="21"/>
      <w:szCs w:val="24"/>
    </w:rPr>
  </w:style>
  <w:style w:type="paragraph" w:customStyle="1" w:styleId="CharChar1">
    <w:name w:val="Char Char1"/>
    <w:basedOn w:val="a"/>
    <w:rPr>
      <w:szCs w:val="20"/>
    </w:rPr>
  </w:style>
  <w:style w:type="paragraph" w:customStyle="1" w:styleId="CharCharChar">
    <w:name w:val="Char Char Char"/>
    <w:basedOn w:val="a"/>
    <w:qFormat/>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paragraph" w:customStyle="1" w:styleId="CharCharCharCharCharCharChar1CharCharCharCharCharChar">
    <w:name w:val="Char Char Char Char Char Char Char1 Char Char Char Char Char Char"/>
    <w:basedOn w:val="a"/>
    <w:qFormat/>
  </w:style>
  <w:style w:type="paragraph" w:customStyle="1" w:styleId="CharChar2">
    <w:name w:val="Char Char2"/>
    <w:basedOn w:val="a"/>
    <w:qFormat/>
    <w:rPr>
      <w:szCs w:val="20"/>
    </w:rPr>
  </w:style>
  <w:style w:type="paragraph" w:customStyle="1" w:styleId="22">
    <w:name w:val="修订2"/>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4739</Words>
  <Characters>27013</Characters>
  <Application>Microsoft Office Word</Application>
  <DocSecurity>0</DocSecurity>
  <Lines>225</Lines>
  <Paragraphs>63</Paragraphs>
  <ScaleCrop>false</ScaleCrop>
  <Company/>
  <LinksUpToDate>false</LinksUpToDate>
  <CharactersWithSpaces>31689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张军</dc:creator>
  <cp:lastModifiedBy>王辉</cp:lastModifiedBy>
  <cp:revision>58</cp:revision>
  <cp:lastPrinted>2017-06-07T02:04:00Z</cp:lastPrinted>
  <dcterms:created xsi:type="dcterms:W3CDTF">2017-04-10T05:48:00Z</dcterms:created>
  <dcterms:modified xsi:type="dcterms:W3CDTF">2017-11-15T07:13:00Z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