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5D40BF" w:rsidRDefault="005D40BF" w:rsidP="005D40BF">
      <w:pPr>
        <w:adjustRightInd w:val="0"/>
        <w:snapToGrid w:val="0"/>
        <w:jc w:val="center"/>
        <w:rPr>
          <w:rFonts w:asciiTheme="minorEastAsia" w:eastAsiaTheme="minorEastAsia" w:hAnsiTheme="minorEastAsia" w:cs="Arial"/>
          <w:sz w:val="24"/>
        </w:rPr>
      </w:pPr>
    </w:p>
    <w:p w:rsidR="005D40BF" w:rsidRPr="00D36FA2" w:rsidRDefault="00DE1CE6" w:rsidP="005D40BF">
      <w:pPr>
        <w:adjustRightInd w:val="0"/>
        <w:snapToGrid w:val="0"/>
        <w:jc w:val="center"/>
        <w:rPr>
          <w:rFonts w:asciiTheme="minorEastAsia" w:eastAsiaTheme="minorEastAsia" w:hAnsiTheme="minorEastAsia" w:cs="Arial"/>
          <w:b/>
          <w:sz w:val="52"/>
          <w:szCs w:val="52"/>
        </w:rPr>
      </w:pPr>
      <w:r w:rsidRPr="00D36FA2">
        <w:rPr>
          <w:rFonts w:asciiTheme="minorEastAsia" w:eastAsiaTheme="minorEastAsia" w:hAnsiTheme="minorEastAsia" w:cs="Arial" w:hint="eastAsia"/>
          <w:b/>
          <w:sz w:val="52"/>
          <w:szCs w:val="52"/>
        </w:rPr>
        <w:t>富国</w:t>
      </w:r>
      <w:r w:rsidR="008171EB" w:rsidRPr="00D36FA2">
        <w:rPr>
          <w:rFonts w:asciiTheme="minorEastAsia" w:eastAsiaTheme="minorEastAsia" w:hAnsiTheme="minorEastAsia" w:cs="Arial" w:hint="eastAsia"/>
          <w:b/>
          <w:sz w:val="52"/>
          <w:szCs w:val="52"/>
        </w:rPr>
        <w:t>鼎利</w:t>
      </w:r>
      <w:r w:rsidRPr="00D36FA2">
        <w:rPr>
          <w:rFonts w:asciiTheme="minorEastAsia" w:eastAsiaTheme="minorEastAsia" w:hAnsiTheme="minorEastAsia" w:cs="Arial" w:hint="eastAsia"/>
          <w:b/>
          <w:sz w:val="52"/>
          <w:szCs w:val="52"/>
        </w:rPr>
        <w:t xml:space="preserve">纯债债券型发起式       </w:t>
      </w:r>
      <w:r w:rsidR="005D40BF" w:rsidRPr="00D36FA2">
        <w:rPr>
          <w:rFonts w:asciiTheme="minorEastAsia" w:eastAsiaTheme="minorEastAsia" w:hAnsiTheme="minorEastAsia" w:cs="Arial" w:hint="eastAsia"/>
          <w:b/>
          <w:sz w:val="52"/>
          <w:szCs w:val="52"/>
        </w:rPr>
        <w:t>证券投资基金</w:t>
      </w:r>
    </w:p>
    <w:p w:rsidR="005D40BF" w:rsidRPr="00D36FA2" w:rsidRDefault="005D40BF" w:rsidP="005D40BF">
      <w:pPr>
        <w:adjustRightInd w:val="0"/>
        <w:snapToGrid w:val="0"/>
        <w:jc w:val="center"/>
        <w:rPr>
          <w:rFonts w:asciiTheme="minorEastAsia" w:eastAsiaTheme="minorEastAsia" w:hAnsiTheme="minorEastAsia" w:cs="Arial"/>
          <w:b/>
          <w:sz w:val="52"/>
          <w:szCs w:val="52"/>
        </w:rPr>
      </w:pPr>
      <w:r w:rsidRPr="00D36FA2">
        <w:rPr>
          <w:rFonts w:asciiTheme="minorEastAsia" w:eastAsiaTheme="minorEastAsia" w:hAnsiTheme="minorEastAsia" w:cs="Arial" w:hint="eastAsia"/>
          <w:b/>
          <w:sz w:val="52"/>
          <w:szCs w:val="52"/>
        </w:rPr>
        <w:t>托管协议</w:t>
      </w: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36"/>
          <w:szCs w:val="36"/>
        </w:rPr>
      </w:pPr>
    </w:p>
    <w:p w:rsidR="005D40BF" w:rsidRPr="00D36FA2" w:rsidRDefault="009E6D7E" w:rsidP="005D40BF">
      <w:pPr>
        <w:adjustRightInd w:val="0"/>
        <w:snapToGrid w:val="0"/>
        <w:jc w:val="center"/>
        <w:outlineLvl w:val="0"/>
        <w:rPr>
          <w:rFonts w:asciiTheme="minorEastAsia" w:eastAsiaTheme="minorEastAsia" w:hAnsiTheme="minorEastAsia" w:cs="Arial"/>
          <w:b/>
          <w:bCs/>
          <w:sz w:val="36"/>
          <w:szCs w:val="36"/>
        </w:rPr>
      </w:pPr>
      <w:r w:rsidRPr="00D36FA2">
        <w:rPr>
          <w:rFonts w:asciiTheme="minorEastAsia" w:eastAsiaTheme="minorEastAsia" w:hAnsiTheme="minorEastAsia" w:cs="Arial" w:hint="eastAsia"/>
          <w:b/>
          <w:bCs/>
          <w:sz w:val="36"/>
          <w:szCs w:val="36"/>
        </w:rPr>
        <w:t>基金管理人：富国基金管理有限公司</w:t>
      </w:r>
    </w:p>
    <w:p w:rsidR="005D40BF" w:rsidRPr="00D36FA2" w:rsidRDefault="009E6D7E" w:rsidP="005D40BF">
      <w:pPr>
        <w:adjustRightInd w:val="0"/>
        <w:snapToGrid w:val="0"/>
        <w:jc w:val="center"/>
        <w:outlineLvl w:val="0"/>
        <w:rPr>
          <w:rFonts w:asciiTheme="minorEastAsia" w:eastAsiaTheme="minorEastAsia" w:hAnsiTheme="minorEastAsia" w:cs="Arial"/>
          <w:b/>
          <w:bCs/>
          <w:sz w:val="36"/>
          <w:szCs w:val="36"/>
        </w:rPr>
      </w:pPr>
      <w:r w:rsidRPr="00D36FA2">
        <w:rPr>
          <w:rFonts w:asciiTheme="minorEastAsia" w:eastAsiaTheme="minorEastAsia" w:hAnsiTheme="minorEastAsia" w:cs="Arial"/>
          <w:b/>
          <w:bCs/>
          <w:sz w:val="36"/>
          <w:szCs w:val="36"/>
        </w:rPr>
        <w:t xml:space="preserve">    </w:t>
      </w:r>
      <w:r w:rsidRPr="00D36FA2">
        <w:rPr>
          <w:rFonts w:asciiTheme="minorEastAsia" w:eastAsiaTheme="minorEastAsia" w:hAnsiTheme="minorEastAsia" w:cs="Arial" w:hint="eastAsia"/>
          <w:b/>
          <w:bCs/>
          <w:sz w:val="36"/>
          <w:szCs w:val="36"/>
        </w:rPr>
        <w:t>基金托管人：中国建设银行股份有限公司</w:t>
      </w: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outlineLvl w:val="0"/>
        <w:rPr>
          <w:rFonts w:asciiTheme="minorEastAsia" w:eastAsiaTheme="minorEastAsia" w:hAnsiTheme="minorEastAsia" w:cs="Arial"/>
          <w:b/>
          <w:sz w:val="30"/>
          <w:szCs w:val="30"/>
        </w:rPr>
      </w:pPr>
      <w:r w:rsidRPr="00D36FA2">
        <w:rPr>
          <w:rFonts w:asciiTheme="minorEastAsia" w:eastAsiaTheme="minorEastAsia" w:hAnsiTheme="minorEastAsia" w:cs="Arial" w:hint="eastAsia"/>
          <w:sz w:val="24"/>
        </w:rPr>
        <w:t xml:space="preserve">                          </w:t>
      </w:r>
      <w:r w:rsidR="009E6D7E" w:rsidRPr="00D36FA2">
        <w:rPr>
          <w:rFonts w:asciiTheme="minorEastAsia" w:eastAsiaTheme="minorEastAsia" w:hAnsiTheme="minorEastAsia" w:cs="Arial"/>
          <w:b/>
          <w:sz w:val="24"/>
        </w:rPr>
        <w:t xml:space="preserve"> </w:t>
      </w:r>
      <w:r w:rsidR="009E6D7E" w:rsidRPr="00D36FA2">
        <w:rPr>
          <w:rFonts w:asciiTheme="minorEastAsia" w:eastAsiaTheme="minorEastAsia" w:hAnsiTheme="minorEastAsia" w:cs="Arial"/>
          <w:b/>
          <w:sz w:val="30"/>
          <w:szCs w:val="30"/>
        </w:rPr>
        <w:t xml:space="preserve"> 二零一</w:t>
      </w:r>
      <w:r w:rsidRPr="00D36FA2">
        <w:rPr>
          <w:rFonts w:asciiTheme="minorEastAsia" w:eastAsiaTheme="minorEastAsia" w:hAnsiTheme="minorEastAsia" w:cs="Arial" w:hint="eastAsia"/>
          <w:b/>
          <w:sz w:val="30"/>
          <w:szCs w:val="30"/>
        </w:rPr>
        <w:t>六</w:t>
      </w:r>
      <w:r w:rsidR="009E6D7E" w:rsidRPr="00D36FA2">
        <w:rPr>
          <w:rFonts w:asciiTheme="minorEastAsia" w:eastAsiaTheme="minorEastAsia" w:hAnsiTheme="minorEastAsia" w:cs="Arial" w:hint="eastAsia"/>
          <w:b/>
          <w:sz w:val="30"/>
          <w:szCs w:val="30"/>
        </w:rPr>
        <w:t>年</w:t>
      </w:r>
      <w:r w:rsidRPr="00D36FA2">
        <w:rPr>
          <w:rFonts w:asciiTheme="minorEastAsia" w:eastAsiaTheme="minorEastAsia" w:hAnsiTheme="minorEastAsia" w:cs="Arial" w:hint="eastAsia"/>
          <w:b/>
          <w:sz w:val="30"/>
          <w:szCs w:val="30"/>
        </w:rPr>
        <w:t>十</w:t>
      </w:r>
      <w:r w:rsidR="009E6D7E" w:rsidRPr="00D36FA2">
        <w:rPr>
          <w:rFonts w:asciiTheme="minorEastAsia" w:eastAsiaTheme="minorEastAsia" w:hAnsiTheme="minorEastAsia" w:cs="Arial" w:hint="eastAsia"/>
          <w:b/>
          <w:sz w:val="30"/>
          <w:szCs w:val="30"/>
        </w:rPr>
        <w:t>月</w:t>
      </w:r>
    </w:p>
    <w:p w:rsidR="005D40BF" w:rsidRPr="00D36FA2" w:rsidRDefault="005D40BF" w:rsidP="005D40BF">
      <w:pPr>
        <w:adjustRightInd w:val="0"/>
        <w:snapToGrid w:val="0"/>
        <w:jc w:val="center"/>
        <w:outlineLvl w:val="0"/>
        <w:rPr>
          <w:rFonts w:asciiTheme="minorEastAsia" w:eastAsiaTheme="minorEastAsia" w:hAnsiTheme="minorEastAsia" w:cs="Arial"/>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pPr>
    </w:p>
    <w:p w:rsidR="005D40BF" w:rsidRPr="00D36FA2" w:rsidRDefault="005D40BF" w:rsidP="005D40BF">
      <w:pPr>
        <w:adjustRightInd w:val="0"/>
        <w:snapToGrid w:val="0"/>
        <w:jc w:val="center"/>
        <w:rPr>
          <w:rFonts w:asciiTheme="minorEastAsia" w:eastAsiaTheme="minorEastAsia" w:hAnsiTheme="minorEastAsia" w:cs="Arial"/>
          <w:bCs/>
          <w:sz w:val="24"/>
        </w:rPr>
        <w:sectPr w:rsidR="005D40BF" w:rsidRPr="00D36FA2">
          <w:footerReference w:type="even" r:id="rId8"/>
          <w:footerReference w:type="default" r:id="rId9"/>
          <w:pgSz w:w="11906" w:h="16838" w:code="9"/>
          <w:pgMar w:top="1418" w:right="1701" w:bottom="1418" w:left="1701" w:header="851" w:footer="992" w:gutter="0"/>
          <w:cols w:space="425"/>
          <w:docGrid w:type="lines" w:linePitch="312"/>
        </w:sectPr>
      </w:pPr>
    </w:p>
    <w:p w:rsidR="005D40BF" w:rsidRPr="00D36FA2" w:rsidRDefault="005D40BF" w:rsidP="005D40BF">
      <w:pPr>
        <w:adjustRightInd w:val="0"/>
        <w:snapToGrid w:val="0"/>
        <w:rPr>
          <w:rFonts w:asciiTheme="minorEastAsia" w:eastAsiaTheme="minorEastAsia" w:hAnsiTheme="minorEastAsia" w:cs="Arial"/>
          <w:bCs/>
          <w:sz w:val="24"/>
        </w:rPr>
      </w:pPr>
    </w:p>
    <w:p w:rsidR="005D40BF" w:rsidRPr="00D36FA2" w:rsidRDefault="005D40BF" w:rsidP="005D40BF">
      <w:pPr>
        <w:jc w:val="center"/>
        <w:rPr>
          <w:rFonts w:asciiTheme="minorEastAsia" w:eastAsiaTheme="minorEastAsia" w:hAnsiTheme="minorEastAsia"/>
          <w:b/>
          <w:bCs/>
          <w:sz w:val="30"/>
        </w:rPr>
      </w:pPr>
      <w:r w:rsidRPr="00D36FA2">
        <w:rPr>
          <w:rFonts w:asciiTheme="minorEastAsia" w:eastAsiaTheme="minorEastAsia" w:hAnsiTheme="minorEastAsia" w:hint="eastAsia"/>
          <w:b/>
          <w:bCs/>
          <w:sz w:val="30"/>
        </w:rPr>
        <w:t>目    录</w:t>
      </w:r>
    </w:p>
    <w:p w:rsidR="005D40BF" w:rsidRPr="00D36FA2" w:rsidRDefault="009E6D7E" w:rsidP="005D40BF">
      <w:pPr>
        <w:pStyle w:val="21"/>
        <w:tabs>
          <w:tab w:val="right" w:leader="dot" w:pos="8494"/>
        </w:tabs>
        <w:rPr>
          <w:rFonts w:asciiTheme="minorEastAsia" w:eastAsiaTheme="minorEastAsia" w:hAnsiTheme="minorEastAsia"/>
          <w:noProof/>
          <w:sz w:val="28"/>
        </w:rPr>
      </w:pPr>
      <w:r w:rsidRPr="00D36FA2">
        <w:rPr>
          <w:rFonts w:asciiTheme="minorEastAsia" w:eastAsiaTheme="minorEastAsia" w:hAnsiTheme="minorEastAsia" w:hint="eastAsia"/>
          <w:sz w:val="28"/>
        </w:rPr>
        <w:fldChar w:fldCharType="begin"/>
      </w:r>
      <w:r w:rsidR="005D40BF" w:rsidRPr="00D36FA2">
        <w:rPr>
          <w:rFonts w:asciiTheme="minorEastAsia" w:eastAsiaTheme="minorEastAsia" w:hAnsiTheme="minorEastAsia" w:hint="eastAsia"/>
          <w:sz w:val="28"/>
        </w:rPr>
        <w:instrText xml:space="preserve"> TOC \o "1-2" \h \z </w:instrText>
      </w:r>
      <w:r w:rsidRPr="00D36FA2">
        <w:rPr>
          <w:rFonts w:asciiTheme="minorEastAsia" w:eastAsiaTheme="minorEastAsia" w:hAnsiTheme="minorEastAsia" w:hint="eastAsia"/>
          <w:sz w:val="28"/>
        </w:rPr>
        <w:fldChar w:fldCharType="separate"/>
      </w:r>
      <w:hyperlink w:anchor="_Toc124325885" w:history="1">
        <w:r w:rsidR="005D40BF" w:rsidRPr="00D36FA2">
          <w:rPr>
            <w:rStyle w:val="a9"/>
            <w:rFonts w:asciiTheme="minorEastAsia" w:eastAsiaTheme="minorEastAsia" w:hAnsiTheme="minorEastAsia" w:hint="eastAsia"/>
            <w:noProof/>
            <w:sz w:val="28"/>
            <w:szCs w:val="32"/>
          </w:rPr>
          <w:t>一、基金托管协议当事人</w:t>
        </w:r>
        <w:r w:rsidR="005D40BF" w:rsidRPr="00D36FA2">
          <w:rPr>
            <w:rFonts w:asciiTheme="minorEastAsia" w:eastAsiaTheme="minorEastAsia" w:hAnsiTheme="minorEastAsia" w:hint="eastAsia"/>
            <w:noProof/>
            <w:webHidden/>
            <w:sz w:val="28"/>
          </w:rPr>
          <w:tab/>
        </w:r>
        <w:r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_Toc124325885 \h </w:instrText>
        </w:r>
        <w:r w:rsidRPr="00D36FA2">
          <w:rPr>
            <w:rFonts w:asciiTheme="minorEastAsia" w:eastAsiaTheme="minorEastAsia" w:hAnsiTheme="minorEastAsia" w:hint="eastAsia"/>
            <w:noProof/>
            <w:webHidden/>
            <w:sz w:val="28"/>
          </w:rPr>
        </w:r>
        <w:r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3</w:t>
        </w:r>
        <w:r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86" w:history="1">
        <w:r w:rsidR="005D40BF" w:rsidRPr="00D36FA2">
          <w:rPr>
            <w:rStyle w:val="a9"/>
            <w:rFonts w:asciiTheme="minorEastAsia" w:eastAsiaTheme="minorEastAsia" w:hAnsiTheme="minorEastAsia" w:hint="eastAsia"/>
            <w:noProof/>
            <w:sz w:val="28"/>
            <w:szCs w:val="32"/>
          </w:rPr>
          <w:t>二、基金托管协议的依据、目的和原则</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_Toc124325886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4</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87" w:history="1">
        <w:r w:rsidR="005D40BF" w:rsidRPr="00D36FA2">
          <w:rPr>
            <w:rStyle w:val="a9"/>
            <w:rFonts w:asciiTheme="minorEastAsia" w:eastAsiaTheme="minorEastAsia" w:hAnsiTheme="minorEastAsia" w:hint="eastAsia"/>
            <w:noProof/>
            <w:sz w:val="28"/>
            <w:szCs w:val="32"/>
          </w:rPr>
          <w:t>三、基金托管人对基金管理人的业务监督和核查</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_Toc124325887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4</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88" w:history="1">
        <w:r w:rsidR="005D40BF" w:rsidRPr="00D36FA2">
          <w:rPr>
            <w:rStyle w:val="a9"/>
            <w:rFonts w:asciiTheme="minorEastAsia" w:eastAsiaTheme="minorEastAsia" w:hAnsiTheme="minorEastAsia" w:hint="eastAsia"/>
            <w:noProof/>
            <w:sz w:val="28"/>
            <w:szCs w:val="32"/>
          </w:rPr>
          <w:t>四、基金管理人对基金托管人的业务核查</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_Toc124325888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9</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89" w:history="1">
        <w:r w:rsidR="005D40BF" w:rsidRPr="00D36FA2">
          <w:rPr>
            <w:rStyle w:val="a9"/>
            <w:rFonts w:asciiTheme="minorEastAsia" w:eastAsiaTheme="minorEastAsia" w:hAnsiTheme="minorEastAsia" w:hint="eastAsia"/>
            <w:noProof/>
            <w:sz w:val="28"/>
            <w:szCs w:val="32"/>
          </w:rPr>
          <w:t>五、基金财产的保管</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_Toc124325889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10</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0" w:history="1">
        <w:r w:rsidR="005D40BF" w:rsidRPr="00D36FA2">
          <w:rPr>
            <w:rStyle w:val="a9"/>
            <w:rFonts w:asciiTheme="minorEastAsia" w:eastAsiaTheme="minorEastAsia" w:hAnsiTheme="minorEastAsia" w:hint="eastAsia"/>
            <w:noProof/>
            <w:sz w:val="28"/>
            <w:szCs w:val="32"/>
          </w:rPr>
          <w:t>六、指令的发送、确认及执行</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_Toc124325890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12</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1" w:history="1">
        <w:r w:rsidR="005D40BF" w:rsidRPr="00D36FA2">
          <w:rPr>
            <w:rStyle w:val="a9"/>
            <w:rFonts w:asciiTheme="minorEastAsia" w:eastAsiaTheme="minorEastAsia" w:hAnsiTheme="minorEastAsia" w:hint="eastAsia"/>
            <w:noProof/>
            <w:sz w:val="28"/>
            <w:szCs w:val="32"/>
          </w:rPr>
          <w:t>七、交易及清算交收安排</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_Toc124325891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14</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2" w:history="1">
        <w:r w:rsidR="005D40BF" w:rsidRPr="00D36FA2">
          <w:rPr>
            <w:rStyle w:val="a9"/>
            <w:rFonts w:asciiTheme="minorEastAsia" w:eastAsiaTheme="minorEastAsia" w:hAnsiTheme="minorEastAsia" w:hint="eastAsia"/>
            <w:noProof/>
            <w:sz w:val="28"/>
            <w:szCs w:val="32"/>
          </w:rPr>
          <w:t>八、基金资产净值计算和会计核算</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_Toc124325892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17</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3" w:history="1">
        <w:r w:rsidR="005D40BF" w:rsidRPr="00D36FA2">
          <w:rPr>
            <w:rStyle w:val="a9"/>
            <w:rFonts w:asciiTheme="minorEastAsia" w:eastAsiaTheme="minorEastAsia" w:hAnsiTheme="minorEastAsia" w:hint="eastAsia"/>
            <w:noProof/>
            <w:sz w:val="28"/>
            <w:szCs w:val="32"/>
          </w:rPr>
          <w:t>九、基金收益分配</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_Toc124325893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21</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4" w:history="1">
        <w:r w:rsidR="005D40BF" w:rsidRPr="00D36FA2">
          <w:rPr>
            <w:rStyle w:val="a9"/>
            <w:rFonts w:asciiTheme="minorEastAsia" w:eastAsiaTheme="minorEastAsia" w:hAnsiTheme="minorEastAsia" w:hint="eastAsia"/>
            <w:noProof/>
            <w:sz w:val="28"/>
            <w:szCs w:val="32"/>
          </w:rPr>
          <w:t>十、基金信息披露</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_Toc124325894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21</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5" w:history="1">
        <w:r w:rsidR="005D40BF" w:rsidRPr="00D36FA2">
          <w:rPr>
            <w:rStyle w:val="a9"/>
            <w:rFonts w:asciiTheme="minorEastAsia" w:eastAsiaTheme="minorEastAsia" w:hAnsiTheme="minorEastAsia" w:hint="eastAsia"/>
            <w:noProof/>
            <w:sz w:val="28"/>
            <w:szCs w:val="32"/>
          </w:rPr>
          <w:t>十一、基金费用</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_Toc124325895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22</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6" w:history="1">
        <w:r w:rsidR="005D40BF" w:rsidRPr="00D36FA2">
          <w:rPr>
            <w:rStyle w:val="a9"/>
            <w:rFonts w:asciiTheme="minorEastAsia" w:eastAsiaTheme="minorEastAsia" w:hAnsiTheme="minorEastAsia" w:hint="eastAsia"/>
            <w:noProof/>
            <w:sz w:val="28"/>
            <w:szCs w:val="32"/>
          </w:rPr>
          <w:t>十二、基金份额持有人名册的保管</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_Toc124325896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23</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7" w:history="1">
        <w:r w:rsidR="005D40BF" w:rsidRPr="00D36FA2">
          <w:rPr>
            <w:rStyle w:val="a9"/>
            <w:rFonts w:asciiTheme="minorEastAsia" w:eastAsiaTheme="minorEastAsia" w:hAnsiTheme="minorEastAsia" w:hint="eastAsia"/>
            <w:noProof/>
            <w:sz w:val="28"/>
            <w:szCs w:val="32"/>
          </w:rPr>
          <w:t>十三、基金有关文件档案的保存</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_Toc124325897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24</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8" w:history="1">
        <w:r w:rsidR="005D40BF" w:rsidRPr="00D36FA2">
          <w:rPr>
            <w:rStyle w:val="a9"/>
            <w:rFonts w:asciiTheme="minorEastAsia" w:eastAsiaTheme="minorEastAsia" w:hAnsiTheme="minorEastAsia" w:hint="eastAsia"/>
            <w:noProof/>
            <w:sz w:val="28"/>
            <w:szCs w:val="32"/>
          </w:rPr>
          <w:t>十四、基金管理人和基金托管人的更换</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_Toc124325898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24</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899" w:history="1">
        <w:r w:rsidR="005D40BF" w:rsidRPr="00D36FA2">
          <w:rPr>
            <w:rStyle w:val="a9"/>
            <w:rFonts w:asciiTheme="minorEastAsia" w:eastAsiaTheme="minorEastAsia" w:hAnsiTheme="minorEastAsia" w:hint="eastAsia"/>
            <w:noProof/>
            <w:sz w:val="28"/>
            <w:szCs w:val="32"/>
          </w:rPr>
          <w:t>十五、禁止行为</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_Toc124325899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26</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0" w:history="1">
        <w:r w:rsidR="005D40BF" w:rsidRPr="00D36FA2">
          <w:rPr>
            <w:rStyle w:val="a9"/>
            <w:rFonts w:asciiTheme="minorEastAsia" w:eastAsiaTheme="minorEastAsia" w:hAnsiTheme="minorEastAsia" w:hint="eastAsia"/>
            <w:noProof/>
            <w:sz w:val="28"/>
            <w:szCs w:val="32"/>
          </w:rPr>
          <w:t>十六、托管协议的变更、终止与基金财产的清算</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_Toc124325900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26</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1" w:history="1">
        <w:r w:rsidR="005D40BF" w:rsidRPr="00D36FA2">
          <w:rPr>
            <w:rStyle w:val="a9"/>
            <w:rFonts w:asciiTheme="minorEastAsia" w:eastAsiaTheme="minorEastAsia" w:hAnsiTheme="minorEastAsia" w:hint="eastAsia"/>
            <w:noProof/>
            <w:sz w:val="28"/>
            <w:szCs w:val="32"/>
          </w:rPr>
          <w:t>十七、违约责任</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_Toc124325901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27</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2" w:history="1">
        <w:r w:rsidR="005D40BF" w:rsidRPr="00D36FA2">
          <w:rPr>
            <w:rStyle w:val="a9"/>
            <w:rFonts w:asciiTheme="minorEastAsia" w:eastAsiaTheme="minorEastAsia" w:hAnsiTheme="minorEastAsia" w:hint="eastAsia"/>
            <w:noProof/>
            <w:sz w:val="28"/>
            <w:szCs w:val="32"/>
          </w:rPr>
          <w:t>十八、争议解决方式</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_Toc124325902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28</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3" w:history="1">
        <w:r w:rsidR="005D40BF" w:rsidRPr="00D36FA2">
          <w:rPr>
            <w:rStyle w:val="a9"/>
            <w:rFonts w:asciiTheme="minorEastAsia" w:eastAsiaTheme="minorEastAsia" w:hAnsiTheme="minorEastAsia" w:hint="eastAsia"/>
            <w:noProof/>
            <w:sz w:val="28"/>
            <w:szCs w:val="32"/>
          </w:rPr>
          <w:t>十九、托管协议的效力</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_Toc124325903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28</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4" w:history="1">
        <w:r w:rsidR="005D40BF" w:rsidRPr="00D36FA2">
          <w:rPr>
            <w:rStyle w:val="a9"/>
            <w:rFonts w:asciiTheme="minorEastAsia" w:eastAsiaTheme="minorEastAsia" w:hAnsiTheme="minorEastAsia" w:hint="eastAsia"/>
            <w:noProof/>
            <w:sz w:val="28"/>
            <w:szCs w:val="32"/>
          </w:rPr>
          <w:t>二十、其他事项</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_Toc124325904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29</w:t>
        </w:r>
        <w:r w:rsidR="009E6D7E" w:rsidRPr="00D36FA2">
          <w:rPr>
            <w:rFonts w:asciiTheme="minorEastAsia" w:eastAsiaTheme="minorEastAsia" w:hAnsiTheme="minorEastAsia" w:hint="eastAsia"/>
            <w:noProof/>
            <w:webHidden/>
            <w:sz w:val="28"/>
          </w:rPr>
          <w:fldChar w:fldCharType="end"/>
        </w:r>
      </w:hyperlink>
    </w:p>
    <w:p w:rsidR="005D40BF" w:rsidRPr="00D36FA2" w:rsidRDefault="00E97DA9" w:rsidP="005D40BF">
      <w:pPr>
        <w:pStyle w:val="21"/>
        <w:tabs>
          <w:tab w:val="right" w:leader="dot" w:pos="8494"/>
        </w:tabs>
        <w:rPr>
          <w:rFonts w:asciiTheme="minorEastAsia" w:eastAsiaTheme="minorEastAsia" w:hAnsiTheme="minorEastAsia"/>
          <w:noProof/>
          <w:sz w:val="28"/>
        </w:rPr>
      </w:pPr>
      <w:hyperlink w:anchor="_Toc124325905" w:history="1">
        <w:r w:rsidR="005D40BF" w:rsidRPr="00D36FA2">
          <w:rPr>
            <w:rStyle w:val="a9"/>
            <w:rFonts w:asciiTheme="minorEastAsia" w:eastAsiaTheme="minorEastAsia" w:hAnsiTheme="minorEastAsia" w:hint="eastAsia"/>
            <w:noProof/>
            <w:sz w:val="28"/>
            <w:szCs w:val="32"/>
          </w:rPr>
          <w:t>二十一、托管协议的签订</w:t>
        </w:r>
        <w:r w:rsidR="005D40BF" w:rsidRPr="00D36FA2">
          <w:rPr>
            <w:rFonts w:asciiTheme="minorEastAsia" w:eastAsiaTheme="minorEastAsia" w:hAnsiTheme="minorEastAsia" w:hint="eastAsia"/>
            <w:noProof/>
            <w:webHidden/>
            <w:sz w:val="28"/>
          </w:rPr>
          <w:tab/>
        </w:r>
        <w:r w:rsidR="009E6D7E" w:rsidRPr="00D36FA2">
          <w:rPr>
            <w:rFonts w:asciiTheme="minorEastAsia" w:eastAsiaTheme="minorEastAsia" w:hAnsiTheme="minorEastAsia" w:hint="eastAsia"/>
            <w:noProof/>
            <w:webHidden/>
            <w:sz w:val="28"/>
          </w:rPr>
          <w:fldChar w:fldCharType="begin"/>
        </w:r>
        <w:r w:rsidR="005D40BF" w:rsidRPr="00D36FA2">
          <w:rPr>
            <w:rFonts w:asciiTheme="minorEastAsia" w:eastAsiaTheme="minorEastAsia" w:hAnsiTheme="minorEastAsia" w:hint="eastAsia"/>
            <w:noProof/>
            <w:webHidden/>
            <w:sz w:val="28"/>
          </w:rPr>
          <w:instrText xml:space="preserve"> PAGEREF _Toc124325905 \h </w:instrText>
        </w:r>
        <w:r w:rsidR="009E6D7E" w:rsidRPr="00D36FA2">
          <w:rPr>
            <w:rFonts w:asciiTheme="minorEastAsia" w:eastAsiaTheme="minorEastAsia" w:hAnsiTheme="minorEastAsia" w:hint="eastAsia"/>
            <w:noProof/>
            <w:webHidden/>
            <w:sz w:val="28"/>
          </w:rPr>
        </w:r>
        <w:r w:rsidR="009E6D7E" w:rsidRPr="00D36FA2">
          <w:rPr>
            <w:rFonts w:asciiTheme="minorEastAsia" w:eastAsiaTheme="minorEastAsia" w:hAnsiTheme="minorEastAsia" w:hint="eastAsia"/>
            <w:noProof/>
            <w:webHidden/>
            <w:sz w:val="28"/>
          </w:rPr>
          <w:fldChar w:fldCharType="separate"/>
        </w:r>
        <w:r w:rsidR="005D40BF" w:rsidRPr="00D36FA2">
          <w:rPr>
            <w:rFonts w:asciiTheme="minorEastAsia" w:eastAsiaTheme="minorEastAsia" w:hAnsiTheme="minorEastAsia"/>
            <w:noProof/>
            <w:webHidden/>
            <w:sz w:val="28"/>
          </w:rPr>
          <w:t>29</w:t>
        </w:r>
        <w:r w:rsidR="009E6D7E" w:rsidRPr="00D36FA2">
          <w:rPr>
            <w:rFonts w:asciiTheme="minorEastAsia" w:eastAsiaTheme="minorEastAsia" w:hAnsiTheme="minorEastAsia" w:hint="eastAsia"/>
            <w:noProof/>
            <w:webHidden/>
            <w:sz w:val="28"/>
          </w:rPr>
          <w:fldChar w:fldCharType="end"/>
        </w:r>
      </w:hyperlink>
    </w:p>
    <w:p w:rsidR="005D40BF" w:rsidRPr="00D36FA2" w:rsidRDefault="009E6D7E" w:rsidP="005D40BF">
      <w:pPr>
        <w:spacing w:line="360" w:lineRule="auto"/>
        <w:rPr>
          <w:rFonts w:asciiTheme="minorEastAsia" w:eastAsiaTheme="minorEastAsia" w:hAnsiTheme="minorEastAsia"/>
          <w:sz w:val="24"/>
        </w:rPr>
      </w:pPr>
      <w:r w:rsidRPr="00D36FA2">
        <w:rPr>
          <w:rFonts w:asciiTheme="minorEastAsia" w:eastAsiaTheme="minorEastAsia" w:hAnsiTheme="minorEastAsia" w:hint="eastAsia"/>
          <w:sz w:val="28"/>
        </w:rPr>
        <w:lastRenderedPageBreak/>
        <w:fldChar w:fldCharType="end"/>
      </w:r>
    </w:p>
    <w:p w:rsidR="005D40BF" w:rsidRPr="00D36FA2" w:rsidRDefault="005D40BF" w:rsidP="005D40BF">
      <w:pPr>
        <w:widowControl/>
        <w:adjustRightInd w:val="0"/>
        <w:snapToGrid w:val="0"/>
        <w:spacing w:line="360" w:lineRule="auto"/>
        <w:ind w:firstLineChars="200" w:firstLine="480"/>
        <w:rPr>
          <w:rFonts w:asciiTheme="minorEastAsia" w:eastAsiaTheme="minorEastAsia" w:hAnsiTheme="minorEastAsia" w:cs="Arial"/>
          <w:kern w:val="0"/>
          <w:sz w:val="24"/>
        </w:rPr>
      </w:pPr>
      <w:r w:rsidRPr="00D36FA2">
        <w:rPr>
          <w:rFonts w:asciiTheme="minorEastAsia" w:eastAsiaTheme="minorEastAsia" w:hAnsiTheme="minorEastAsia" w:cs="Arial" w:hint="eastAsia"/>
          <w:kern w:val="0"/>
          <w:sz w:val="24"/>
        </w:rPr>
        <w:t>鉴于富国基金管理有限公司系一家依照中国法律合法成立并有效存续的有限责任公司，按照相关法律法规的规定具备担任基金管理人的资格和能力，拟募集发行</w:t>
      </w:r>
      <w:r w:rsidRPr="00D36FA2">
        <w:rPr>
          <w:rFonts w:hint="eastAsia"/>
          <w:bCs/>
          <w:sz w:val="24"/>
        </w:rPr>
        <w:t>富国</w:t>
      </w:r>
      <w:r w:rsidR="008171EB" w:rsidRPr="00D36FA2">
        <w:rPr>
          <w:rFonts w:hint="eastAsia"/>
          <w:bCs/>
          <w:sz w:val="24"/>
        </w:rPr>
        <w:t>鼎利</w:t>
      </w:r>
      <w:r w:rsidRPr="00D36FA2">
        <w:rPr>
          <w:rFonts w:hint="eastAsia"/>
          <w:bCs/>
          <w:sz w:val="24"/>
        </w:rPr>
        <w:t>纯债债券型发起式</w:t>
      </w:r>
      <w:r w:rsidRPr="00D36FA2">
        <w:rPr>
          <w:rFonts w:asciiTheme="minorEastAsia" w:eastAsiaTheme="minorEastAsia" w:hAnsiTheme="minorEastAsia" w:cs="Arial" w:hint="eastAsia"/>
          <w:kern w:val="0"/>
          <w:sz w:val="24"/>
        </w:rPr>
        <w:t>证券投资基金；</w:t>
      </w:r>
    </w:p>
    <w:p w:rsidR="005D40BF" w:rsidRPr="00D36FA2" w:rsidRDefault="005D40BF" w:rsidP="005D40BF">
      <w:pPr>
        <w:widowControl/>
        <w:adjustRightInd w:val="0"/>
        <w:snapToGrid w:val="0"/>
        <w:spacing w:line="360" w:lineRule="auto"/>
        <w:ind w:firstLineChars="200" w:firstLine="480"/>
        <w:rPr>
          <w:rFonts w:asciiTheme="minorEastAsia" w:eastAsiaTheme="minorEastAsia" w:hAnsiTheme="minorEastAsia" w:cs="Arial"/>
          <w:kern w:val="0"/>
          <w:sz w:val="24"/>
        </w:rPr>
      </w:pPr>
      <w:r w:rsidRPr="00D36FA2">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5D40BF" w:rsidRPr="00D36FA2" w:rsidRDefault="005D40BF" w:rsidP="005D40BF">
      <w:pPr>
        <w:widowControl/>
        <w:adjustRightInd w:val="0"/>
        <w:snapToGrid w:val="0"/>
        <w:spacing w:line="360" w:lineRule="auto"/>
        <w:ind w:firstLineChars="200" w:firstLine="480"/>
        <w:rPr>
          <w:rFonts w:asciiTheme="minorEastAsia" w:eastAsiaTheme="minorEastAsia" w:hAnsiTheme="minorEastAsia" w:cs="Arial"/>
          <w:kern w:val="0"/>
          <w:sz w:val="24"/>
        </w:rPr>
      </w:pPr>
      <w:r w:rsidRPr="00D36FA2">
        <w:rPr>
          <w:rFonts w:asciiTheme="minorEastAsia" w:eastAsiaTheme="minorEastAsia" w:hAnsiTheme="minorEastAsia" w:cs="Arial" w:hint="eastAsia"/>
          <w:kern w:val="0"/>
          <w:sz w:val="24"/>
        </w:rPr>
        <w:t>鉴于富国基金管理有限公司拟担任</w:t>
      </w:r>
      <w:r w:rsidRPr="00D36FA2">
        <w:rPr>
          <w:rFonts w:hint="eastAsia"/>
          <w:bCs/>
          <w:sz w:val="24"/>
        </w:rPr>
        <w:t>富国</w:t>
      </w:r>
      <w:r w:rsidR="008171EB" w:rsidRPr="00D36FA2">
        <w:rPr>
          <w:rFonts w:hint="eastAsia"/>
          <w:bCs/>
          <w:sz w:val="24"/>
        </w:rPr>
        <w:t>鼎利</w:t>
      </w:r>
      <w:r w:rsidRPr="00D36FA2">
        <w:rPr>
          <w:rFonts w:hint="eastAsia"/>
          <w:bCs/>
          <w:sz w:val="24"/>
        </w:rPr>
        <w:t>纯债债券型发起式</w:t>
      </w:r>
      <w:r w:rsidRPr="00D36FA2">
        <w:rPr>
          <w:rFonts w:asciiTheme="minorEastAsia" w:eastAsiaTheme="minorEastAsia" w:hAnsiTheme="minorEastAsia" w:cs="Arial" w:hint="eastAsia"/>
          <w:kern w:val="0"/>
          <w:sz w:val="24"/>
        </w:rPr>
        <w:t>证券投资基金的基金管理人，中国建设银行股份有限公司拟担任</w:t>
      </w:r>
      <w:r w:rsidRPr="00D36FA2">
        <w:rPr>
          <w:rFonts w:hint="eastAsia"/>
          <w:bCs/>
          <w:sz w:val="24"/>
        </w:rPr>
        <w:t>富国</w:t>
      </w:r>
      <w:r w:rsidR="008171EB" w:rsidRPr="00D36FA2">
        <w:rPr>
          <w:rFonts w:hint="eastAsia"/>
          <w:bCs/>
          <w:sz w:val="24"/>
        </w:rPr>
        <w:t>鼎利</w:t>
      </w:r>
      <w:r w:rsidRPr="00D36FA2">
        <w:rPr>
          <w:rFonts w:hint="eastAsia"/>
          <w:bCs/>
          <w:sz w:val="24"/>
        </w:rPr>
        <w:t>纯债债券型发起式</w:t>
      </w:r>
      <w:r w:rsidRPr="00D36FA2">
        <w:rPr>
          <w:rFonts w:asciiTheme="minorEastAsia" w:eastAsiaTheme="minorEastAsia" w:hAnsiTheme="minorEastAsia" w:cs="Arial" w:hint="eastAsia"/>
          <w:kern w:val="0"/>
          <w:sz w:val="24"/>
        </w:rPr>
        <w:t>证券投资基金的基金托管人；</w:t>
      </w:r>
      <w:r w:rsidR="00815CD7">
        <w:rPr>
          <w:rFonts w:asciiTheme="minorEastAsia" w:eastAsiaTheme="minorEastAsia" w:hAnsiTheme="minorEastAsia" w:cs="Arial" w:hint="eastAsia"/>
          <w:kern w:val="0"/>
          <w:sz w:val="24"/>
        </w:rPr>
        <w:t xml:space="preserve"> </w:t>
      </w:r>
    </w:p>
    <w:p w:rsidR="005D40BF" w:rsidRDefault="005D40BF" w:rsidP="005D40BF">
      <w:pPr>
        <w:widowControl/>
        <w:adjustRightInd w:val="0"/>
        <w:snapToGrid w:val="0"/>
        <w:spacing w:line="360" w:lineRule="auto"/>
        <w:ind w:firstLineChars="200" w:firstLine="480"/>
        <w:rPr>
          <w:rFonts w:asciiTheme="minorEastAsia" w:eastAsiaTheme="minorEastAsia" w:hAnsiTheme="minorEastAsia" w:cs="Arial"/>
          <w:kern w:val="0"/>
          <w:sz w:val="24"/>
        </w:rPr>
      </w:pPr>
      <w:r w:rsidRPr="00D36FA2">
        <w:rPr>
          <w:rFonts w:asciiTheme="minorEastAsia" w:eastAsiaTheme="minorEastAsia" w:hAnsiTheme="minorEastAsia" w:cs="Arial" w:hint="eastAsia"/>
          <w:kern w:val="0"/>
          <w:sz w:val="24"/>
        </w:rPr>
        <w:t>为明确</w:t>
      </w:r>
      <w:r w:rsidRPr="00D36FA2">
        <w:rPr>
          <w:rFonts w:hint="eastAsia"/>
          <w:bCs/>
          <w:sz w:val="24"/>
        </w:rPr>
        <w:t>富国</w:t>
      </w:r>
      <w:r w:rsidR="008171EB" w:rsidRPr="00D36FA2">
        <w:rPr>
          <w:rFonts w:hint="eastAsia"/>
          <w:bCs/>
          <w:sz w:val="24"/>
        </w:rPr>
        <w:t>鼎利</w:t>
      </w:r>
      <w:r w:rsidRPr="00D36FA2">
        <w:rPr>
          <w:rFonts w:hint="eastAsia"/>
          <w:bCs/>
          <w:sz w:val="24"/>
        </w:rPr>
        <w:t>纯债债券型发起式</w:t>
      </w:r>
      <w:r w:rsidRPr="00D36FA2">
        <w:rPr>
          <w:rFonts w:asciiTheme="minorEastAsia" w:eastAsiaTheme="minorEastAsia" w:hAnsiTheme="minorEastAsia" w:cs="Arial" w:hint="eastAsia"/>
          <w:kern w:val="0"/>
          <w:sz w:val="24"/>
        </w:rPr>
        <w:t>证券投资基金的基金管理人和基金托管人之间的权利义务关系，特制订本托管协议；</w:t>
      </w:r>
    </w:p>
    <w:p w:rsidR="005D40BF" w:rsidRPr="00D36FA2" w:rsidRDefault="005D40BF" w:rsidP="005D40BF">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D36FA2">
        <w:rPr>
          <w:rFonts w:asciiTheme="minorEastAsia" w:eastAsiaTheme="minorEastAsia" w:hAnsiTheme="minorEastAsia" w:cs="Arial" w:hint="eastAsia"/>
          <w:kern w:val="0"/>
          <w:sz w:val="24"/>
          <w:lang w:val="en-GB"/>
        </w:rPr>
        <w:t>除非另有约定，《</w:t>
      </w:r>
      <w:r w:rsidRPr="00D36FA2">
        <w:rPr>
          <w:rFonts w:hint="eastAsia"/>
          <w:bCs/>
          <w:sz w:val="24"/>
        </w:rPr>
        <w:t>富国</w:t>
      </w:r>
      <w:r w:rsidR="008171EB" w:rsidRPr="00D36FA2">
        <w:rPr>
          <w:rFonts w:hint="eastAsia"/>
          <w:bCs/>
          <w:sz w:val="24"/>
        </w:rPr>
        <w:t>鼎利</w:t>
      </w:r>
      <w:r w:rsidRPr="00D36FA2">
        <w:rPr>
          <w:rFonts w:hint="eastAsia"/>
          <w:bCs/>
          <w:sz w:val="24"/>
        </w:rPr>
        <w:t>纯债债券型发起式</w:t>
      </w:r>
      <w:r w:rsidRPr="00D36FA2">
        <w:rPr>
          <w:rFonts w:asciiTheme="minorEastAsia" w:eastAsiaTheme="minorEastAsia" w:hAnsiTheme="minorEastAsia" w:cs="Arial" w:hint="eastAsia"/>
          <w:kern w:val="0"/>
          <w:sz w:val="24"/>
          <w:lang w:val="en-GB"/>
        </w:rPr>
        <w:t>证券投资基金基金合同》(以下简称“基金合同”</w:t>
      </w:r>
      <w:r w:rsidRPr="00D36FA2">
        <w:rPr>
          <w:rFonts w:ascii="宋体" w:hAnsi="宋体" w:cs="Arial" w:hint="eastAsia"/>
          <w:kern w:val="0"/>
          <w:sz w:val="24"/>
          <w:lang w:val="en-GB"/>
        </w:rPr>
        <w:t>或“《基金合同》”</w:t>
      </w:r>
      <w:r w:rsidRPr="00D36FA2">
        <w:rPr>
          <w:rFonts w:asciiTheme="minorEastAsia" w:eastAsiaTheme="minorEastAsia" w:hAnsiTheme="minorEastAsia" w:cs="Arial" w:hint="eastAsia"/>
          <w:kern w:val="0"/>
          <w:sz w:val="24"/>
          <w:lang w:val="en-GB"/>
        </w:rPr>
        <w:t>)中定义的术语在用于本托管协议时应具有相同的含义；若有抵触应以《基金合同》为准，并依其</w:t>
      </w:r>
      <w:r w:rsidRPr="00D36FA2">
        <w:rPr>
          <w:rFonts w:asciiTheme="minorEastAsia" w:eastAsiaTheme="minorEastAsia" w:hAnsiTheme="minorEastAsia" w:cs="Arial" w:hint="eastAsia"/>
          <w:kern w:val="0"/>
          <w:sz w:val="24"/>
        </w:rPr>
        <w:t>条款</w:t>
      </w:r>
      <w:r w:rsidRPr="00D36FA2">
        <w:rPr>
          <w:rFonts w:asciiTheme="minorEastAsia" w:eastAsiaTheme="minorEastAsia" w:hAnsiTheme="minorEastAsia" w:cs="Arial" w:hint="eastAsia"/>
          <w:kern w:val="0"/>
          <w:sz w:val="24"/>
          <w:lang w:val="en-GB"/>
        </w:rPr>
        <w:t>解释。</w:t>
      </w:r>
    </w:p>
    <w:p w:rsidR="005D40BF" w:rsidRPr="00D36FA2" w:rsidRDefault="005D40BF" w:rsidP="005D40BF">
      <w:pPr>
        <w:spacing w:line="360" w:lineRule="auto"/>
        <w:rPr>
          <w:rFonts w:asciiTheme="minorEastAsia" w:eastAsiaTheme="minorEastAsia" w:hAnsiTheme="minorEastAsia"/>
          <w:sz w:val="24"/>
          <w:lang w:val="en-GB"/>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0" w:name="_Toc124325885"/>
      <w:r w:rsidRPr="00D36FA2">
        <w:rPr>
          <w:rFonts w:asciiTheme="minorEastAsia" w:eastAsiaTheme="minorEastAsia" w:hAnsiTheme="minorEastAsia" w:hint="eastAsia"/>
          <w:sz w:val="24"/>
          <w:szCs w:val="24"/>
        </w:rPr>
        <w:t>一、基金托管协议当事人</w:t>
      </w:r>
      <w:bookmarkEnd w:id="0"/>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名称：富国基金管理有限公司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注册地址：</w:t>
      </w:r>
      <w:r w:rsidRPr="00D36FA2">
        <w:rPr>
          <w:rFonts w:ascii="宋体" w:hAnsi="宋体" w:cs="Arial" w:hint="eastAsia"/>
          <w:bCs/>
          <w:sz w:val="24"/>
        </w:rPr>
        <w:t>中国</w:t>
      </w:r>
      <w:r w:rsidRPr="00D36FA2">
        <w:rPr>
          <w:rFonts w:ascii="宋体" w:hAnsi="宋体" w:cs="Arial"/>
          <w:bCs/>
          <w:sz w:val="24"/>
        </w:rPr>
        <w:t>（上海）</w:t>
      </w:r>
      <w:r w:rsidRPr="00D36FA2">
        <w:rPr>
          <w:rFonts w:ascii="宋体" w:hAnsi="宋体" w:cs="Arial" w:hint="eastAsia"/>
          <w:bCs/>
          <w:sz w:val="24"/>
        </w:rPr>
        <w:t>自由</w:t>
      </w:r>
      <w:r w:rsidRPr="00D36FA2">
        <w:rPr>
          <w:rFonts w:ascii="宋体" w:hAnsi="宋体" w:cs="Arial"/>
          <w:bCs/>
          <w:sz w:val="24"/>
        </w:rPr>
        <w:t>贸易试验区</w:t>
      </w:r>
      <w:r w:rsidRPr="00D36FA2">
        <w:rPr>
          <w:rFonts w:ascii="宋体" w:hAnsi="宋体" w:cs="Arial" w:hint="eastAsia"/>
          <w:sz w:val="24"/>
        </w:rPr>
        <w:t>世纪大道8号上海国金中心二期16-17楼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办公地址：</w:t>
      </w:r>
      <w:r w:rsidRPr="00D36FA2">
        <w:rPr>
          <w:rFonts w:ascii="宋体" w:hAnsi="宋体" w:cs="Arial" w:hint="eastAsia"/>
          <w:sz w:val="24"/>
        </w:rPr>
        <w:t>上海市浦东新区世纪大道8号上海国金中心二期16、17楼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邮政编码：</w:t>
      </w:r>
      <w:r w:rsidRPr="00D36FA2">
        <w:rPr>
          <w:rFonts w:ascii="宋体" w:hAnsi="宋体" w:cs="Arial"/>
          <w:sz w:val="24"/>
        </w:rPr>
        <w:t>200120</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法定代表人：</w:t>
      </w:r>
      <w:r w:rsidRPr="00D36FA2">
        <w:rPr>
          <w:rFonts w:ascii="宋体" w:hAnsi="宋体" w:cs="Arial" w:hint="eastAsia"/>
          <w:sz w:val="24"/>
        </w:rPr>
        <w:t>薛爱东</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成立日期：</w:t>
      </w:r>
      <w:r w:rsidRPr="00D36FA2">
        <w:rPr>
          <w:rFonts w:ascii="宋体" w:hAnsi="宋体" w:cs="Arial" w:hint="eastAsia"/>
          <w:sz w:val="24"/>
        </w:rPr>
        <w:t>1999</w:t>
      </w:r>
      <w:r w:rsidRPr="00D36FA2">
        <w:rPr>
          <w:rStyle w:val="read"/>
          <w:rFonts w:ascii="宋体" w:hAnsi="宋体" w:cs="Arial" w:hint="eastAsia"/>
          <w:sz w:val="24"/>
        </w:rPr>
        <w:t>年4月13日</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批准设立机关及批准设立文号：中国证监会证监基</w:t>
      </w:r>
      <w:r w:rsidRPr="00D36FA2">
        <w:rPr>
          <w:rFonts w:ascii="宋体" w:hAnsi="宋体" w:cs="Arial" w:hint="eastAsia"/>
          <w:sz w:val="24"/>
        </w:rPr>
        <w:t>金</w:t>
      </w:r>
      <w:r w:rsidRPr="00D36FA2">
        <w:rPr>
          <w:rFonts w:asciiTheme="minorEastAsia" w:eastAsiaTheme="minorEastAsia" w:hAnsiTheme="minorEastAsia" w:cs="Arial" w:hint="eastAsia"/>
          <w:sz w:val="24"/>
        </w:rPr>
        <w:t>字</w:t>
      </w:r>
      <w:r w:rsidRPr="00D36FA2">
        <w:rPr>
          <w:rStyle w:val="read"/>
          <w:rFonts w:asciiTheme="minorEastAsia" w:eastAsiaTheme="minorEastAsia" w:hAnsiTheme="minorEastAsia" w:cs="Arial" w:hint="eastAsia"/>
          <w:sz w:val="24"/>
        </w:rPr>
        <w:t>[</w:t>
      </w:r>
      <w:r w:rsidRPr="00D36FA2">
        <w:rPr>
          <w:rStyle w:val="read"/>
          <w:rFonts w:ascii="宋体" w:hAnsi="宋体" w:cs="Arial"/>
          <w:sz w:val="24"/>
        </w:rPr>
        <w:t>1999</w:t>
      </w:r>
      <w:r w:rsidRPr="00D36FA2">
        <w:rPr>
          <w:rStyle w:val="read"/>
          <w:rFonts w:asciiTheme="minorEastAsia" w:eastAsiaTheme="minorEastAsia" w:hAnsiTheme="minorEastAsia" w:cs="Arial" w:hint="eastAsia"/>
          <w:sz w:val="24"/>
        </w:rPr>
        <w:t>]11</w:t>
      </w:r>
      <w:r w:rsidRPr="00D36FA2">
        <w:rPr>
          <w:rFonts w:asciiTheme="minorEastAsia" w:eastAsiaTheme="minorEastAsia" w:hAnsiTheme="minorEastAsia" w:cs="Arial" w:hint="eastAsia"/>
          <w:sz w:val="24"/>
        </w:rPr>
        <w:t>号</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组织形式：</w:t>
      </w:r>
      <w:r w:rsidRPr="00D36FA2">
        <w:rPr>
          <w:rFonts w:ascii="宋体" w:hAnsi="宋体" w:cs="Arial" w:hint="eastAsia"/>
          <w:sz w:val="24"/>
        </w:rPr>
        <w:t>有限责任公司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注册资本：</w:t>
      </w:r>
      <w:r w:rsidRPr="00D36FA2">
        <w:rPr>
          <w:rFonts w:ascii="宋体" w:hAnsi="宋体" w:cs="Arial" w:hint="eastAsia"/>
          <w:sz w:val="24"/>
        </w:rPr>
        <w:t>人民币3</w:t>
      </w:r>
      <w:r w:rsidRPr="00D36FA2">
        <w:rPr>
          <w:rFonts w:asciiTheme="minorEastAsia" w:eastAsiaTheme="minorEastAsia" w:hAnsiTheme="minorEastAsia" w:cs="Arial" w:hint="eastAsia"/>
          <w:sz w:val="24"/>
        </w:rPr>
        <w:t>亿</w:t>
      </w:r>
      <w:r w:rsidRPr="00D36FA2">
        <w:rPr>
          <w:rStyle w:val="read"/>
          <w:rFonts w:asciiTheme="minorEastAsia" w:eastAsiaTheme="minorEastAsia" w:hAnsiTheme="minorEastAsia" w:cs="Arial" w:hint="eastAsia"/>
          <w:sz w:val="24"/>
        </w:rPr>
        <w:t>元</w:t>
      </w:r>
    </w:p>
    <w:p w:rsidR="009E6D7E" w:rsidRPr="00D36FA2" w:rsidRDefault="005D40BF" w:rsidP="00D36FA2">
      <w:pPr>
        <w:tabs>
          <w:tab w:val="left" w:pos="3510"/>
        </w:tabs>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存续期间：</w:t>
      </w:r>
      <w:r w:rsidRPr="00D36FA2">
        <w:rPr>
          <w:rFonts w:ascii="宋体" w:hAnsi="宋体" w:cs="Arial" w:hint="eastAsia"/>
          <w:sz w:val="24"/>
        </w:rPr>
        <w:t>持续经营</w:t>
      </w:r>
      <w:r w:rsidRPr="00D36FA2">
        <w:rPr>
          <w:rFonts w:asciiTheme="minorEastAsia" w:eastAsiaTheme="minorEastAsia" w:hAnsiTheme="minorEastAsia" w:cs="Arial"/>
          <w:sz w:val="24"/>
        </w:rPr>
        <w:tab/>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经营范围：</w:t>
      </w:r>
      <w:r w:rsidRPr="00D36FA2">
        <w:rPr>
          <w:rFonts w:ascii="宋体" w:hAnsi="宋体" w:cs="Arial" w:hint="eastAsia"/>
          <w:sz w:val="24"/>
        </w:rPr>
        <w:t>基金募集、基金销售、资产管理、中国证监会许可的其他业务</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（二）基金托管人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名称：中国建设银行股份有限公司(简称：中国建设银行)</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住所：北京市西城区金融大街25号</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办公地址：北京市西城区闹市口大街1号院1号楼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邮政编码：100033</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法定代表人：王洪章</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D36FA2">
          <w:rPr>
            <w:rFonts w:asciiTheme="minorEastAsia" w:eastAsiaTheme="minorEastAsia" w:hAnsiTheme="minorEastAsia" w:cs="Arial" w:hint="eastAsia"/>
            <w:sz w:val="24"/>
          </w:rPr>
          <w:t>2004年09月17日</w:t>
        </w:r>
      </w:smartTag>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基金托管业务批准文号：中国证监会证监基字[1998</w:t>
      </w:r>
      <w:bookmarkStart w:id="1" w:name="OLE_LINK3"/>
      <w:r w:rsidRPr="00D36FA2">
        <w:rPr>
          <w:rFonts w:asciiTheme="minorEastAsia" w:eastAsiaTheme="minorEastAsia" w:hAnsiTheme="minorEastAsia" w:cs="Arial" w:hint="eastAsia"/>
          <w:sz w:val="24"/>
        </w:rPr>
        <w:t>]</w:t>
      </w:r>
      <w:bookmarkEnd w:id="1"/>
      <w:r w:rsidRPr="00D36FA2">
        <w:rPr>
          <w:rFonts w:asciiTheme="minorEastAsia" w:eastAsiaTheme="minorEastAsia" w:hAnsiTheme="minorEastAsia" w:cs="Arial" w:hint="eastAsia"/>
          <w:sz w:val="24"/>
        </w:rPr>
        <w:t>12号</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组织形式：股份有限公司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注册资本：</w:t>
      </w:r>
      <w:r w:rsidRPr="00D36FA2">
        <w:rPr>
          <w:rFonts w:asciiTheme="minorEastAsia" w:eastAsiaTheme="minorEastAsia" w:hAnsiTheme="minorEastAsia" w:hint="eastAsia"/>
          <w:sz w:val="24"/>
        </w:rPr>
        <w:t>贰仟伍佰亿壹仟零玖拾柒万柒仟肆佰捌拾陆元整</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存续期间：持续经营</w:t>
      </w:r>
    </w:p>
    <w:p w:rsidR="005D40BF" w:rsidRPr="00D36FA2" w:rsidRDefault="005D40BF" w:rsidP="005D40BF">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2" w:name="_Toc124325886"/>
      <w:r w:rsidRPr="00D36FA2">
        <w:rPr>
          <w:rFonts w:asciiTheme="minorEastAsia" w:eastAsiaTheme="minorEastAsia" w:hAnsiTheme="minorEastAsia" w:hint="eastAsia"/>
          <w:sz w:val="24"/>
          <w:szCs w:val="24"/>
        </w:rPr>
        <w:t>二、基金托管协议的依据、目的和原则</w:t>
      </w:r>
      <w:bookmarkEnd w:id="2"/>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cs="Arial" w:hint="eastAsia"/>
          <w:sz w:val="24"/>
        </w:rPr>
        <w:t>（一）订立托管协议的依据</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（二）订立托管协议的目的</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（三）订立托管协议的原则</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3" w:name="_Toc124325887"/>
      <w:r w:rsidRPr="00D36FA2">
        <w:rPr>
          <w:rFonts w:asciiTheme="minorEastAsia" w:eastAsiaTheme="minorEastAsia" w:hAnsiTheme="minorEastAsia" w:hint="eastAsia"/>
          <w:sz w:val="24"/>
          <w:szCs w:val="24"/>
        </w:rPr>
        <w:lastRenderedPageBreak/>
        <w:t>三、基金托管人对基金管理人的业务监督和核查</w:t>
      </w:r>
      <w:bookmarkEnd w:id="3"/>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D40BF" w:rsidRPr="00D36FA2" w:rsidRDefault="005D40BF" w:rsidP="005D40BF">
      <w:pPr>
        <w:spacing w:line="360" w:lineRule="auto"/>
        <w:ind w:firstLine="480"/>
        <w:rPr>
          <w:bCs/>
          <w:sz w:val="24"/>
        </w:rPr>
      </w:pPr>
      <w:r w:rsidRPr="00D36FA2">
        <w:rPr>
          <w:rFonts w:hint="eastAsia"/>
          <w:bCs/>
          <w:sz w:val="24"/>
        </w:rPr>
        <w:t>本基金的投资范围主要为具有良好流动性的</w:t>
      </w:r>
      <w:r w:rsidR="00E37500">
        <w:rPr>
          <w:rFonts w:hint="eastAsia"/>
          <w:bCs/>
          <w:sz w:val="24"/>
        </w:rPr>
        <w:t>金融工具</w:t>
      </w:r>
      <w:r w:rsidRPr="00D36FA2">
        <w:rPr>
          <w:rFonts w:hint="eastAsia"/>
          <w:bCs/>
          <w:sz w:val="24"/>
        </w:rPr>
        <w:t>，包括国债、地方政府债、金融债、企业债、公司债、次级债、央行票据、中期票据、短期融资</w:t>
      </w:r>
      <w:proofErr w:type="gramStart"/>
      <w:r w:rsidRPr="00D36FA2">
        <w:rPr>
          <w:rFonts w:hint="eastAsia"/>
          <w:bCs/>
          <w:sz w:val="24"/>
        </w:rPr>
        <w:t>券</w:t>
      </w:r>
      <w:proofErr w:type="gramEnd"/>
      <w:r w:rsidRPr="00D36FA2">
        <w:rPr>
          <w:rFonts w:hint="eastAsia"/>
          <w:bCs/>
          <w:sz w:val="24"/>
        </w:rPr>
        <w:t>（</w:t>
      </w:r>
      <w:proofErr w:type="gramStart"/>
      <w:r w:rsidRPr="00D36FA2">
        <w:rPr>
          <w:rFonts w:hint="eastAsia"/>
          <w:bCs/>
          <w:sz w:val="24"/>
        </w:rPr>
        <w:t>含超短期</w:t>
      </w:r>
      <w:proofErr w:type="gramEnd"/>
      <w:r w:rsidRPr="00D36FA2">
        <w:rPr>
          <w:rFonts w:hint="eastAsia"/>
          <w:bCs/>
          <w:sz w:val="24"/>
        </w:rPr>
        <w:t>融资</w:t>
      </w:r>
      <w:proofErr w:type="gramStart"/>
      <w:r w:rsidRPr="00D36FA2">
        <w:rPr>
          <w:rFonts w:hint="eastAsia"/>
          <w:bCs/>
          <w:sz w:val="24"/>
        </w:rPr>
        <w:t>券</w:t>
      </w:r>
      <w:proofErr w:type="gramEnd"/>
      <w:r w:rsidRPr="00D36FA2">
        <w:rPr>
          <w:rFonts w:hint="eastAsia"/>
          <w:bCs/>
          <w:sz w:val="24"/>
        </w:rPr>
        <w:t>）、</w:t>
      </w:r>
      <w:r w:rsidR="00B62617" w:rsidRPr="00D36FA2">
        <w:rPr>
          <w:rFonts w:hint="eastAsia"/>
          <w:bCs/>
          <w:sz w:val="24"/>
        </w:rPr>
        <w:t>中小企业私募债、</w:t>
      </w:r>
      <w:r w:rsidRPr="00D36FA2">
        <w:rPr>
          <w:rFonts w:hint="eastAsia"/>
          <w:bCs/>
          <w:sz w:val="24"/>
        </w:rPr>
        <w:t>资产支持证券、债券回购、银行存款（包括定期存款、协议存款、通知存款等）、同业存单、可分离交易可转债的</w:t>
      </w:r>
      <w:proofErr w:type="gramStart"/>
      <w:r w:rsidRPr="00D36FA2">
        <w:rPr>
          <w:rFonts w:hint="eastAsia"/>
          <w:bCs/>
          <w:sz w:val="24"/>
        </w:rPr>
        <w:t>纯债部分</w:t>
      </w:r>
      <w:proofErr w:type="gramEnd"/>
      <w:r w:rsidR="00B62617" w:rsidRPr="00D36FA2">
        <w:rPr>
          <w:rFonts w:hint="eastAsia"/>
          <w:bCs/>
          <w:sz w:val="24"/>
        </w:rPr>
        <w:t>其他货币市场工具以及法律法规或中国证监会允许基金投资的其他金融工具（但须符合中国证监会的相关规定）</w:t>
      </w:r>
      <w:r w:rsidRPr="00D36FA2">
        <w:rPr>
          <w:rFonts w:hint="eastAsia"/>
          <w:bCs/>
          <w:sz w:val="24"/>
        </w:rPr>
        <w:t>。</w:t>
      </w:r>
    </w:p>
    <w:p w:rsidR="005D40BF" w:rsidRPr="00D36FA2" w:rsidRDefault="005D40BF" w:rsidP="005D40BF">
      <w:pPr>
        <w:adjustRightInd w:val="0"/>
        <w:snapToGrid w:val="0"/>
        <w:spacing w:line="360" w:lineRule="auto"/>
        <w:ind w:firstLineChars="200" w:firstLine="480"/>
        <w:rPr>
          <w:bCs/>
          <w:sz w:val="24"/>
        </w:rPr>
      </w:pPr>
      <w:r w:rsidRPr="00D36FA2">
        <w:rPr>
          <w:rFonts w:hint="eastAsia"/>
          <w:bCs/>
          <w:sz w:val="24"/>
        </w:rPr>
        <w:t>如法律法规或监管机构以后允许基金投资其他品种，基金管理人在履行适当程序后，可以将其纳入投资范围。</w:t>
      </w:r>
    </w:p>
    <w:p w:rsidR="005D40BF" w:rsidRPr="00D36FA2" w:rsidRDefault="005D40BF" w:rsidP="005D40BF">
      <w:pPr>
        <w:spacing w:line="360" w:lineRule="auto"/>
        <w:ind w:firstLine="480"/>
        <w:rPr>
          <w:bCs/>
          <w:sz w:val="24"/>
        </w:rPr>
      </w:pPr>
      <w:r w:rsidRPr="00D36FA2">
        <w:rPr>
          <w:rFonts w:hint="eastAsia"/>
          <w:bCs/>
          <w:sz w:val="24"/>
        </w:rPr>
        <w:t>本基金不投资于股票、权证，也不投资于可转换债券</w:t>
      </w:r>
      <w:r w:rsidR="0000056A" w:rsidRPr="00D36FA2">
        <w:rPr>
          <w:rFonts w:ascii="Arial" w:hAnsi="Arial" w:cs="Arial" w:hint="eastAsia"/>
          <w:bCs/>
          <w:sz w:val="24"/>
          <w:szCs w:val="21"/>
        </w:rPr>
        <w:t>（</w:t>
      </w:r>
      <w:r w:rsidR="0000056A" w:rsidRPr="00D36FA2">
        <w:rPr>
          <w:rFonts w:hint="eastAsia"/>
          <w:bCs/>
          <w:sz w:val="24"/>
        </w:rPr>
        <w:t>可分离交易可转债的</w:t>
      </w:r>
      <w:proofErr w:type="gramStart"/>
      <w:r w:rsidR="0000056A" w:rsidRPr="00D36FA2">
        <w:rPr>
          <w:rFonts w:hint="eastAsia"/>
          <w:bCs/>
          <w:sz w:val="24"/>
        </w:rPr>
        <w:t>纯债部分</w:t>
      </w:r>
      <w:proofErr w:type="gramEnd"/>
      <w:r w:rsidR="0000056A" w:rsidRPr="00D36FA2">
        <w:rPr>
          <w:rFonts w:hint="eastAsia"/>
          <w:bCs/>
          <w:sz w:val="24"/>
        </w:rPr>
        <w:t>除外</w:t>
      </w:r>
      <w:r w:rsidR="0000056A" w:rsidRPr="00D36FA2">
        <w:rPr>
          <w:rFonts w:ascii="Arial" w:hAnsi="Arial" w:cs="Arial" w:hint="eastAsia"/>
          <w:bCs/>
          <w:sz w:val="24"/>
          <w:szCs w:val="21"/>
        </w:rPr>
        <w:t>）</w:t>
      </w:r>
      <w:r w:rsidRPr="00D36FA2">
        <w:rPr>
          <w:rFonts w:hint="eastAsia"/>
          <w:bCs/>
          <w:sz w:val="24"/>
        </w:rPr>
        <w:t>、可交换债券。</w:t>
      </w:r>
    </w:p>
    <w:p w:rsidR="005D40BF" w:rsidRPr="00D36FA2" w:rsidRDefault="005D40BF" w:rsidP="005D40BF">
      <w:pPr>
        <w:spacing w:line="360" w:lineRule="auto"/>
        <w:ind w:firstLine="480"/>
        <w:rPr>
          <w:bCs/>
          <w:sz w:val="24"/>
        </w:rPr>
      </w:pPr>
      <w:r w:rsidRPr="00D36FA2">
        <w:rPr>
          <w:bCs/>
          <w:sz w:val="24"/>
        </w:rPr>
        <w:t>基金的投资组合比例为：</w:t>
      </w:r>
      <w:r w:rsidRPr="00D36FA2">
        <w:rPr>
          <w:rFonts w:hint="eastAsia"/>
          <w:bCs/>
          <w:sz w:val="24"/>
        </w:rPr>
        <w:t>本基金对债券</w:t>
      </w:r>
      <w:r w:rsidR="008D14E7" w:rsidRPr="00D36FA2">
        <w:rPr>
          <w:rFonts w:hint="eastAsia"/>
          <w:bCs/>
          <w:sz w:val="24"/>
        </w:rPr>
        <w:t>资产</w:t>
      </w:r>
      <w:r w:rsidRPr="00D36FA2">
        <w:rPr>
          <w:rFonts w:hint="eastAsia"/>
          <w:bCs/>
          <w:sz w:val="24"/>
        </w:rPr>
        <w:t>的投资比例不低于基金资产的</w:t>
      </w:r>
      <w:r w:rsidRPr="00D36FA2">
        <w:rPr>
          <w:rFonts w:hint="eastAsia"/>
          <w:bCs/>
          <w:sz w:val="24"/>
        </w:rPr>
        <w:t>80</w:t>
      </w:r>
      <w:r w:rsidRPr="00D36FA2">
        <w:rPr>
          <w:rFonts w:hint="eastAsia"/>
          <w:bCs/>
          <w:sz w:val="24"/>
        </w:rPr>
        <w:t>％；本基金持有现金或者到期日在一年以内的政府债券投资比例不低于基金资产净值的</w:t>
      </w:r>
      <w:r w:rsidRPr="00D36FA2">
        <w:rPr>
          <w:rFonts w:hint="eastAsia"/>
          <w:bCs/>
          <w:sz w:val="24"/>
        </w:rPr>
        <w:t>5%</w:t>
      </w:r>
      <w:r w:rsidRPr="00D36FA2">
        <w:rPr>
          <w:rFonts w:hint="eastAsia"/>
          <w:bCs/>
          <w:sz w:val="24"/>
        </w:rPr>
        <w:t>。</w:t>
      </w:r>
    </w:p>
    <w:p w:rsidR="006D744B" w:rsidRPr="00D36FA2" w:rsidRDefault="005D40BF" w:rsidP="005D40BF">
      <w:pPr>
        <w:adjustRightInd w:val="0"/>
        <w:snapToGrid w:val="0"/>
        <w:spacing w:line="360" w:lineRule="auto"/>
        <w:ind w:firstLineChars="200" w:firstLine="480"/>
        <w:rPr>
          <w:bCs/>
          <w:sz w:val="24"/>
        </w:rPr>
      </w:pPr>
      <w:r w:rsidRPr="00D36FA2">
        <w:rPr>
          <w:rFonts w:hint="eastAsia"/>
          <w:bCs/>
          <w:sz w:val="24"/>
        </w:rPr>
        <w:t>如法律法规或中国证监会变更投资品种的投资比例限制，基金管理人在履行适当程序后，可以调整上述投资品种的投资比例。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rsidR="00471322" w:rsidRPr="00D36FA2" w:rsidRDefault="00471322" w:rsidP="00471322">
      <w:pPr>
        <w:spacing w:line="360" w:lineRule="auto"/>
        <w:ind w:firstLineChars="200" w:firstLine="480"/>
        <w:rPr>
          <w:bCs/>
          <w:sz w:val="24"/>
        </w:rPr>
      </w:pPr>
      <w:r w:rsidRPr="00D36FA2">
        <w:rPr>
          <w:rFonts w:hint="eastAsia"/>
          <w:bCs/>
          <w:sz w:val="24"/>
        </w:rPr>
        <w:t>1.</w:t>
      </w:r>
      <w:r w:rsidRPr="00D36FA2">
        <w:rPr>
          <w:rFonts w:hint="eastAsia"/>
          <w:bCs/>
          <w:sz w:val="24"/>
        </w:rPr>
        <w:t>本基金投资于债券资产的比例不低于基金资产的</w:t>
      </w:r>
      <w:r w:rsidRPr="00D36FA2">
        <w:rPr>
          <w:rFonts w:hint="eastAsia"/>
          <w:bCs/>
          <w:sz w:val="24"/>
        </w:rPr>
        <w:t>80%</w:t>
      </w:r>
      <w:r w:rsidRPr="00D36FA2">
        <w:rPr>
          <w:rFonts w:hint="eastAsia"/>
          <w:bCs/>
          <w:sz w:val="24"/>
        </w:rPr>
        <w:t>；</w:t>
      </w:r>
      <w:r w:rsidRPr="00D36FA2">
        <w:rPr>
          <w:rFonts w:hint="eastAsia"/>
          <w:bCs/>
          <w:sz w:val="24"/>
        </w:rPr>
        <w:tab/>
      </w:r>
    </w:p>
    <w:p w:rsidR="00471322" w:rsidRPr="00D36FA2" w:rsidRDefault="00471322" w:rsidP="00471322">
      <w:pPr>
        <w:spacing w:line="360" w:lineRule="auto"/>
        <w:ind w:firstLineChars="200" w:firstLine="480"/>
        <w:rPr>
          <w:bCs/>
          <w:sz w:val="24"/>
        </w:rPr>
      </w:pPr>
      <w:r w:rsidRPr="00D36FA2">
        <w:rPr>
          <w:rFonts w:hint="eastAsia"/>
          <w:bCs/>
          <w:sz w:val="24"/>
        </w:rPr>
        <w:t>2.</w:t>
      </w:r>
      <w:r w:rsidRPr="00D36FA2">
        <w:rPr>
          <w:rFonts w:hint="eastAsia"/>
          <w:bCs/>
          <w:sz w:val="24"/>
        </w:rPr>
        <w:t>本基金持有现金或者到期日在一年以内的政府债券不低于基金资产净值的</w:t>
      </w:r>
      <w:r w:rsidRPr="00D36FA2">
        <w:rPr>
          <w:rFonts w:hint="eastAsia"/>
          <w:bCs/>
          <w:sz w:val="24"/>
        </w:rPr>
        <w:t>5%</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3.</w:t>
      </w:r>
      <w:r w:rsidRPr="00D36FA2">
        <w:rPr>
          <w:rFonts w:hint="eastAsia"/>
          <w:bCs/>
          <w:sz w:val="24"/>
        </w:rPr>
        <w:t>本基金持有一家公司发行的证券，其市值不超过基金资产净值的</w:t>
      </w:r>
      <w:r w:rsidRPr="00D36FA2">
        <w:rPr>
          <w:rFonts w:hint="eastAsia"/>
          <w:bCs/>
          <w:sz w:val="24"/>
        </w:rPr>
        <w:t>10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4.</w:t>
      </w:r>
      <w:r w:rsidR="00884884" w:rsidRPr="00D36FA2">
        <w:rPr>
          <w:rFonts w:hint="eastAsia"/>
        </w:rPr>
        <w:t xml:space="preserve"> </w:t>
      </w:r>
      <w:r w:rsidR="00884884" w:rsidRPr="00D36FA2">
        <w:rPr>
          <w:rFonts w:hint="eastAsia"/>
          <w:bCs/>
          <w:sz w:val="24"/>
        </w:rPr>
        <w:t>本基金管理人管理的且由托管人托管的全部基金</w:t>
      </w:r>
      <w:r w:rsidRPr="00D36FA2">
        <w:rPr>
          <w:rFonts w:hint="eastAsia"/>
          <w:bCs/>
          <w:sz w:val="24"/>
        </w:rPr>
        <w:t>持有一家公司发行的证券，不超过该证券的</w:t>
      </w:r>
      <w:r w:rsidRPr="00D36FA2">
        <w:rPr>
          <w:rFonts w:hint="eastAsia"/>
          <w:bCs/>
          <w:sz w:val="24"/>
        </w:rPr>
        <w:t>10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lastRenderedPageBreak/>
        <w:t>5.</w:t>
      </w:r>
      <w:r w:rsidRPr="00D36FA2">
        <w:rPr>
          <w:rFonts w:hint="eastAsia"/>
          <w:bCs/>
          <w:sz w:val="24"/>
        </w:rPr>
        <w:t>本基金投资于同一原始权益人的各类资产支持证券的比例，不得超过基金资产净值的</w:t>
      </w:r>
      <w:r w:rsidRPr="00D36FA2">
        <w:rPr>
          <w:rFonts w:hint="eastAsia"/>
          <w:bCs/>
          <w:sz w:val="24"/>
        </w:rPr>
        <w:t>10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6.</w:t>
      </w:r>
      <w:r w:rsidRPr="00D36FA2">
        <w:rPr>
          <w:rFonts w:hint="eastAsia"/>
          <w:bCs/>
          <w:sz w:val="24"/>
        </w:rPr>
        <w:t>本基金持有的全部资产支持证券，其市值不得超过基金资产净值的</w:t>
      </w:r>
      <w:r w:rsidRPr="00D36FA2">
        <w:rPr>
          <w:rFonts w:hint="eastAsia"/>
          <w:bCs/>
          <w:sz w:val="24"/>
        </w:rPr>
        <w:t>20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7.</w:t>
      </w:r>
      <w:r w:rsidRPr="00D36FA2">
        <w:rPr>
          <w:rFonts w:hint="eastAsia"/>
          <w:bCs/>
          <w:sz w:val="24"/>
        </w:rPr>
        <w:t>本基金持有的同一</w:t>
      </w:r>
      <w:r w:rsidRPr="00D36FA2">
        <w:rPr>
          <w:rFonts w:hint="eastAsia"/>
          <w:bCs/>
          <w:sz w:val="24"/>
        </w:rPr>
        <w:t>(</w:t>
      </w:r>
      <w:r w:rsidRPr="00D36FA2">
        <w:rPr>
          <w:rFonts w:hint="eastAsia"/>
          <w:bCs/>
          <w:sz w:val="24"/>
        </w:rPr>
        <w:t>指同一信用级别</w:t>
      </w:r>
      <w:r w:rsidRPr="00D36FA2">
        <w:rPr>
          <w:rFonts w:hint="eastAsia"/>
          <w:bCs/>
          <w:sz w:val="24"/>
        </w:rPr>
        <w:t>)</w:t>
      </w:r>
      <w:r w:rsidRPr="00D36FA2">
        <w:rPr>
          <w:rFonts w:hint="eastAsia"/>
          <w:bCs/>
          <w:sz w:val="24"/>
        </w:rPr>
        <w:t>资产支持证券的比例，不得超过该资产支持证券规模的</w:t>
      </w:r>
      <w:r w:rsidRPr="00D36FA2">
        <w:rPr>
          <w:rFonts w:hint="eastAsia"/>
          <w:bCs/>
          <w:sz w:val="24"/>
        </w:rPr>
        <w:t>10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8.</w:t>
      </w:r>
      <w:r w:rsidR="00884884" w:rsidRPr="00D36FA2">
        <w:rPr>
          <w:rFonts w:hint="eastAsia"/>
        </w:rPr>
        <w:t xml:space="preserve"> </w:t>
      </w:r>
      <w:r w:rsidR="00884884" w:rsidRPr="00D36FA2">
        <w:rPr>
          <w:rFonts w:hint="eastAsia"/>
          <w:bCs/>
          <w:sz w:val="24"/>
        </w:rPr>
        <w:t>本基金管理人管理的且由托管人托管的全部基金</w:t>
      </w:r>
      <w:r w:rsidRPr="00D36FA2">
        <w:rPr>
          <w:rFonts w:hint="eastAsia"/>
          <w:bCs/>
          <w:sz w:val="24"/>
        </w:rPr>
        <w:t>投资于同一原始权益人的各类资产支持证券，不得超过其各类资产支持证券合计规模的</w:t>
      </w:r>
      <w:r w:rsidRPr="00D36FA2">
        <w:rPr>
          <w:rFonts w:hint="eastAsia"/>
          <w:bCs/>
          <w:sz w:val="24"/>
        </w:rPr>
        <w:t>10</w:t>
      </w:r>
      <w:r w:rsidR="008D14E7" w:rsidRPr="00D36FA2">
        <w:rPr>
          <w:rFonts w:hint="eastAsia"/>
          <w:bCs/>
          <w:sz w:val="24"/>
        </w:rPr>
        <w:t>%</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9.</w:t>
      </w:r>
      <w:r w:rsidRPr="00D36FA2">
        <w:rPr>
          <w:rFonts w:hint="eastAsia"/>
          <w:bCs/>
          <w:sz w:val="24"/>
        </w:rPr>
        <w:t>本基金应投资于信用级别评级为</w:t>
      </w:r>
      <w:r w:rsidRPr="00D36FA2">
        <w:rPr>
          <w:rFonts w:hint="eastAsia"/>
          <w:bCs/>
          <w:sz w:val="24"/>
        </w:rPr>
        <w:t>BBB</w:t>
      </w:r>
      <w:r w:rsidRPr="00D36FA2">
        <w:rPr>
          <w:rFonts w:hint="eastAsia"/>
          <w:bCs/>
          <w:sz w:val="24"/>
        </w:rPr>
        <w:t>以上</w:t>
      </w:r>
      <w:r w:rsidRPr="00D36FA2">
        <w:rPr>
          <w:rFonts w:hint="eastAsia"/>
          <w:bCs/>
          <w:sz w:val="24"/>
        </w:rPr>
        <w:t>(</w:t>
      </w:r>
      <w:r w:rsidRPr="00D36FA2">
        <w:rPr>
          <w:rFonts w:hint="eastAsia"/>
          <w:bCs/>
          <w:sz w:val="24"/>
        </w:rPr>
        <w:t>含</w:t>
      </w:r>
      <w:r w:rsidRPr="00D36FA2">
        <w:rPr>
          <w:rFonts w:hint="eastAsia"/>
          <w:bCs/>
          <w:sz w:val="24"/>
        </w:rPr>
        <w:t>BBB)</w:t>
      </w:r>
      <w:r w:rsidRPr="00D36FA2">
        <w:rPr>
          <w:rFonts w:hint="eastAsia"/>
          <w:bCs/>
          <w:sz w:val="24"/>
        </w:rPr>
        <w:t>的资产支持证券。基金持有资产支持证券期间，如果其信用等级下降、不再符合投资标准，应在评级报告发布之日起</w:t>
      </w:r>
      <w:r w:rsidRPr="00D36FA2">
        <w:rPr>
          <w:rFonts w:hint="eastAsia"/>
          <w:bCs/>
          <w:sz w:val="24"/>
        </w:rPr>
        <w:t>3</w:t>
      </w:r>
      <w:r w:rsidRPr="00D36FA2">
        <w:rPr>
          <w:rFonts w:hint="eastAsia"/>
          <w:bCs/>
          <w:sz w:val="24"/>
        </w:rPr>
        <w:t>个月内予以全部卖出；</w:t>
      </w:r>
    </w:p>
    <w:p w:rsidR="00471322" w:rsidRPr="00D36FA2" w:rsidRDefault="00471322" w:rsidP="00471322">
      <w:pPr>
        <w:spacing w:line="360" w:lineRule="auto"/>
        <w:ind w:firstLineChars="200" w:firstLine="480"/>
        <w:rPr>
          <w:bCs/>
          <w:sz w:val="24"/>
        </w:rPr>
      </w:pPr>
      <w:r w:rsidRPr="00D36FA2">
        <w:rPr>
          <w:rFonts w:hint="eastAsia"/>
          <w:bCs/>
          <w:sz w:val="24"/>
        </w:rPr>
        <w:t>10.</w:t>
      </w:r>
      <w:r w:rsidRPr="00D36FA2">
        <w:rPr>
          <w:rFonts w:hint="eastAsia"/>
          <w:bCs/>
          <w:sz w:val="24"/>
        </w:rPr>
        <w:t>本基金进入全国银行间同业市场进行债券回购的资金余额不得超过基金资产净值的</w:t>
      </w:r>
      <w:r w:rsidRPr="00D36FA2">
        <w:rPr>
          <w:rFonts w:hint="eastAsia"/>
          <w:bCs/>
          <w:sz w:val="24"/>
        </w:rPr>
        <w:t>40%</w:t>
      </w:r>
      <w:r w:rsidRPr="00D36FA2">
        <w:rPr>
          <w:rFonts w:hint="eastAsia"/>
          <w:bCs/>
          <w:sz w:val="24"/>
        </w:rPr>
        <w:t>；本基金在全国银行间同业市场中的债券回购最长期限为</w:t>
      </w:r>
      <w:r w:rsidRPr="00D36FA2">
        <w:rPr>
          <w:rFonts w:hint="eastAsia"/>
          <w:bCs/>
          <w:sz w:val="24"/>
        </w:rPr>
        <w:t>1</w:t>
      </w:r>
      <w:r w:rsidRPr="00D36FA2">
        <w:rPr>
          <w:rFonts w:hint="eastAsia"/>
          <w:bCs/>
          <w:sz w:val="24"/>
        </w:rPr>
        <w:t>年，债券回购到期后不得展期；</w:t>
      </w:r>
    </w:p>
    <w:p w:rsidR="00471322" w:rsidRPr="00D36FA2" w:rsidRDefault="00471322" w:rsidP="00471322">
      <w:pPr>
        <w:spacing w:line="360" w:lineRule="auto"/>
        <w:ind w:firstLineChars="200" w:firstLine="480"/>
        <w:rPr>
          <w:bCs/>
          <w:sz w:val="24"/>
        </w:rPr>
      </w:pPr>
      <w:r w:rsidRPr="00D36FA2">
        <w:rPr>
          <w:rFonts w:hint="eastAsia"/>
          <w:bCs/>
          <w:sz w:val="24"/>
        </w:rPr>
        <w:t>11.</w:t>
      </w:r>
      <w:r w:rsidRPr="00D36FA2">
        <w:rPr>
          <w:rFonts w:hint="eastAsia"/>
          <w:bCs/>
          <w:sz w:val="24"/>
        </w:rPr>
        <w:t>本基金资产总值不得超过基金资产净值的</w:t>
      </w:r>
      <w:r w:rsidRPr="00D36FA2">
        <w:rPr>
          <w:rFonts w:hint="eastAsia"/>
          <w:bCs/>
          <w:sz w:val="24"/>
        </w:rPr>
        <w:t>140%</w:t>
      </w:r>
      <w:r w:rsidRPr="00D36FA2">
        <w:rPr>
          <w:rFonts w:hint="eastAsia"/>
          <w:bCs/>
          <w:sz w:val="24"/>
        </w:rPr>
        <w:t>；</w:t>
      </w:r>
    </w:p>
    <w:p w:rsidR="00471322" w:rsidRPr="00D36FA2" w:rsidRDefault="00471322" w:rsidP="00471322">
      <w:pPr>
        <w:spacing w:line="360" w:lineRule="auto"/>
        <w:ind w:firstLineChars="200" w:firstLine="480"/>
        <w:rPr>
          <w:bCs/>
          <w:sz w:val="24"/>
        </w:rPr>
      </w:pPr>
      <w:r w:rsidRPr="00D36FA2">
        <w:rPr>
          <w:rFonts w:hint="eastAsia"/>
          <w:bCs/>
          <w:sz w:val="24"/>
        </w:rPr>
        <w:t>12.</w:t>
      </w:r>
      <w:r w:rsidRPr="00D36FA2">
        <w:rPr>
          <w:rFonts w:hint="eastAsia"/>
          <w:bCs/>
          <w:sz w:val="24"/>
        </w:rPr>
        <w:t>本基金持有单只中小企业私募债券，其市值不得超过本基金资产净值的</w:t>
      </w:r>
      <w:r w:rsidRPr="00D36FA2">
        <w:rPr>
          <w:rFonts w:hint="eastAsia"/>
          <w:bCs/>
          <w:sz w:val="24"/>
        </w:rPr>
        <w:t>10%</w:t>
      </w:r>
      <w:r w:rsidRPr="00D36FA2">
        <w:rPr>
          <w:rFonts w:hint="eastAsia"/>
          <w:bCs/>
          <w:sz w:val="24"/>
        </w:rPr>
        <w:t>；</w:t>
      </w:r>
    </w:p>
    <w:p w:rsidR="00C427F4" w:rsidRPr="00D36FA2" w:rsidRDefault="00471322" w:rsidP="005577B0">
      <w:pPr>
        <w:spacing w:line="360" w:lineRule="auto"/>
        <w:ind w:firstLineChars="200" w:firstLine="480"/>
        <w:rPr>
          <w:bCs/>
          <w:sz w:val="24"/>
        </w:rPr>
      </w:pPr>
      <w:r w:rsidRPr="00D36FA2">
        <w:rPr>
          <w:rFonts w:hint="eastAsia"/>
          <w:bCs/>
          <w:sz w:val="24"/>
        </w:rPr>
        <w:t>13.</w:t>
      </w:r>
      <w:r w:rsidRPr="00D36FA2">
        <w:rPr>
          <w:rFonts w:hint="eastAsia"/>
          <w:bCs/>
          <w:sz w:val="24"/>
        </w:rPr>
        <w:t>法律法规及中国证监会规定的和基金合同约定的其他投资限制。</w:t>
      </w:r>
    </w:p>
    <w:p w:rsidR="005577B0" w:rsidRPr="00D36FA2" w:rsidRDefault="001B60F2" w:rsidP="005577B0">
      <w:pPr>
        <w:spacing w:line="360" w:lineRule="auto"/>
        <w:ind w:firstLineChars="200" w:firstLine="480"/>
        <w:rPr>
          <w:bCs/>
        </w:rPr>
      </w:pPr>
      <w:r w:rsidRPr="00D36FA2">
        <w:rPr>
          <w:rFonts w:hint="eastAsia"/>
          <w:bCs/>
          <w:sz w:val="24"/>
        </w:rPr>
        <w:t>除第</w:t>
      </w:r>
      <w:r w:rsidRPr="00D36FA2">
        <w:rPr>
          <w:rFonts w:hint="eastAsia"/>
          <w:bCs/>
          <w:sz w:val="24"/>
        </w:rPr>
        <w:t>9</w:t>
      </w:r>
      <w:r w:rsidRPr="00D36FA2">
        <w:rPr>
          <w:rFonts w:hint="eastAsia"/>
          <w:bCs/>
          <w:sz w:val="24"/>
        </w:rPr>
        <w:t>条外，</w:t>
      </w:r>
      <w:r w:rsidR="005577B0" w:rsidRPr="00D36FA2">
        <w:rPr>
          <w:bCs/>
          <w:sz w:val="24"/>
        </w:rPr>
        <w:t>因证券市场波动、</w:t>
      </w:r>
      <w:r w:rsidR="005577B0" w:rsidRPr="00D36FA2">
        <w:rPr>
          <w:rFonts w:hint="eastAsia"/>
          <w:bCs/>
          <w:color w:val="000000"/>
          <w:sz w:val="24"/>
        </w:rPr>
        <w:t>证券发行人</w:t>
      </w:r>
      <w:r w:rsidR="005577B0" w:rsidRPr="00D36FA2">
        <w:rPr>
          <w:bCs/>
          <w:sz w:val="24"/>
        </w:rPr>
        <w:t>合并、基金规模变动等基金管理人之外的因素致使基金投资比例不符合上述规定投资比例的，基金管理人应当在</w:t>
      </w:r>
      <w:r w:rsidR="005577B0" w:rsidRPr="00D36FA2">
        <w:rPr>
          <w:bCs/>
          <w:sz w:val="24"/>
        </w:rPr>
        <w:t>10</w:t>
      </w:r>
      <w:r w:rsidR="005577B0" w:rsidRPr="00D36FA2">
        <w:rPr>
          <w:bCs/>
          <w:sz w:val="24"/>
        </w:rPr>
        <w:t>个交易日内进行调整</w:t>
      </w:r>
      <w:r w:rsidR="005577B0" w:rsidRPr="00D36FA2">
        <w:rPr>
          <w:rFonts w:hint="eastAsia"/>
          <w:bCs/>
          <w:color w:val="000000"/>
          <w:sz w:val="24"/>
        </w:rPr>
        <w:t>，但中国证监会规定的特殊情形除外。法律法规另有规定的，从其规定</w:t>
      </w:r>
      <w:r w:rsidR="005577B0" w:rsidRPr="00D36FA2">
        <w:rPr>
          <w:bCs/>
          <w:sz w:val="24"/>
        </w:rPr>
        <w:t>。</w:t>
      </w:r>
    </w:p>
    <w:p w:rsidR="005577B0" w:rsidRPr="00D36FA2" w:rsidRDefault="005577B0" w:rsidP="005577B0">
      <w:pPr>
        <w:spacing w:line="360" w:lineRule="auto"/>
        <w:ind w:firstLineChars="200" w:firstLine="480"/>
        <w:rPr>
          <w:bCs/>
          <w:sz w:val="24"/>
        </w:rPr>
      </w:pPr>
      <w:r w:rsidRPr="00D36FA2">
        <w:rPr>
          <w:bCs/>
          <w:sz w:val="24"/>
        </w:rPr>
        <w:t>基金管理人应当自基金合同生效之日起</w:t>
      </w:r>
      <w:r w:rsidRPr="00D36FA2">
        <w:rPr>
          <w:rFonts w:hint="eastAsia"/>
          <w:bCs/>
          <w:sz w:val="24"/>
        </w:rPr>
        <w:t>6</w:t>
      </w:r>
      <w:r w:rsidRPr="00D36FA2">
        <w:rPr>
          <w:bCs/>
          <w:sz w:val="24"/>
        </w:rPr>
        <w:t>个月内使基金的投资组合比例符合基金合同的有关约定。</w:t>
      </w:r>
      <w:r w:rsidRPr="00D36FA2">
        <w:rPr>
          <w:rFonts w:hint="eastAsia"/>
          <w:bCs/>
          <w:color w:val="000000"/>
          <w:sz w:val="24"/>
        </w:rPr>
        <w:t>在上述期间内，本基金的投资范围、投资策略应当符合基金合同的约定。</w:t>
      </w:r>
      <w:r w:rsidRPr="00D36FA2">
        <w:rPr>
          <w:bCs/>
          <w:sz w:val="24"/>
        </w:rPr>
        <w:t>基金托管人对基金的投资的监督与检查自基金合同生效之日起开始。</w:t>
      </w:r>
    </w:p>
    <w:p w:rsidR="005577B0" w:rsidRPr="00D36FA2" w:rsidRDefault="005577B0" w:rsidP="005577B0">
      <w:pPr>
        <w:spacing w:line="360" w:lineRule="auto"/>
        <w:ind w:firstLineChars="200" w:firstLine="480"/>
        <w:rPr>
          <w:bCs/>
          <w:sz w:val="24"/>
        </w:rPr>
      </w:pPr>
      <w:r w:rsidRPr="00D36FA2">
        <w:rPr>
          <w:bCs/>
          <w:sz w:val="24"/>
        </w:rPr>
        <w:t>法律法规或监管部门取消</w:t>
      </w:r>
      <w:r w:rsidRPr="00D36FA2">
        <w:rPr>
          <w:rFonts w:hint="eastAsia"/>
          <w:bCs/>
          <w:color w:val="000000"/>
          <w:sz w:val="24"/>
        </w:rPr>
        <w:t>或变更</w:t>
      </w:r>
      <w:r w:rsidRPr="00D36FA2">
        <w:rPr>
          <w:bCs/>
          <w:sz w:val="24"/>
        </w:rPr>
        <w:t>上述限制，如适用于本基金，基金管理人</w:t>
      </w:r>
      <w:r w:rsidRPr="00D36FA2">
        <w:rPr>
          <w:rFonts w:hint="eastAsia"/>
          <w:bCs/>
          <w:sz w:val="24"/>
        </w:rPr>
        <w:t>在</w:t>
      </w:r>
      <w:r w:rsidRPr="00D36FA2">
        <w:rPr>
          <w:bCs/>
          <w:sz w:val="24"/>
        </w:rPr>
        <w:t>履行适当程序后，则本基金投资不再受相关限制</w:t>
      </w:r>
      <w:r w:rsidRPr="00D36FA2">
        <w:rPr>
          <w:rFonts w:hint="eastAsia"/>
          <w:bCs/>
          <w:color w:val="000000"/>
          <w:sz w:val="24"/>
        </w:rPr>
        <w:t>或以变更后的规定为准</w:t>
      </w:r>
      <w:r w:rsidRPr="00D36FA2">
        <w:rPr>
          <w:bCs/>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（三）基金托管人</w:t>
      </w:r>
      <w:bookmarkStart w:id="4" w:name="OLE_LINK1"/>
      <w:r w:rsidRPr="00D36FA2">
        <w:rPr>
          <w:rFonts w:asciiTheme="minorEastAsia" w:eastAsiaTheme="minorEastAsia" w:hAnsiTheme="minorEastAsia" w:cs="Arial" w:hint="eastAsia"/>
          <w:sz w:val="24"/>
        </w:rPr>
        <w:t>根据有关法律法规的规定及《基金合同》的约定，</w:t>
      </w:r>
      <w:bookmarkEnd w:id="4"/>
      <w:r w:rsidRPr="00D36FA2">
        <w:rPr>
          <w:rFonts w:asciiTheme="minorEastAsia" w:eastAsiaTheme="minorEastAsia" w:hAnsiTheme="minorEastAsia" w:cs="Arial" w:hint="eastAsia"/>
          <w:sz w:val="24"/>
        </w:rPr>
        <w:t>对本托管协议第十五条</w:t>
      </w:r>
      <w:r w:rsidR="009E6D7E" w:rsidRPr="00D36FA2">
        <w:rPr>
          <w:rFonts w:asciiTheme="minorEastAsia" w:eastAsiaTheme="minorEastAsia" w:hAnsiTheme="minorEastAsia" w:cs="Arial" w:hint="eastAsia"/>
          <w:sz w:val="24"/>
        </w:rPr>
        <w:t>第</w:t>
      </w:r>
      <w:r w:rsidR="009E6D7E" w:rsidRPr="00D36FA2">
        <w:rPr>
          <w:rFonts w:ascii="宋体" w:hAnsi="宋体" w:cs="Arial" w:hint="eastAsia"/>
          <w:sz w:val="24"/>
        </w:rPr>
        <w:t>十二</w:t>
      </w:r>
      <w:r w:rsidR="009E6D7E" w:rsidRPr="00D36FA2">
        <w:rPr>
          <w:rFonts w:asciiTheme="minorEastAsia" w:eastAsiaTheme="minorEastAsia" w:hAnsiTheme="minorEastAsia" w:cs="Arial" w:hint="eastAsia"/>
          <w:sz w:val="24"/>
        </w:rPr>
        <w:t>款</w:t>
      </w:r>
      <w:r w:rsidRPr="00D36FA2">
        <w:rPr>
          <w:rFonts w:asciiTheme="minorEastAsia" w:eastAsiaTheme="minorEastAsia" w:hAnsiTheme="minorEastAsia" w:cs="Arial" w:hint="eastAsia"/>
          <w:sz w:val="24"/>
        </w:rPr>
        <w:t>基金投资禁止行为通过事后监督方式进行监督。</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基金管理人运用基金财产买卖基金管理人、基金托管人及其控股股东、实际</w:t>
      </w:r>
      <w:r w:rsidRPr="00D36FA2">
        <w:rPr>
          <w:rFonts w:asciiTheme="minorEastAsia" w:eastAsiaTheme="minorEastAsia" w:hAnsiTheme="minorEastAsia" w:cs="Arial" w:hint="eastAsia"/>
          <w:sz w:val="24"/>
        </w:rPr>
        <w:lastRenderedPageBreak/>
        <w:t>控制人或者与其有重大利害关系的公司发行的证券或者承销期内承销的证券，或者从事其他重大关联交易的，应当符合基金的投资目标和投资策略，遵循基金份额持有人利益优先的原则，防范利益冲突，</w:t>
      </w:r>
      <w:r w:rsidR="005577B0" w:rsidRPr="00D36FA2">
        <w:rPr>
          <w:rFonts w:ascii="宋体" w:hAnsi="宋体" w:cs="Arial" w:hint="eastAsia"/>
          <w:sz w:val="24"/>
        </w:rPr>
        <w:t>建立健全内部审批机制和评估机制，按照市场公平合理价格执行</w:t>
      </w:r>
      <w:r w:rsidR="005577B0" w:rsidRPr="00D36FA2">
        <w:rPr>
          <w:rFonts w:ascii="宋体" w:hAnsi="宋体" w:cs="Arial"/>
          <w:sz w:val="24"/>
        </w:rPr>
        <w:t>。</w:t>
      </w:r>
      <w:r w:rsidRPr="00D36FA2">
        <w:rPr>
          <w:rFonts w:asciiTheme="minorEastAsia" w:eastAsiaTheme="minorEastAsia" w:hAnsiTheme="minorEastAsia" w:cs="Arial" w:hint="eastAsia"/>
          <w:sz w:val="24"/>
        </w:rPr>
        <w:t>相关交易必须事先得到基金托管人的同意，并</w:t>
      </w:r>
      <w:r w:rsidR="005577B0" w:rsidRPr="00D36FA2">
        <w:rPr>
          <w:rFonts w:ascii="宋体" w:hAnsi="宋体" w:cs="Arial"/>
          <w:sz w:val="24"/>
        </w:rPr>
        <w:t>按法律法规予以披露</w:t>
      </w:r>
      <w:r w:rsidR="005577B0" w:rsidRPr="00D36FA2">
        <w:rPr>
          <w:rFonts w:ascii="宋体" w:hAnsi="宋体" w:cs="Arial" w:hint="eastAsia"/>
          <w:sz w:val="24"/>
        </w:rPr>
        <w:t>。重大关联交易应提交基金管理人董事会审议，并经过三分之二以上的独立董事通过</w:t>
      </w:r>
      <w:r w:rsidRPr="00D36FA2">
        <w:rPr>
          <w:rFonts w:asciiTheme="minorEastAsia" w:eastAsiaTheme="minorEastAsia" w:hAnsiTheme="minorEastAsia" w:cs="Arial" w:hint="eastAsia"/>
          <w:sz w:val="24"/>
        </w:rPr>
        <w:t>。</w:t>
      </w:r>
      <w:r w:rsidR="008D14E7" w:rsidRPr="00D36FA2">
        <w:rPr>
          <w:rFonts w:asciiTheme="minorEastAsia" w:eastAsiaTheme="minorEastAsia" w:hAnsiTheme="minorEastAsia" w:cs="Arial" w:hint="eastAsia"/>
          <w:sz w:val="24"/>
        </w:rPr>
        <w:t>基金管理人董事会应至少每半年对关联交易进行审查。</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color w:val="000000"/>
          <w:sz w:val="24"/>
        </w:rPr>
        <w:t>基金管理人负责对交易对手的资信控制，按银行间债券市场的交易规则进行交易，并</w:t>
      </w:r>
      <w:r w:rsidRPr="00D36FA2">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36FA2">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D40BF" w:rsidRPr="00D36FA2" w:rsidRDefault="005D40BF" w:rsidP="005D40BF">
      <w:pPr>
        <w:spacing w:line="360" w:lineRule="auto"/>
        <w:ind w:firstLineChars="200" w:firstLine="480"/>
        <w:rPr>
          <w:rFonts w:asciiTheme="minorEastAsia" w:eastAsiaTheme="minorEastAsia" w:hAnsiTheme="minorEastAsia"/>
          <w:sz w:val="24"/>
        </w:rPr>
      </w:pP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p>
    <w:p w:rsidR="005D40BF" w:rsidRPr="00D36FA2" w:rsidRDefault="009E6D7E"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w:t>
      </w:r>
      <w:r w:rsidR="008E1D95" w:rsidRPr="00D36FA2">
        <w:rPr>
          <w:rFonts w:asciiTheme="minorEastAsia" w:eastAsiaTheme="minorEastAsia" w:hAnsiTheme="minorEastAsia" w:cs="Arial" w:hint="eastAsia"/>
          <w:sz w:val="24"/>
        </w:rPr>
        <w:t>五</w:t>
      </w:r>
      <w:r w:rsidRPr="00D36FA2">
        <w:rPr>
          <w:rFonts w:asciiTheme="minorEastAsia" w:eastAsiaTheme="minorEastAsia" w:hAnsiTheme="minorEastAsia"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5D40BF" w:rsidRPr="00D36FA2" w:rsidRDefault="009E6D7E" w:rsidP="005D40BF">
      <w:pPr>
        <w:adjustRightInd w:val="0"/>
        <w:snapToGrid w:val="0"/>
        <w:spacing w:line="360" w:lineRule="auto"/>
        <w:ind w:firstLineChars="200" w:firstLine="480"/>
        <w:rPr>
          <w:rFonts w:asciiTheme="minorEastAsia" w:eastAsiaTheme="minorEastAsia" w:hAnsiTheme="minorEastAsia"/>
          <w:i/>
          <w:sz w:val="24"/>
        </w:rPr>
      </w:pPr>
      <w:r w:rsidRPr="00D36FA2">
        <w:rPr>
          <w:rFonts w:asciiTheme="minorEastAsia" w:eastAsiaTheme="minorEastAsia" w:hAnsiTheme="minorEastAsia" w:cs="Arial" w:hint="eastAsia"/>
          <w:sz w:val="24"/>
        </w:rPr>
        <w:lastRenderedPageBreak/>
        <w:t>基金托管人对基金投资中小企业私募债券是否符合比例限制进行事后监督，如发现异常情况，应及时以书面形式通知基金管理人。基金管理人应积极配合和协助</w:t>
      </w:r>
      <w:r w:rsidR="00635A84" w:rsidRPr="00D36FA2">
        <w:rPr>
          <w:rFonts w:asciiTheme="minorEastAsia" w:eastAsiaTheme="minorEastAsia" w:hAnsiTheme="minorEastAsia" w:cs="Arial" w:hint="eastAsia"/>
          <w:sz w:val="24"/>
        </w:rPr>
        <w:t>基金托管人</w:t>
      </w:r>
      <w:r w:rsidRPr="00D36FA2">
        <w:rPr>
          <w:rFonts w:asciiTheme="minorEastAsia" w:eastAsiaTheme="minorEastAsia" w:hAnsiTheme="minorEastAsia"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w:t>
      </w:r>
      <w:r w:rsidR="008E1D95" w:rsidRPr="00D36FA2">
        <w:rPr>
          <w:rFonts w:asciiTheme="minorEastAsia" w:eastAsiaTheme="minorEastAsia" w:hAnsiTheme="minorEastAsia" w:cs="Arial" w:hint="eastAsia"/>
          <w:sz w:val="24"/>
        </w:rPr>
        <w:t>六</w:t>
      </w:r>
      <w:r w:rsidRPr="00D36FA2">
        <w:rPr>
          <w:rFonts w:asciiTheme="minorEastAsia" w:eastAsiaTheme="minorEastAsia" w:hAnsiTheme="minorEastAsia"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w:t>
      </w:r>
      <w:r w:rsidR="008E1D95" w:rsidRPr="00D36FA2">
        <w:rPr>
          <w:rFonts w:asciiTheme="minorEastAsia" w:eastAsiaTheme="minorEastAsia" w:hAnsiTheme="minorEastAsia" w:cs="Arial" w:hint="eastAsia"/>
          <w:sz w:val="24"/>
        </w:rPr>
        <w:t>七</w:t>
      </w:r>
      <w:r w:rsidRPr="00D36FA2">
        <w:rPr>
          <w:rFonts w:asciiTheme="minorEastAsia" w:eastAsia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w:t>
      </w:r>
      <w:r w:rsidR="008E1D95" w:rsidRPr="00D36FA2">
        <w:rPr>
          <w:rFonts w:asciiTheme="minorEastAsia" w:eastAsiaTheme="minorEastAsia" w:hAnsiTheme="minorEastAsia" w:cs="Arial" w:hint="eastAsia"/>
          <w:sz w:val="24"/>
        </w:rPr>
        <w:t>八</w:t>
      </w:r>
      <w:r w:rsidRPr="00D36FA2">
        <w:rPr>
          <w:rFonts w:asciiTheme="minorEastAsia" w:eastAsia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w:t>
      </w:r>
      <w:r w:rsidR="008E1D95" w:rsidRPr="00D36FA2">
        <w:rPr>
          <w:rFonts w:asciiTheme="minorEastAsia" w:eastAsiaTheme="minorEastAsia" w:hAnsiTheme="minorEastAsia" w:cs="Arial" w:hint="eastAsia"/>
          <w:sz w:val="24"/>
        </w:rPr>
        <w:t>九</w:t>
      </w:r>
      <w:r w:rsidRPr="00D36FA2">
        <w:rPr>
          <w:rFonts w:asciiTheme="minorEastAsia" w:eastAsia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w:t>
      </w:r>
      <w:r w:rsidRPr="00D36FA2">
        <w:rPr>
          <w:rFonts w:asciiTheme="minorEastAsia" w:eastAsiaTheme="minorEastAsia" w:hAnsiTheme="minorEastAsia" w:cs="Arial" w:hint="eastAsia"/>
          <w:sz w:val="24"/>
        </w:rPr>
        <w:lastRenderedPageBreak/>
        <w:t>金托管人应报告中国证监会。</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D36FA2">
        <w:rPr>
          <w:rFonts w:asciiTheme="minorEastAsia" w:eastAsiaTheme="minorEastAsia" w:hAnsiTheme="minorEastAsia" w:hint="eastAsia"/>
          <w:sz w:val="24"/>
          <w:szCs w:val="24"/>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w:t>
      </w:r>
      <w:r w:rsidR="005577B0"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证券账户</w:t>
      </w:r>
      <w:r w:rsidR="005577B0" w:rsidRPr="00D36FA2">
        <w:rPr>
          <w:rFonts w:ascii="宋体" w:hAnsi="宋体" w:cs="Arial" w:hint="eastAsia"/>
          <w:sz w:val="24"/>
        </w:rPr>
        <w:t>等投资所需账户、</w:t>
      </w:r>
      <w:r w:rsidRPr="00D36FA2">
        <w:rPr>
          <w:rFonts w:asciiTheme="minorEastAsia" w:eastAsiaTheme="minorEastAsia" w:hAnsiTheme="minorEastAsia" w:cs="Arial" w:hint="eastAsia"/>
          <w:sz w:val="24"/>
        </w:rPr>
        <w:t>复核基金管理人计算的基金资产净值和基金份额净值、根据基金管理人指令办理清算交收、相关信息披露和监督基金投资运作等行为。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D36FA2">
        <w:rPr>
          <w:rFonts w:asciiTheme="minorEastAsia" w:eastAsiaTheme="minorEastAsia" w:hAnsiTheme="minorEastAsia" w:hint="eastAsia"/>
          <w:sz w:val="24"/>
          <w:szCs w:val="24"/>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（一）基金财产保管的原则</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1.基金财产应独立于基金管理人、基金托管人的固有财产。</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2.基金托管人应安全保管基金财产。</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3.基金托管人按照规定开设基金财产的资金账户</w:t>
      </w:r>
      <w:r w:rsidR="005577B0"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证券账户</w:t>
      </w:r>
      <w:r w:rsidR="005577B0" w:rsidRPr="00D36FA2">
        <w:rPr>
          <w:rFonts w:ascii="宋体" w:hAnsi="宋体" w:cs="Arial" w:hint="eastAsia"/>
          <w:sz w:val="24"/>
        </w:rPr>
        <w:t>等投资所需账户</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4.基金托管人对所托管的不同基金财产分别设置账户，确保基金财产的完整</w:t>
      </w:r>
      <w:r w:rsidRPr="00D36FA2">
        <w:rPr>
          <w:rFonts w:asciiTheme="minorEastAsia" w:eastAsiaTheme="minorEastAsia" w:hAnsiTheme="minorEastAsia" w:cs="Arial" w:hint="eastAsia"/>
          <w:sz w:val="24"/>
        </w:rPr>
        <w:lastRenderedPageBreak/>
        <w:t>与独立。</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5.基金托管人按照《基金合同》和本协议的约定保管基金财产，如有特殊情况双方可另行协商解决。基金</w:t>
      </w:r>
      <w:r w:rsidRPr="00D36FA2">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w:t>
      </w:r>
      <w:r w:rsidR="005577B0" w:rsidRPr="00D36FA2">
        <w:rPr>
          <w:rFonts w:ascii="宋体" w:hAnsi="宋体" w:hint="eastAsia"/>
          <w:sz w:val="24"/>
        </w:rPr>
        <w:t>托管资产</w:t>
      </w:r>
      <w:r w:rsidRPr="00D36FA2">
        <w:rPr>
          <w:rFonts w:asciiTheme="minorEastAsia" w:eastAsiaTheme="minorEastAsia" w:hAnsiTheme="minorEastAsia" w:hint="eastAsia"/>
          <w:sz w:val="24"/>
        </w:rPr>
        <w:t>开户银行或</w:t>
      </w:r>
      <w:r w:rsidR="005577B0" w:rsidRPr="00D36FA2">
        <w:rPr>
          <w:rFonts w:ascii="宋体" w:hAnsi="宋体" w:hint="eastAsia"/>
          <w:sz w:val="24"/>
        </w:rPr>
        <w:t>交易/</w:t>
      </w:r>
      <w:r w:rsidRPr="00D36FA2">
        <w:rPr>
          <w:rFonts w:asciiTheme="minorEastAsia" w:eastAsiaTheme="minorEastAsia" w:hAnsiTheme="minorEastAsia" w:hint="eastAsia"/>
          <w:sz w:val="24"/>
        </w:rPr>
        <w:t>登记结算机构扣收</w:t>
      </w:r>
      <w:r w:rsidR="005577B0" w:rsidRPr="00D36FA2">
        <w:rPr>
          <w:rFonts w:ascii="宋体" w:hAnsi="宋体" w:hint="eastAsia"/>
          <w:sz w:val="24"/>
        </w:rPr>
        <w:t>交易费、</w:t>
      </w:r>
      <w:r w:rsidRPr="00D36FA2">
        <w:rPr>
          <w:rFonts w:asciiTheme="minorEastAsia" w:eastAsiaTheme="minorEastAsia" w:hAnsiTheme="minorEastAsia" w:hint="eastAsia"/>
          <w:sz w:val="24"/>
        </w:rPr>
        <w:t>结算费和账户维护费等费用）。</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w:t>
      </w:r>
      <w:r w:rsidR="005577B0" w:rsidRPr="00D36FA2">
        <w:rPr>
          <w:rFonts w:ascii="宋体" w:hAnsi="宋体" w:cs="Arial" w:hint="eastAsia"/>
          <w:sz w:val="24"/>
        </w:rPr>
        <w:t>并配合</w:t>
      </w:r>
      <w:r w:rsidRPr="00D36FA2">
        <w:rPr>
          <w:rFonts w:asciiTheme="minorEastAsia" w:eastAsiaTheme="minorEastAsia" w:hAnsiTheme="minorEastAsia" w:cs="Arial" w:hint="eastAsia"/>
          <w:sz w:val="24"/>
        </w:rPr>
        <w:t>基金管理人采取措施进行催收。由此给基金财产造成损失的，基金管理人应负责向有关当事人追偿基金财产的损失，基金托管人不承担任何责任。</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7.除依据法律法规和《基金合同》的规定外，基金托管人不得委托第三人托管基金财产。</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（二）基金募集期间及募集资金的验资</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r w:rsidR="005577B0" w:rsidRPr="00D36FA2">
        <w:rPr>
          <w:rFonts w:ascii="宋体" w:hAnsi="宋体" w:cs="Arial" w:hint="eastAsia"/>
          <w:sz w:val="24"/>
        </w:rPr>
        <w:t>，且会计师事务所提交的验资报告需对发起资金的持有人及其持有份额进行专门说明</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3.若基金募集期限届满，未能达到《基金合同》生效的条件，由基金管理人按规定办理退款等事宜。</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（三）基金银行账户的开立和管理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1.基金托管人</w:t>
      </w:r>
      <w:r w:rsidR="005577B0" w:rsidRPr="00D36FA2">
        <w:rPr>
          <w:rFonts w:ascii="宋体" w:hAnsi="宋体" w:cs="Arial" w:hint="eastAsia"/>
          <w:sz w:val="24"/>
        </w:rPr>
        <w:t>应以本</w:t>
      </w:r>
      <w:r w:rsidRPr="00D36FA2">
        <w:rPr>
          <w:rFonts w:asciiTheme="minorEastAsia" w:eastAsiaTheme="minorEastAsia" w:hAnsiTheme="minorEastAsia" w:cs="Arial" w:hint="eastAsia"/>
          <w:sz w:val="24"/>
        </w:rPr>
        <w:t>基金的名义在其营业机构开立基金的银行账户，并根据基金管理人合法合规的指令办理资金收付。本基金的银行预留印鉴由基金托管人保管和使用。</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w:t>
      </w:r>
      <w:r w:rsidRPr="00D36FA2">
        <w:rPr>
          <w:rFonts w:asciiTheme="minorEastAsia" w:eastAsiaTheme="minorEastAsia" w:hAnsiTheme="minorEastAsia" w:cs="Arial" w:hint="eastAsia"/>
          <w:sz w:val="24"/>
        </w:rPr>
        <w:lastRenderedPageBreak/>
        <w:t>的任何账户进行本基金业务以外的活动。</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3.基金银行账户的开立和管理应符合银行业监督管理机构的有关规定。</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4.在符合法律法规规定的条件下，基金托管人可以通过基金托管人专用账户办理基金资产的支付。</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（四）基金证券账户和结算备付金账户的开立和管理</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1.基金托管人在中国证券登记结算有限责任公司</w:t>
      </w:r>
      <w:r w:rsidR="005577B0" w:rsidRPr="00D36FA2">
        <w:rPr>
          <w:rFonts w:ascii="宋体" w:hAnsi="宋体" w:cs="Arial" w:hint="eastAsia"/>
          <w:sz w:val="24"/>
        </w:rPr>
        <w:t>上海分公司、深圳分公司</w:t>
      </w:r>
      <w:r w:rsidRPr="00D36FA2">
        <w:rPr>
          <w:rFonts w:asciiTheme="minorEastAsia" w:eastAsiaTheme="minorEastAsia" w:hAnsiTheme="minorEastAsia" w:cs="Arial" w:hint="eastAsia"/>
          <w:sz w:val="24"/>
        </w:rPr>
        <w:t>为基金开立基金托管人与基金联名的证券账户。</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3.基金证券账户的开立和证券账户卡的保管由基金托管人负责，账户资产的管理和运用由基金管理人负责。</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证券账户开户费由</w:t>
      </w:r>
      <w:r w:rsidR="00552740" w:rsidRPr="00D36FA2">
        <w:rPr>
          <w:rFonts w:ascii="宋体" w:hAnsi="宋体" w:cs="Arial" w:hint="eastAsia"/>
          <w:sz w:val="24"/>
        </w:rPr>
        <w:t>本基金财产承担。此项开户费由</w:t>
      </w:r>
      <w:r w:rsidRPr="00D36FA2">
        <w:rPr>
          <w:rFonts w:asciiTheme="minorEastAsia" w:eastAsiaTheme="minorEastAsia" w:hAnsiTheme="minorEastAsia" w:cs="Arial" w:hint="eastAsia"/>
          <w:sz w:val="24"/>
        </w:rPr>
        <w:t>基金管理人先行垫付</w:t>
      </w:r>
      <w:r w:rsidR="00635A84"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待托管产品启始运营后</w:t>
      </w:r>
      <w:r w:rsidR="00635A84"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基金管理人可向基金托管人发送划款指令</w:t>
      </w:r>
      <w:r w:rsidR="00635A84"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将代垫开户费从本基金托管资金账户中扣还基金管理人。</w:t>
      </w:r>
      <w:r w:rsidR="00552740" w:rsidRPr="00D36FA2">
        <w:rPr>
          <w:rFonts w:ascii="宋体" w:hAnsi="宋体" w:cs="Arial" w:hint="eastAsia"/>
          <w:sz w:val="24"/>
        </w:rPr>
        <w:t>账户开立后，基金托管人应及时将证券账户开通信息通知基金管理人。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（五）债券托管专户的开设和管理</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《基金合同》生效后，基金管理人负责以</w:t>
      </w:r>
      <w:r w:rsidR="00552740" w:rsidRPr="00D36FA2">
        <w:rPr>
          <w:rFonts w:ascii="宋体" w:hAnsi="宋体" w:cs="Arial" w:hint="eastAsia"/>
          <w:sz w:val="24"/>
        </w:rPr>
        <w:t>本</w:t>
      </w:r>
      <w:r w:rsidRPr="00D36FA2">
        <w:rPr>
          <w:rFonts w:asciiTheme="minorEastAsia" w:eastAsiaTheme="minorEastAsia" w:hAnsiTheme="minorEastAsia" w:cs="Arial" w:hint="eastAsia"/>
          <w:sz w:val="24"/>
        </w:rPr>
        <w:t>基金的名义申请并取得进入全国银行间同业拆借市场的交易资格，并代表基金进行交易；基金托管人根据中国人民银行、银行间市场登记结算机构的有关规定，</w:t>
      </w:r>
      <w:r w:rsidR="00552740" w:rsidRPr="00D36FA2">
        <w:rPr>
          <w:rFonts w:ascii="宋体" w:hAnsi="宋体" w:cs="Arial" w:hint="eastAsia"/>
          <w:sz w:val="24"/>
        </w:rPr>
        <w:t>以本基金的名义</w:t>
      </w:r>
      <w:r w:rsidRPr="00D36FA2">
        <w:rPr>
          <w:rFonts w:asciiTheme="minorEastAsia" w:eastAsiaTheme="minorEastAsia" w:hAnsiTheme="minorEastAsia" w:cs="Arial" w:hint="eastAsia"/>
          <w:sz w:val="24"/>
        </w:rPr>
        <w:t>在银行间市场登记结算机构开立债券托管账户，持有人账户和资金结算账户，并代表基金进行银行间市场债券的结算。基金管理人和基金托管人共同代表基金签订全国银行间债</w:t>
      </w:r>
      <w:r w:rsidRPr="00D36FA2">
        <w:rPr>
          <w:rFonts w:asciiTheme="minorEastAsia" w:eastAsiaTheme="minorEastAsia" w:hAnsiTheme="minorEastAsia" w:cs="Arial" w:hint="eastAsia"/>
          <w:sz w:val="24"/>
        </w:rPr>
        <w:lastRenderedPageBreak/>
        <w:t>券市场债券回购主协议。</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（六）其他账户的开立和管理</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2.法律法规等有关规定对相关账户的开立和管理另有规定的，从其规定办理。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（七）基金财产投资的有关有价凭证等的保管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基金财产投资的有关实物证券、银行</w:t>
      </w:r>
      <w:r w:rsidRPr="00D36FA2">
        <w:rPr>
          <w:rFonts w:asciiTheme="minorEastAsia" w:eastAsiaTheme="minorEastAsia" w:hAnsiTheme="minorEastAsia" w:hint="eastAsia"/>
          <w:sz w:val="24"/>
        </w:rPr>
        <w:t>存款开户证实书</w:t>
      </w:r>
      <w:r w:rsidRPr="00D36FA2">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2740" w:rsidRPr="00D36FA2">
        <w:rPr>
          <w:rFonts w:ascii="宋体" w:hAnsi="宋体" w:cs="Arial" w:hint="eastAsia"/>
          <w:sz w:val="24"/>
        </w:rPr>
        <w:t>、银行间市场清算所股份有限公司</w:t>
      </w:r>
      <w:r w:rsidRPr="00D36FA2">
        <w:rPr>
          <w:rFonts w:asciiTheme="minorEastAsia" w:eastAsia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（八）与基金财产有关的重大合同的保管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552740" w:rsidRPr="00D36FA2">
        <w:rPr>
          <w:rFonts w:ascii="宋体" w:hAnsi="宋体" w:cs="Arial" w:hint="eastAsia"/>
          <w:sz w:val="24"/>
        </w:rPr>
        <w:t>或双方同意的其他方式</w:t>
      </w:r>
      <w:r w:rsidRPr="00D36FA2">
        <w:rPr>
          <w:rFonts w:asciiTheme="minorEastAsia" w:eastAsiaTheme="minorEastAsia" w:hAnsiTheme="minorEastAsia" w:cs="Arial" w:hint="eastAsia"/>
          <w:sz w:val="24"/>
        </w:rPr>
        <w:t>将重大合同传真给基金托管人，并在三十个工作日内将正本送达基金托管人处。重大合同的保管期限为《基金合同》终止后15年。</w:t>
      </w:r>
    </w:p>
    <w:p w:rsidR="00552740" w:rsidRPr="00D36FA2" w:rsidRDefault="00552740"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宋体" w:hAnsi="宋体" w:cs="Arial" w:hint="eastAsia"/>
          <w:sz w:val="24"/>
        </w:rPr>
        <w:t>对于无法取得二份以上的正本的，基金管理人应向基金托管人提供加盖公章的合同传真件，未经双方协商一致，合同原件不得转移。</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D36FA2">
        <w:rPr>
          <w:rFonts w:asciiTheme="minorEastAsia" w:eastAsiaTheme="minorEastAsia" w:hAnsiTheme="minorEastAsia" w:hint="eastAsia"/>
          <w:sz w:val="24"/>
          <w:szCs w:val="24"/>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基金管理人在运用基金财产时向基金托管人发送资金划拨及其他款项付款指</w:t>
      </w:r>
      <w:r w:rsidRPr="00D36FA2">
        <w:rPr>
          <w:rFonts w:asciiTheme="minorEastAsia" w:eastAsiaTheme="minorEastAsia" w:hAnsiTheme="minorEastAsia" w:cs="Arial" w:hint="eastAsia"/>
          <w:sz w:val="24"/>
        </w:rPr>
        <w:lastRenderedPageBreak/>
        <w:t>令，基金托管人执行基金管理人的指令、办理基金名下的资金往来等有关事项。</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（一）基金管理人对发送指令人员的书面授权</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1.基金管理人应指定专人向基金托管人发送指令。</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552740" w:rsidRPr="00D36FA2">
        <w:rPr>
          <w:rFonts w:ascii="宋体" w:hAnsi="宋体" w:cs="Arial" w:hint="eastAsia"/>
          <w:sz w:val="24"/>
        </w:rPr>
        <w:t>前述时间</w:t>
      </w:r>
      <w:r w:rsidRPr="00D36FA2">
        <w:rPr>
          <w:rFonts w:asciiTheme="minorEastAsia" w:eastAsiaTheme="minorEastAsia" w:hAnsiTheme="minorEastAsia" w:cs="Arial" w:hint="eastAsia"/>
          <w:sz w:val="24"/>
        </w:rPr>
        <w:t>，则以基金托管人收到授权文件并经电话确认的时点为授权文件的生效时间。</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（二）指令的内容</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1.指令包括付款指令以及其他资金划拨指令等。</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（三）指令的发送、确认及执行的时间和程序</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1.指令的发送</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基金管理人发送指令应采用加密传真方式或双方协商一致的其他方式。</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552740" w:rsidRPr="00D36FA2">
        <w:rPr>
          <w:rFonts w:ascii="宋体" w:hAnsi="宋体" w:cs="Arial" w:hint="eastAsia"/>
          <w:sz w:val="24"/>
        </w:rPr>
        <w:t>交易指令发送人员</w:t>
      </w:r>
      <w:r w:rsidRPr="00D36FA2">
        <w:rPr>
          <w:rFonts w:asciiTheme="minorEastAsia" w:eastAsiaTheme="minorEastAsia" w:hAnsiTheme="minorEastAsia" w:cs="Arial" w:hint="eastAsia"/>
          <w:sz w:val="24"/>
        </w:rPr>
        <w:t>无权发送的指令，或超权限发送的指令，基金管理人不承担责任，授权已更改但未经基金托管人确认的情况除外。</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指令发出后，基金管理人应及时以电话方式向基金托管人确认。</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2.指令的确认</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3.指令的时间和执行</w:t>
      </w:r>
    </w:p>
    <w:p w:rsidR="005D40BF" w:rsidRPr="00D36FA2" w:rsidRDefault="005D40BF" w:rsidP="005D40BF">
      <w:pPr>
        <w:pStyle w:val="ab"/>
        <w:spacing w:line="360" w:lineRule="auto"/>
        <w:ind w:firstLineChars="0"/>
        <w:rPr>
          <w:rFonts w:asciiTheme="minorEastAsia" w:eastAsiaTheme="minorEastAsia" w:hAnsiTheme="minorEastAsia" w:cs="Arial"/>
          <w:szCs w:val="24"/>
          <w:shd w:val="pct15" w:color="auto" w:fill="FFFFFF"/>
        </w:rPr>
      </w:pPr>
      <w:r w:rsidRPr="00D36FA2">
        <w:rPr>
          <w:rFonts w:asciiTheme="minorEastAsia" w:eastAsiaTheme="minorEastAsia" w:hAnsiTheme="minorEastAsia" w:cs="Arial" w:hint="eastAsia"/>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5D40BF" w:rsidRPr="00D36FA2" w:rsidRDefault="005D40BF" w:rsidP="005D40BF">
      <w:pPr>
        <w:pStyle w:val="ab"/>
        <w:spacing w:line="360" w:lineRule="auto"/>
        <w:ind w:firstLineChars="0"/>
        <w:rPr>
          <w:rFonts w:asciiTheme="minorEastAsia" w:eastAsiaTheme="minorEastAsia" w:hAnsiTheme="minorEastAsia" w:cs="Arial"/>
          <w:szCs w:val="24"/>
        </w:rPr>
      </w:pPr>
      <w:r w:rsidRPr="00D36FA2">
        <w:rPr>
          <w:rFonts w:asciiTheme="minorEastAsia" w:eastAsiaTheme="minorEastAsia" w:hAnsiTheme="minorEastAsia" w:cs="Arial" w:hint="eastAsia"/>
          <w:szCs w:val="24"/>
        </w:rPr>
        <w:t>（四）基金管理人发送错误指令的情形和处理程序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（五）基金托管人依照法律法规暂缓、拒绝执行指令的情形和处理程序</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若基金托管人发现基金管理人的指令违反法律法规，或者违反《基金合同》约定的，应当拒绝执行，</w:t>
      </w:r>
      <w:r w:rsidR="00552740" w:rsidRPr="00D36FA2">
        <w:rPr>
          <w:rFonts w:ascii="宋体" w:hAnsi="宋体" w:cs="Arial" w:hint="eastAsia"/>
          <w:sz w:val="24"/>
        </w:rPr>
        <w:t>并</w:t>
      </w:r>
      <w:r w:rsidRPr="00D36FA2">
        <w:rPr>
          <w:rFonts w:asciiTheme="minorEastAsia" w:eastAsiaTheme="minorEastAsia" w:hAnsiTheme="minorEastAsia" w:cs="Arial" w:hint="eastAsia"/>
          <w:sz w:val="24"/>
        </w:rPr>
        <w:t>立即通知基金管理人。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（六）基金托管人未按照基金管理人指令执行的处理方法</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基金托管人由于自身原因，未按照基金管理人发送的指令执行并对基金财产</w:t>
      </w:r>
      <w:r w:rsidRPr="00D36FA2">
        <w:rPr>
          <w:rFonts w:asciiTheme="minorEastAsia" w:eastAsiaTheme="minorEastAsia" w:hAnsiTheme="minorEastAsia" w:cs="Arial" w:hint="eastAsia"/>
          <w:sz w:val="24"/>
        </w:rPr>
        <w:lastRenderedPageBreak/>
        <w:t>或投资人造成的直接损失，由基金托管人</w:t>
      </w:r>
      <w:r w:rsidRPr="00D36FA2">
        <w:rPr>
          <w:rFonts w:asciiTheme="minorEastAsia" w:eastAsiaTheme="minorEastAsia" w:hAnsiTheme="minorEastAsia" w:hint="eastAsia"/>
          <w:sz w:val="24"/>
        </w:rPr>
        <w:t>赔偿由此造成的直接损失。</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（七）更换被授权人的程序</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00552740" w:rsidRPr="00D36FA2">
        <w:rPr>
          <w:rFonts w:ascii="宋体" w:hAnsi="宋体" w:cs="Arial" w:hint="eastAsia"/>
          <w:sz w:val="24"/>
        </w:rPr>
        <w:t>，基金托管人应及时通知基金管理人</w:t>
      </w:r>
      <w:r w:rsidRPr="00D36FA2">
        <w:rPr>
          <w:rFonts w:asciiTheme="minorEastAsia" w:eastAsiaTheme="minorEastAsia" w:hAnsiTheme="minorEastAsia" w:hint="eastAsia"/>
          <w:sz w:val="24"/>
        </w:rPr>
        <w:t>。</w:t>
      </w:r>
      <w:r w:rsidRPr="00D36FA2">
        <w:rPr>
          <w:rFonts w:asciiTheme="minorEastAsia" w:eastAsiaTheme="minorEastAsia" w:hAnsiTheme="minorEastAsia" w:cs="Arial" w:hint="eastAsia"/>
          <w:sz w:val="24"/>
        </w:rPr>
        <w:t>基金托管人更换接</w:t>
      </w:r>
      <w:r w:rsidR="00552740" w:rsidRPr="00D36FA2">
        <w:rPr>
          <w:rFonts w:ascii="宋体" w:hAnsi="宋体" w:cs="Arial"/>
          <w:sz w:val="24"/>
        </w:rPr>
        <w:t>收</w:t>
      </w:r>
      <w:r w:rsidRPr="00D36FA2">
        <w:rPr>
          <w:rFonts w:asciiTheme="minorEastAsia" w:eastAsiaTheme="minorEastAsia" w:hAnsiTheme="minorEastAsia" w:cs="Arial" w:hint="eastAsia"/>
          <w:sz w:val="24"/>
        </w:rPr>
        <w:t>基金管理人指令的人员，应提前通过录音电话通知基金管理人。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（八）其他事项</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w:t>
      </w:r>
      <w:r w:rsidR="00552740" w:rsidRPr="00D36FA2">
        <w:rPr>
          <w:rFonts w:ascii="宋体" w:hAnsi="宋体" w:cs="Arial" w:hint="eastAsia"/>
          <w:sz w:val="24"/>
        </w:rPr>
        <w:t>有效</w:t>
      </w:r>
      <w:r w:rsidRPr="00D36FA2">
        <w:rPr>
          <w:rFonts w:asciiTheme="minorEastAsia" w:eastAsiaTheme="minorEastAsia" w:hAnsiTheme="minorEastAsia" w:cs="Arial" w:hint="eastAsia"/>
          <w:sz w:val="24"/>
        </w:rPr>
        <w:t>指令对基金财产造成的损失不承担赔偿责任。</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D36FA2">
        <w:rPr>
          <w:rFonts w:asciiTheme="minorEastAsia" w:eastAsiaTheme="minorEastAsia" w:hAnsiTheme="minorEastAsia" w:hint="eastAsia"/>
          <w:sz w:val="24"/>
          <w:szCs w:val="24"/>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（一）选择证券买卖的证券经营机构</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552740" w:rsidRPr="00D36FA2">
        <w:rPr>
          <w:rFonts w:ascii="宋体" w:hAnsi="宋体" w:cs="Arial" w:hint="eastAsia"/>
          <w:sz w:val="24"/>
        </w:rPr>
        <w:t>按法规要求</w:t>
      </w:r>
      <w:r w:rsidRPr="00D36FA2">
        <w:rPr>
          <w:rFonts w:asciiTheme="minorEastAsia" w:eastAsiaTheme="minorEastAsia" w:hAnsiTheme="minorEastAsia" w:cs="Arial" w:hint="eastAsia"/>
          <w:sz w:val="24"/>
        </w:rPr>
        <w:t>予以披露，并将该等情况及基金交易单元号、佣金费率等基本信息以及变更情况及时以书面形式通知基金托管人。</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（二）基金投资证券后的清算交收安排</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1.清算与交割</w:t>
      </w:r>
    </w:p>
    <w:p w:rsidR="005D40BF" w:rsidRPr="00D36FA2" w:rsidRDefault="005D40BF" w:rsidP="005D40BF">
      <w:pPr>
        <w:adjustRightInd w:val="0"/>
        <w:snapToGrid w:val="0"/>
        <w:spacing w:line="360" w:lineRule="auto"/>
        <w:ind w:firstLine="480"/>
        <w:rPr>
          <w:rFonts w:asciiTheme="minorEastAsia" w:eastAsiaTheme="minorEastAsia" w:hAnsiTheme="minorEastAsia"/>
          <w:sz w:val="24"/>
        </w:rPr>
      </w:pPr>
      <w:r w:rsidRPr="00D36FA2">
        <w:rPr>
          <w:rFonts w:asciiTheme="minorEastAsia" w:eastAsiaTheme="minorEastAsia" w:hAnsiTheme="minorEastAsia" w:hint="eastAsia"/>
          <w:sz w:val="24"/>
        </w:rPr>
        <w:lastRenderedPageBreak/>
        <w:t>基金管理人与基金托管人应根据有关法律法规及相关业务规则，签订《托管</w:t>
      </w:r>
    </w:p>
    <w:p w:rsidR="005D40BF" w:rsidRPr="00D36FA2" w:rsidRDefault="005D40BF" w:rsidP="005D40BF">
      <w:pPr>
        <w:adjustRightInd w:val="0"/>
        <w:snapToGrid w:val="0"/>
        <w:spacing w:line="360" w:lineRule="auto"/>
        <w:rPr>
          <w:rFonts w:asciiTheme="minorEastAsia" w:eastAsiaTheme="minorEastAsia" w:hAnsiTheme="minorEastAsia"/>
          <w:sz w:val="24"/>
        </w:rPr>
      </w:pPr>
      <w:r w:rsidRPr="00D36FA2">
        <w:rPr>
          <w:rFonts w:asciiTheme="minorEastAsia" w:eastAsiaTheme="minorEastAsia" w:hAnsiTheme="minorEastAsia" w:hint="eastAsia"/>
          <w:sz w:val="24"/>
        </w:rPr>
        <w:t>银行证券资金结算协议》，用以具体明确基金管理人与基金托管人在证券交易资金结算业务中的责任。</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D40BF" w:rsidRPr="00D36FA2" w:rsidRDefault="005D40BF" w:rsidP="005D40BF">
      <w:pPr>
        <w:adjustRightInd w:val="0"/>
        <w:snapToGrid w:val="0"/>
        <w:spacing w:line="360" w:lineRule="auto"/>
        <w:ind w:firstLine="480"/>
        <w:rPr>
          <w:rFonts w:asciiTheme="minorEastAsia" w:eastAsiaTheme="minorEastAsia" w:hAnsiTheme="minorEastAsia" w:cs="宋体"/>
          <w:color w:val="000000"/>
          <w:kern w:val="0"/>
          <w:sz w:val="24"/>
        </w:rPr>
      </w:pPr>
      <w:r w:rsidRPr="00D36FA2">
        <w:rPr>
          <w:rFonts w:asciiTheme="minorEastAsia" w:eastAsiaTheme="minorEastAsia" w:hAnsiTheme="minorEastAsia" w:cs="宋体" w:hint="eastAsia"/>
          <w:color w:val="000000"/>
          <w:kern w:val="0"/>
          <w:sz w:val="24"/>
        </w:rPr>
        <w:t>基金管理人应采取合理、必要措施，确保T日日终有足够的资金头寸完成 T+1日</w:t>
      </w:r>
      <w:r w:rsidRPr="00D36FA2">
        <w:rPr>
          <w:rFonts w:asciiTheme="minorEastAsia" w:eastAsiaTheme="minorEastAsia" w:hAnsiTheme="minorEastAsia" w:hint="eastAsia"/>
          <w:sz w:val="24"/>
        </w:rPr>
        <w:t>的</w:t>
      </w:r>
      <w:r w:rsidR="00552740" w:rsidRPr="00D36FA2">
        <w:rPr>
          <w:rFonts w:ascii="宋体" w:hAnsi="宋体" w:cs="宋体" w:hint="eastAsia"/>
          <w:color w:val="000000"/>
          <w:kern w:val="0"/>
          <w:sz w:val="24"/>
        </w:rPr>
        <w:t>投资交易</w:t>
      </w:r>
      <w:r w:rsidRPr="00D36FA2">
        <w:rPr>
          <w:rFonts w:asciiTheme="minorEastAsia" w:eastAsiaTheme="minorEastAsia" w:hAnsiTheme="minorEastAsia" w:hint="eastAsia"/>
          <w:sz w:val="24"/>
        </w:rPr>
        <w:t>资金</w:t>
      </w:r>
      <w:r w:rsidR="00552740" w:rsidRPr="00D36FA2">
        <w:rPr>
          <w:rFonts w:ascii="宋体" w:hAnsi="宋体" w:hint="eastAsia"/>
          <w:sz w:val="24"/>
        </w:rPr>
        <w:t>结算</w:t>
      </w:r>
      <w:r w:rsidRPr="00D36FA2">
        <w:rPr>
          <w:rFonts w:asciiTheme="minorEastAsia" w:eastAsiaTheme="minorEastAsia" w:hAnsiTheme="minorEastAsia"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sidRPr="00D36FA2">
        <w:rPr>
          <w:rFonts w:asciiTheme="minorEastAsia" w:eastAsiaTheme="minorEastAsia" w:hAnsiTheme="minorEastAsia" w:cs="宋体" w:hint="eastAsia"/>
          <w:color w:val="000000"/>
          <w:kern w:val="0"/>
          <w:sz w:val="24"/>
        </w:rPr>
        <w:lastRenderedPageBreak/>
        <w:t>券登记结算有限责任公司欠库扣款或对质押券进行处置造成的投资风险和损失由基金管理人承担。</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实行场内T+0交收的资金清算按照基金托管人的相关规定流程执行。</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2.交易记录、资金和证券账目核对的时间和方式</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（1）交易记录的核对</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hint="eastAsia"/>
          <w:kern w:val="0"/>
          <w:sz w:val="24"/>
        </w:rPr>
        <w:t>基金管理人</w:t>
      </w:r>
      <w:r w:rsidR="00635A84" w:rsidRPr="00D36FA2">
        <w:rPr>
          <w:rFonts w:asciiTheme="minorEastAsia" w:eastAsiaTheme="minorEastAsia" w:hAnsiTheme="minorEastAsia" w:hint="eastAsia"/>
          <w:kern w:val="0"/>
          <w:sz w:val="24"/>
        </w:rPr>
        <w:t>与基金托管人</w:t>
      </w:r>
      <w:r w:rsidRPr="00D36FA2">
        <w:rPr>
          <w:rFonts w:asciiTheme="minorEastAsia" w:eastAsiaTheme="minorEastAsia" w:hAnsiTheme="minorEastAsia"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（2）资金账目的核对</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资金账目</w:t>
      </w:r>
      <w:r w:rsidR="00552740" w:rsidRPr="00D36FA2">
        <w:rPr>
          <w:rFonts w:ascii="宋体" w:hAnsi="宋体" w:cs="Arial" w:hint="eastAsia"/>
          <w:sz w:val="24"/>
        </w:rPr>
        <w:t>由基金管理人与基金托管人</w:t>
      </w:r>
      <w:r w:rsidRPr="00D36FA2">
        <w:rPr>
          <w:rFonts w:asciiTheme="minorEastAsia" w:eastAsiaTheme="minorEastAsia" w:hAnsiTheme="minorEastAsia" w:cs="Arial" w:hint="eastAsia"/>
          <w:sz w:val="24"/>
        </w:rPr>
        <w:t>按日核实。</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（3）证券账目的核对</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基金管理人和基金托管人每</w:t>
      </w:r>
      <w:r w:rsidR="00635A84" w:rsidRPr="00D36FA2">
        <w:rPr>
          <w:rFonts w:asciiTheme="minorEastAsia" w:eastAsiaTheme="minorEastAsia" w:hAnsiTheme="minorEastAsia" w:cs="Arial" w:hint="eastAsia"/>
          <w:sz w:val="24"/>
        </w:rPr>
        <w:t>个</w:t>
      </w:r>
      <w:r w:rsidRPr="00D36FA2">
        <w:rPr>
          <w:rFonts w:asciiTheme="minorEastAsia" w:eastAsiaTheme="minorEastAsia" w:hAnsiTheme="minorEastAsia" w:cs="Arial" w:hint="eastAsia"/>
          <w:sz w:val="24"/>
        </w:rPr>
        <w:t>交易日结束后核对基金证券账目，确保双方账目相符。基金管理人和基金托管人每月月末核对</w:t>
      </w:r>
      <w:r w:rsidR="00552740" w:rsidRPr="00D36FA2">
        <w:rPr>
          <w:rFonts w:asciiTheme="minorEastAsia" w:eastAsiaTheme="minorEastAsia" w:hAnsiTheme="minorEastAsia" w:cs="Arial" w:hint="eastAsia"/>
          <w:sz w:val="24"/>
        </w:rPr>
        <w:t>实物</w:t>
      </w:r>
      <w:r w:rsidRPr="00D36FA2">
        <w:rPr>
          <w:rFonts w:asciiTheme="minorEastAsia" w:eastAsiaTheme="minorEastAsia" w:hAnsiTheme="minorEastAsia" w:cs="Arial" w:hint="eastAsia"/>
          <w:sz w:val="24"/>
        </w:rPr>
        <w:t>证券账目。</w:t>
      </w:r>
    </w:p>
    <w:p w:rsidR="005D40BF" w:rsidRPr="00D36FA2" w:rsidRDefault="005D40BF" w:rsidP="005D40BF">
      <w:pPr>
        <w:adjustRightInd w:val="0"/>
        <w:snapToGrid w:val="0"/>
        <w:spacing w:line="360" w:lineRule="auto"/>
        <w:ind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（三）基金申购和赎回业务处理的基本规定</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1.基金份额申购、赎回的确认、清算由基金管理人或其委托的登记机构负责。</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5.如基金管理人委托其他机构办理本基金的登记业务，应保证上述相关事宜按时进行。否则，由基金管理人承担相应的责任。</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6.关于清算专用账户的设立和管理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为满足申购、赎回及分红资金汇划的需要，由基金管理人开立资金清算的专用账户，该账户由登记机构管理。</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8.赎回和分红资金划拨规定</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9.资金指令</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资金指令的格式、内容、发送、接收和确认方式等与投资指令相同。</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（四）申赎净额结算</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p>
    <w:p w:rsidR="005D40BF" w:rsidRPr="00D36FA2" w:rsidRDefault="005D40BF" w:rsidP="005D40BF">
      <w:pPr>
        <w:adjustRightInd w:val="0"/>
        <w:snapToGrid w:val="0"/>
        <w:spacing w:line="360" w:lineRule="auto"/>
        <w:ind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（五）基金转换</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rsidR="005D40BF" w:rsidRPr="00D36FA2" w:rsidRDefault="005D40BF" w:rsidP="005D40BF">
      <w:pPr>
        <w:adjustRightInd w:val="0"/>
        <w:snapToGrid w:val="0"/>
        <w:spacing w:line="360" w:lineRule="auto"/>
        <w:ind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w:t>
      </w:r>
      <w:r w:rsidRPr="00D36FA2">
        <w:rPr>
          <w:rFonts w:asciiTheme="minorEastAsia" w:eastAsiaTheme="minorEastAsia" w:hAnsiTheme="minorEastAsia" w:cs="Arial" w:hint="eastAsia"/>
          <w:sz w:val="24"/>
        </w:rPr>
        <w:lastRenderedPageBreak/>
        <w:t>的公告执行。</w:t>
      </w:r>
    </w:p>
    <w:p w:rsidR="005D40BF" w:rsidRPr="00D36FA2" w:rsidRDefault="005D40BF" w:rsidP="005D40BF">
      <w:pPr>
        <w:adjustRightInd w:val="0"/>
        <w:snapToGrid w:val="0"/>
        <w:spacing w:line="360" w:lineRule="auto"/>
        <w:ind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3.本基金开展基金转换业务应按相关法律法规规定及《基金合同》的约定进行公告。</w:t>
      </w:r>
    </w:p>
    <w:p w:rsidR="005D40BF" w:rsidRPr="00D36FA2" w:rsidRDefault="005D40BF" w:rsidP="005D40BF">
      <w:pPr>
        <w:adjustRightInd w:val="0"/>
        <w:snapToGrid w:val="0"/>
        <w:spacing w:line="360" w:lineRule="auto"/>
        <w:ind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（六）基金现金分红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1.基金管理人确定分红方案通知基金托管人，双方核定后</w:t>
      </w:r>
      <w:r w:rsidRPr="00D36FA2">
        <w:rPr>
          <w:rFonts w:asciiTheme="minorEastAsia" w:eastAsiaTheme="minorEastAsia" w:hAnsiTheme="minorEastAsia" w:hint="eastAsia"/>
          <w:sz w:val="24"/>
        </w:rPr>
        <w:t>依照《信息披露办法》的有关规定在中国证监会指定</w:t>
      </w:r>
      <w:r w:rsidR="00552740" w:rsidRPr="00D36FA2">
        <w:rPr>
          <w:rFonts w:ascii="宋体" w:hAnsi="宋体" w:hint="eastAsia"/>
          <w:sz w:val="24"/>
        </w:rPr>
        <w:t>媒介</w:t>
      </w:r>
      <w:r w:rsidRPr="00D36FA2">
        <w:rPr>
          <w:rFonts w:asciiTheme="minorEastAsia" w:eastAsiaTheme="minorEastAsia" w:hAnsiTheme="minorEastAsia" w:hint="eastAsia"/>
          <w:sz w:val="24"/>
        </w:rPr>
        <w:t>上公告并报中国证监会备案</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3.基金管理人在下达指令时，应给基金托管人留出必需的划款时间。</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（七）投资银行存款的特别约定</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1.本基金投资银行存款前，基金管理人应与存款银行签订具体存款协议，包括但不限于以下内容：</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（3）约定存款证实书的具体传递交接方式及交接期限。</w:t>
      </w:r>
    </w:p>
    <w:p w:rsidR="005D40BF" w:rsidRPr="00D36FA2" w:rsidRDefault="005D40BF" w:rsidP="005D40BF">
      <w:pPr>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（4）资金划转过程中需要使用存款银行过渡账户的，存款银行须保证资金在过渡账户中不出现滞留，不被挪用。</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85" w:name="_Toc124325892"/>
      <w:r w:rsidRPr="00D36FA2">
        <w:rPr>
          <w:rFonts w:asciiTheme="minorEastAsia" w:eastAsiaTheme="minorEastAsia" w:hAnsiTheme="minorEastAsia" w:hint="eastAsia"/>
          <w:sz w:val="24"/>
          <w:szCs w:val="24"/>
        </w:rPr>
        <w:lastRenderedPageBreak/>
        <w:t xml:space="preserve"> 八、基金资产净值计算和会计核算</w:t>
      </w:r>
      <w:bookmarkEnd w:id="85"/>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（一）基金资产净值的计算、复核与完成的时间及程序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1.基金资产净值是指基金资产总值减去</w:t>
      </w:r>
      <w:r w:rsidR="001B7539" w:rsidRPr="00D36FA2">
        <w:rPr>
          <w:rFonts w:ascii="宋体" w:hAnsi="宋体" w:cs="Arial" w:hint="eastAsia"/>
          <w:sz w:val="24"/>
        </w:rPr>
        <w:t>基金</w:t>
      </w:r>
      <w:r w:rsidRPr="00D36FA2">
        <w:rPr>
          <w:rFonts w:asciiTheme="minorEastAsia" w:eastAsiaTheme="minorEastAsia" w:hAnsiTheme="minorEastAsia" w:cs="Arial" w:hint="eastAsia"/>
          <w:sz w:val="24"/>
        </w:rPr>
        <w:t>负债后的</w:t>
      </w:r>
      <w:r w:rsidR="001B7539" w:rsidRPr="00D36FA2">
        <w:rPr>
          <w:rFonts w:ascii="宋体" w:hAnsi="宋体" w:cs="Arial" w:hint="eastAsia"/>
          <w:sz w:val="24"/>
        </w:rPr>
        <w:t>价值</w:t>
      </w:r>
      <w:r w:rsidRPr="00D36FA2">
        <w:rPr>
          <w:rFonts w:asciiTheme="minorEastAsia" w:eastAsiaTheme="minorEastAsia" w:hAnsiTheme="minorEastAsia" w:cs="Arial" w:hint="eastAsia"/>
          <w:sz w:val="24"/>
        </w:rPr>
        <w:t>。基金份额净值是按照每个</w:t>
      </w:r>
      <w:r w:rsidR="001B7539" w:rsidRPr="00D36FA2">
        <w:rPr>
          <w:rFonts w:ascii="宋体" w:hAnsi="宋体" w:cs="Arial" w:hint="eastAsia"/>
          <w:sz w:val="24"/>
        </w:rPr>
        <w:t>工作日</w:t>
      </w:r>
      <w:r w:rsidRPr="00D36FA2">
        <w:rPr>
          <w:rFonts w:asciiTheme="minorEastAsia" w:eastAsiaTheme="minorEastAsia" w:hAnsiTheme="minorEastAsia" w:cs="Arial" w:hint="eastAsia"/>
          <w:sz w:val="24"/>
        </w:rPr>
        <w:t>闭市后，</w:t>
      </w:r>
      <w:r w:rsidR="009E6D7E" w:rsidRPr="00D36FA2">
        <w:rPr>
          <w:rFonts w:asciiTheme="minorEastAsia" w:eastAsiaTheme="minorEastAsia" w:hAnsiTheme="minorEastAsia" w:cs="Arial" w:hint="eastAsia"/>
          <w:sz w:val="24"/>
        </w:rPr>
        <w:t>基金资产净值除以当日</w:t>
      </w:r>
      <w:r w:rsidRPr="00D36FA2">
        <w:rPr>
          <w:rFonts w:asciiTheme="minorEastAsia" w:eastAsiaTheme="minorEastAsia" w:hAnsiTheme="minorEastAsia" w:cs="Arial" w:hint="eastAsia"/>
          <w:sz w:val="24"/>
        </w:rPr>
        <w:t>基金份额的余额数量计算，精确到0.00</w:t>
      </w:r>
      <w:r w:rsidR="001B7539" w:rsidRPr="00D36FA2">
        <w:rPr>
          <w:rFonts w:asciiTheme="minorEastAsia" w:eastAsiaTheme="minorEastAsia" w:hAnsiTheme="minorEastAsia" w:cs="Arial" w:hint="eastAsia"/>
          <w:sz w:val="24"/>
        </w:rPr>
        <w:t>0</w:t>
      </w:r>
      <w:r w:rsidRPr="00D36FA2">
        <w:rPr>
          <w:rFonts w:asciiTheme="minorEastAsia" w:eastAsiaTheme="minorEastAsia" w:hAnsiTheme="minorEastAsia" w:cs="Arial" w:hint="eastAsia"/>
          <w:sz w:val="24"/>
        </w:rPr>
        <w:t>1元，小数点后</w:t>
      </w:r>
      <w:r w:rsidR="001B7539" w:rsidRPr="00D36FA2">
        <w:rPr>
          <w:rFonts w:asciiTheme="minorEastAsia" w:eastAsiaTheme="minorEastAsia" w:hAnsiTheme="minorEastAsia" w:cs="Arial" w:hint="eastAsia"/>
          <w:sz w:val="24"/>
        </w:rPr>
        <w:t>第五</w:t>
      </w:r>
      <w:r w:rsidRPr="00D36FA2">
        <w:rPr>
          <w:rFonts w:asciiTheme="minorEastAsia" w:eastAsiaTheme="minorEastAsia" w:hAnsiTheme="minorEastAsia" w:cs="Arial" w:hint="eastAsia"/>
          <w:sz w:val="24"/>
        </w:rPr>
        <w:t>位四舍五入。</w:t>
      </w:r>
      <w:r w:rsidR="001B7539" w:rsidRPr="00D36FA2">
        <w:rPr>
          <w:rFonts w:ascii="宋体" w:hAnsi="宋体" w:hint="eastAsia"/>
          <w:bCs/>
          <w:sz w:val="24"/>
        </w:rPr>
        <w:t>法律法规、监管机构、基金合同</w:t>
      </w:r>
      <w:r w:rsidRPr="00D36FA2">
        <w:rPr>
          <w:rFonts w:asciiTheme="minorEastAsia" w:eastAsiaTheme="minorEastAsia" w:hAnsiTheme="minorEastAsia" w:cs="Arial" w:hint="eastAsia"/>
          <w:sz w:val="24"/>
        </w:rPr>
        <w:t>另有规定的，从其规定。</w:t>
      </w:r>
    </w:p>
    <w:p w:rsidR="001B7539" w:rsidRPr="00D36FA2" w:rsidRDefault="001B7539"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宋体" w:hAnsi="宋体"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5D40BF" w:rsidRPr="00D36FA2" w:rsidRDefault="001B7539"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宋体" w:hAnsi="宋体" w:cs="Arial" w:hint="eastAsia"/>
          <w:sz w:val="24"/>
        </w:rPr>
        <w:t>基金管理人于</w:t>
      </w:r>
      <w:r w:rsidR="005D40BF" w:rsidRPr="00D36FA2">
        <w:rPr>
          <w:rFonts w:asciiTheme="minorEastAsia" w:eastAsiaTheme="minorEastAsia" w:hAnsiTheme="minorEastAsia" w:cs="Arial" w:hint="eastAsia"/>
          <w:sz w:val="24"/>
        </w:rPr>
        <w:t>每个</w:t>
      </w:r>
      <w:r w:rsidRPr="00D36FA2">
        <w:rPr>
          <w:rFonts w:ascii="宋体" w:hAnsi="宋体" w:cs="Arial" w:hint="eastAsia"/>
          <w:sz w:val="24"/>
        </w:rPr>
        <w:t>工作</w:t>
      </w:r>
      <w:r w:rsidR="005D40BF" w:rsidRPr="00D36FA2">
        <w:rPr>
          <w:rFonts w:asciiTheme="minorEastAsia" w:eastAsiaTheme="minorEastAsia" w:hAnsiTheme="minorEastAsia" w:cs="Arial" w:hint="eastAsia"/>
          <w:sz w:val="24"/>
        </w:rPr>
        <w:t>日计算基金资产净值及基金份额净值，并按规定公告。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2.基金管理人应每</w:t>
      </w:r>
      <w:r w:rsidR="001B7539" w:rsidRPr="00D36FA2">
        <w:rPr>
          <w:rFonts w:ascii="宋体" w:hAnsi="宋体" w:cs="Arial" w:hint="eastAsia"/>
          <w:sz w:val="24"/>
        </w:rPr>
        <w:t>个工作</w:t>
      </w:r>
      <w:r w:rsidRPr="00D36FA2">
        <w:rPr>
          <w:rFonts w:asciiTheme="minorEastAsia" w:eastAsiaTheme="minorEastAsia" w:hAnsiTheme="minorEastAsia" w:cs="Arial" w:hint="eastAsia"/>
          <w:sz w:val="24"/>
        </w:rPr>
        <w:t>日对基金资产估值。但基金管理人根据法律法规或《基金合同》的规定暂停估值时除外。基金管理人每个</w:t>
      </w:r>
      <w:r w:rsidR="001B7539" w:rsidRPr="00D36FA2">
        <w:rPr>
          <w:rFonts w:ascii="宋体" w:hAnsi="宋体" w:cs="Arial" w:hint="eastAsia"/>
          <w:sz w:val="24"/>
        </w:rPr>
        <w:t>工作</w:t>
      </w:r>
      <w:r w:rsidRPr="00D36FA2">
        <w:rPr>
          <w:rFonts w:asciiTheme="minorEastAsia" w:eastAsiaTheme="minorEastAsia" w:hAnsiTheme="minorEastAsia" w:cs="Arial" w:hint="eastAsia"/>
          <w:sz w:val="24"/>
        </w:rPr>
        <w:t>日对基金资产估值后，将基金份额净值结果发送基金托管人，经基金托管人复核无误后，由基金管理人</w:t>
      </w:r>
      <w:r w:rsidR="001B7539" w:rsidRPr="00D36FA2">
        <w:rPr>
          <w:rFonts w:ascii="宋体" w:hAnsi="宋体" w:cs="Arial" w:hint="eastAsia"/>
          <w:sz w:val="24"/>
        </w:rPr>
        <w:t>按规定</w:t>
      </w:r>
      <w:r w:rsidRPr="00D36FA2">
        <w:rPr>
          <w:rFonts w:asciiTheme="minorEastAsia" w:eastAsiaTheme="minorEastAsia" w:hAnsiTheme="minorEastAsia" w:cs="Arial" w:hint="eastAsia"/>
          <w:sz w:val="24"/>
        </w:rPr>
        <w:t>对外公布。</w:t>
      </w:r>
    </w:p>
    <w:p w:rsidR="005D40BF" w:rsidRPr="00D36FA2" w:rsidRDefault="005D40BF" w:rsidP="005D40BF">
      <w:pPr>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（二）基金资产估值方法和特殊情形的处理</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1.估值对象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基金所拥有的债券和银行存款本息、应收款项、其它投资等资产及负债。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2.估值方法</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本基金所持有的投资品种，按如下原则进行估值 ：</w:t>
      </w:r>
    </w:p>
    <w:p w:rsidR="001B7539" w:rsidRPr="00D36FA2" w:rsidRDefault="00530897"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w:t>
      </w:r>
      <w:r w:rsidR="001B7539" w:rsidRPr="00D36FA2">
        <w:rPr>
          <w:rFonts w:asciiTheme="minorEastAsia" w:eastAsiaTheme="minorEastAsia" w:hAnsiTheme="minorEastAsia" w:cs="Arial" w:hint="eastAsia"/>
          <w:sz w:val="24"/>
        </w:rPr>
        <w:t>证券交易所上市的有价证券的估值</w:t>
      </w:r>
    </w:p>
    <w:p w:rsidR="009E6D7E" w:rsidRPr="00D36FA2" w:rsidRDefault="009E6D7E" w:rsidP="00D36FA2">
      <w:pPr>
        <w:adjustRightInd w:val="0"/>
        <w:snapToGrid w:val="0"/>
        <w:spacing w:line="360" w:lineRule="auto"/>
        <w:ind w:firstLineChars="250" w:firstLine="600"/>
        <w:rPr>
          <w:rFonts w:asciiTheme="minorEastAsia" w:eastAsiaTheme="minorEastAsia" w:hAnsiTheme="minorEastAsia" w:cs="Arial"/>
          <w:sz w:val="24"/>
        </w:rPr>
      </w:pPr>
      <w:r w:rsidRPr="00D36FA2">
        <w:rPr>
          <w:rFonts w:asciiTheme="minorEastAsia" w:eastAsiaTheme="minorEastAsia" w:hAnsiTheme="minorEastAsia" w:cs="Arial"/>
          <w:sz w:val="24"/>
        </w:rPr>
        <w:fldChar w:fldCharType="begin"/>
      </w:r>
      <w:r w:rsidR="00530897" w:rsidRPr="00D36FA2">
        <w:rPr>
          <w:rFonts w:asciiTheme="minorEastAsia" w:eastAsiaTheme="minorEastAsia" w:hAnsiTheme="minorEastAsia" w:cs="Arial"/>
          <w:sz w:val="24"/>
        </w:rPr>
        <w:instrText xml:space="preserve"> </w:instrText>
      </w:r>
      <w:r w:rsidR="00530897" w:rsidRPr="00D36FA2">
        <w:rPr>
          <w:rFonts w:asciiTheme="minorEastAsia" w:eastAsiaTheme="minorEastAsia" w:hAnsiTheme="minorEastAsia" w:cs="Arial" w:hint="eastAsia"/>
          <w:sz w:val="24"/>
        </w:rPr>
        <w:instrText>eq \o\ac(○,</w:instrText>
      </w:r>
      <w:r w:rsidRPr="00D36FA2">
        <w:rPr>
          <w:rFonts w:ascii="宋体" w:eastAsiaTheme="minorEastAsia" w:hAnsiTheme="minorEastAsia" w:cs="Arial"/>
          <w:position w:val="3"/>
          <w:sz w:val="16"/>
        </w:rPr>
        <w:instrText>1</w:instrText>
      </w:r>
      <w:r w:rsidR="00530897" w:rsidRPr="00D36FA2">
        <w:rPr>
          <w:rFonts w:asciiTheme="minorEastAsia" w:eastAsiaTheme="minorEastAsia" w:hAnsiTheme="minorEastAsia" w:cs="Arial" w:hint="eastAsia"/>
          <w:sz w:val="24"/>
        </w:rPr>
        <w:instrText>)</w:instrText>
      </w:r>
      <w:r w:rsidRPr="00D36FA2">
        <w:rPr>
          <w:rFonts w:asciiTheme="minorEastAsia" w:eastAsiaTheme="minorEastAsia" w:hAnsiTheme="minorEastAsia" w:cs="Arial"/>
          <w:sz w:val="24"/>
        </w:rPr>
        <w:fldChar w:fldCharType="end"/>
      </w:r>
      <w:r w:rsidR="001B7539" w:rsidRPr="00D36FA2">
        <w:rPr>
          <w:rFonts w:asciiTheme="minorEastAsia" w:eastAsiaTheme="minorEastAsia" w:hAnsiTheme="minorEastAsia" w:cs="Arial" w:hint="eastAsia"/>
          <w:sz w:val="24"/>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E6D7E" w:rsidRPr="00D36FA2" w:rsidRDefault="009E6D7E" w:rsidP="00D36FA2">
      <w:pPr>
        <w:adjustRightInd w:val="0"/>
        <w:snapToGrid w:val="0"/>
        <w:spacing w:line="360" w:lineRule="auto"/>
        <w:ind w:firstLineChars="250" w:firstLine="600"/>
        <w:rPr>
          <w:rFonts w:asciiTheme="minorEastAsia" w:eastAsiaTheme="minorEastAsia" w:hAnsiTheme="minorEastAsia" w:cs="Arial"/>
          <w:sz w:val="24"/>
        </w:rPr>
      </w:pPr>
      <w:r w:rsidRPr="00D36FA2">
        <w:rPr>
          <w:rFonts w:asciiTheme="minorEastAsia" w:eastAsiaTheme="minorEastAsia" w:hAnsiTheme="minorEastAsia" w:cs="Arial"/>
          <w:sz w:val="24"/>
        </w:rPr>
        <w:fldChar w:fldCharType="begin"/>
      </w:r>
      <w:r w:rsidR="00530897" w:rsidRPr="00D36FA2">
        <w:rPr>
          <w:rFonts w:asciiTheme="minorEastAsia" w:eastAsiaTheme="minorEastAsia" w:hAnsiTheme="minorEastAsia" w:cs="Arial"/>
          <w:sz w:val="24"/>
        </w:rPr>
        <w:instrText xml:space="preserve"> </w:instrText>
      </w:r>
      <w:r w:rsidR="00530897" w:rsidRPr="00D36FA2">
        <w:rPr>
          <w:rFonts w:asciiTheme="minorEastAsia" w:eastAsiaTheme="minorEastAsia" w:hAnsiTheme="minorEastAsia" w:cs="Arial" w:hint="eastAsia"/>
          <w:sz w:val="24"/>
        </w:rPr>
        <w:instrText>eq \o\ac(○,</w:instrText>
      </w:r>
      <w:r w:rsidRPr="00D36FA2">
        <w:rPr>
          <w:rFonts w:ascii="宋体" w:eastAsiaTheme="minorEastAsia" w:hAnsiTheme="minorEastAsia" w:cs="Arial"/>
          <w:position w:val="3"/>
          <w:sz w:val="16"/>
        </w:rPr>
        <w:instrText>2</w:instrText>
      </w:r>
      <w:r w:rsidR="00530897" w:rsidRPr="00D36FA2">
        <w:rPr>
          <w:rFonts w:asciiTheme="minorEastAsia" w:eastAsiaTheme="minorEastAsia" w:hAnsiTheme="minorEastAsia" w:cs="Arial" w:hint="eastAsia"/>
          <w:sz w:val="24"/>
        </w:rPr>
        <w:instrText>)</w:instrText>
      </w:r>
      <w:r w:rsidRPr="00D36FA2">
        <w:rPr>
          <w:rFonts w:asciiTheme="minorEastAsia" w:eastAsiaTheme="minorEastAsia" w:hAnsiTheme="minorEastAsia" w:cs="Arial"/>
          <w:sz w:val="24"/>
        </w:rPr>
        <w:fldChar w:fldCharType="end"/>
      </w:r>
      <w:r w:rsidR="001B7539" w:rsidRPr="00D36FA2">
        <w:rPr>
          <w:rFonts w:asciiTheme="minorEastAsia" w:eastAsiaTheme="minorEastAsia" w:hAnsiTheme="minorEastAsia" w:cs="Arial" w:hint="eastAsia"/>
          <w:sz w:val="24"/>
        </w:rPr>
        <w:t>交易所上市交易或挂牌转让的固定收益品种（基金合同另有规定的除外），选取估值日第三方估值机构提供的相应品种对应的估值净价估值，具体估值机构</w:t>
      </w:r>
      <w:r w:rsidR="001B7539" w:rsidRPr="00D36FA2">
        <w:rPr>
          <w:rFonts w:asciiTheme="minorEastAsia" w:eastAsiaTheme="minorEastAsia" w:hAnsiTheme="minorEastAsia" w:cs="Arial" w:hint="eastAsia"/>
          <w:sz w:val="24"/>
        </w:rPr>
        <w:lastRenderedPageBreak/>
        <w:t>由基金管理人与基金托管人另行协商约定；</w:t>
      </w:r>
    </w:p>
    <w:p w:rsidR="009E6D7E" w:rsidRPr="00D36FA2" w:rsidRDefault="009E6D7E" w:rsidP="00D36FA2">
      <w:pPr>
        <w:adjustRightInd w:val="0"/>
        <w:snapToGrid w:val="0"/>
        <w:spacing w:line="360" w:lineRule="auto"/>
        <w:ind w:firstLineChars="250" w:firstLine="600"/>
        <w:rPr>
          <w:rFonts w:asciiTheme="minorEastAsia" w:eastAsiaTheme="minorEastAsia" w:hAnsiTheme="minorEastAsia" w:cs="Arial"/>
          <w:sz w:val="24"/>
        </w:rPr>
      </w:pPr>
      <w:r w:rsidRPr="00D36FA2">
        <w:rPr>
          <w:rFonts w:asciiTheme="minorEastAsia" w:eastAsiaTheme="minorEastAsia" w:hAnsiTheme="minorEastAsia" w:cs="Arial"/>
          <w:sz w:val="24"/>
        </w:rPr>
        <w:fldChar w:fldCharType="begin"/>
      </w:r>
      <w:r w:rsidR="00530897" w:rsidRPr="00D36FA2">
        <w:rPr>
          <w:rFonts w:asciiTheme="minorEastAsia" w:eastAsiaTheme="minorEastAsia" w:hAnsiTheme="minorEastAsia" w:cs="Arial"/>
          <w:sz w:val="24"/>
        </w:rPr>
        <w:instrText xml:space="preserve"> </w:instrText>
      </w:r>
      <w:r w:rsidR="00530897" w:rsidRPr="00D36FA2">
        <w:rPr>
          <w:rFonts w:asciiTheme="minorEastAsia" w:eastAsiaTheme="minorEastAsia" w:hAnsiTheme="minorEastAsia" w:cs="Arial" w:hint="eastAsia"/>
          <w:sz w:val="24"/>
        </w:rPr>
        <w:instrText>eq \o\ac(○,</w:instrText>
      </w:r>
      <w:r w:rsidRPr="00D36FA2">
        <w:rPr>
          <w:rFonts w:ascii="宋体" w:eastAsiaTheme="minorEastAsia" w:hAnsiTheme="minorEastAsia" w:cs="Arial"/>
          <w:position w:val="3"/>
          <w:sz w:val="16"/>
        </w:rPr>
        <w:instrText>3</w:instrText>
      </w:r>
      <w:r w:rsidR="00530897" w:rsidRPr="00D36FA2">
        <w:rPr>
          <w:rFonts w:asciiTheme="minorEastAsia" w:eastAsiaTheme="minorEastAsia" w:hAnsiTheme="minorEastAsia" w:cs="Arial" w:hint="eastAsia"/>
          <w:sz w:val="24"/>
        </w:rPr>
        <w:instrText>)</w:instrText>
      </w:r>
      <w:r w:rsidRPr="00D36FA2">
        <w:rPr>
          <w:rFonts w:asciiTheme="minorEastAsia" w:eastAsiaTheme="minorEastAsia" w:hAnsiTheme="minorEastAsia" w:cs="Arial"/>
          <w:sz w:val="24"/>
        </w:rPr>
        <w:fldChar w:fldCharType="end"/>
      </w:r>
      <w:r w:rsidR="001B7539" w:rsidRPr="00D36FA2">
        <w:rPr>
          <w:rFonts w:asciiTheme="minorEastAsia" w:eastAsiaTheme="minorEastAsia" w:hAnsiTheme="minorEastAsia"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1B7539" w:rsidRPr="00D36FA2" w:rsidRDefault="00530897" w:rsidP="00982158">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w:t>
      </w:r>
      <w:r w:rsidR="001B7539" w:rsidRPr="00D36FA2">
        <w:rPr>
          <w:rFonts w:asciiTheme="minorEastAsia" w:eastAsiaTheme="minorEastAsia" w:hAnsiTheme="minorEastAsia" w:cs="Arial" w:hint="eastAsia"/>
          <w:sz w:val="24"/>
        </w:rPr>
        <w:t>首次公开发行未上市的债券，采用估值技术确定公允价值，在估值技术难以可靠计量公允价值的情况下，按成本估值。</w:t>
      </w:r>
    </w:p>
    <w:p w:rsidR="001B7539" w:rsidRPr="00D36FA2" w:rsidRDefault="00530897"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w:t>
      </w:r>
      <w:r w:rsidR="00B040B9" w:rsidRPr="00D36FA2">
        <w:rPr>
          <w:rFonts w:asciiTheme="minorEastAsia" w:eastAsiaTheme="minorEastAsia" w:hAnsiTheme="minorEastAsia"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B7539" w:rsidRPr="00D36FA2" w:rsidRDefault="00530897"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w:t>
      </w:r>
      <w:r w:rsidR="001B7539" w:rsidRPr="00D36FA2">
        <w:rPr>
          <w:rFonts w:asciiTheme="minorEastAsia" w:eastAsiaTheme="minorEastAsia" w:hAnsiTheme="minorEastAsia" w:cs="Arial" w:hint="eastAsia"/>
          <w:sz w:val="24"/>
        </w:rPr>
        <w:t>同一债券同时在两个或两个以上市场交易的，按债券所处的市场分别估值。</w:t>
      </w:r>
    </w:p>
    <w:p w:rsidR="001B7539" w:rsidRPr="00D36FA2" w:rsidRDefault="00530897"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w:t>
      </w:r>
      <w:r w:rsidR="001B7539" w:rsidRPr="00D36FA2">
        <w:rPr>
          <w:rFonts w:asciiTheme="minorEastAsia" w:eastAsiaTheme="minorEastAsia" w:hAnsiTheme="minorEastAsia" w:cs="Arial" w:hint="eastAsia"/>
          <w:sz w:val="24"/>
        </w:rPr>
        <w:t>中小企业私募债券，采用估值技术确定公允价值。在估值技术难以可靠计量公允价值的情况下，按成本估值。</w:t>
      </w:r>
    </w:p>
    <w:p w:rsidR="003D0670" w:rsidRPr="00D36FA2" w:rsidRDefault="00530897" w:rsidP="001B7539">
      <w:pPr>
        <w:adjustRightInd w:val="0"/>
        <w:snapToGrid w:val="0"/>
        <w:spacing w:line="360" w:lineRule="auto"/>
        <w:ind w:firstLineChars="200" w:firstLine="480"/>
        <w:rPr>
          <w:rFonts w:ascii="宋体" w:eastAsiaTheme="minorEastAsia" w:hAnsi="宋体" w:cstheme="minorBidi"/>
          <w:color w:val="000000"/>
          <w:kern w:val="0"/>
          <w:sz w:val="24"/>
        </w:rPr>
      </w:pPr>
      <w:r w:rsidRPr="00D36FA2">
        <w:rPr>
          <w:rFonts w:asciiTheme="minorEastAsia" w:eastAsiaTheme="minorEastAsia" w:hAnsiTheme="minorEastAsia" w:cs="Arial" w:hint="eastAsia"/>
          <w:sz w:val="24"/>
        </w:rPr>
        <w:t>（6）</w:t>
      </w:r>
      <w:r w:rsidR="003D0670" w:rsidRPr="00D36FA2">
        <w:rPr>
          <w:rFonts w:ascii="宋体" w:eastAsiaTheme="minorEastAsia" w:hAnsi="宋体" w:cs="宋体"/>
          <w:kern w:val="0"/>
          <w:sz w:val="24"/>
        </w:rPr>
        <w:t>本基金投资同业存单，按估值日第三方估值机构提供的估值净价估值；</w:t>
      </w:r>
      <w:r w:rsidR="003D0670" w:rsidRPr="00D36FA2">
        <w:rPr>
          <w:rFonts w:ascii="宋体" w:eastAsiaTheme="minorEastAsia" w:hAnsi="宋体" w:cstheme="minorBidi"/>
          <w:color w:val="000000"/>
          <w:kern w:val="0"/>
          <w:sz w:val="24"/>
        </w:rPr>
        <w:t>选定的第三方估值机构未提供估值价格的，按成本估值。</w:t>
      </w:r>
    </w:p>
    <w:p w:rsidR="001B7539" w:rsidRPr="00D36FA2" w:rsidRDefault="003D0670"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宋体" w:eastAsiaTheme="minorEastAsia" w:hAnsi="宋体" w:cstheme="minorBidi" w:hint="eastAsia"/>
          <w:color w:val="000000"/>
          <w:kern w:val="0"/>
          <w:sz w:val="24"/>
        </w:rPr>
        <w:t>(7)</w:t>
      </w:r>
      <w:r w:rsidR="001B7539" w:rsidRPr="00D36FA2">
        <w:rPr>
          <w:rFonts w:asciiTheme="minorEastAsia" w:eastAsiaTheme="minorEastAsia" w:hAnsiTheme="minorEastAsia" w:cs="Arial" w:hint="eastAsia"/>
          <w:sz w:val="24"/>
        </w:rPr>
        <w:t>如有确凿证据表明按上述方法进行估值不能客观反映其公允价值的，基金管理人可根据具体情况与基金托管人商定后，按最能反映公允价值的价格估值。</w:t>
      </w:r>
    </w:p>
    <w:p w:rsidR="005D40BF" w:rsidRPr="00D36FA2" w:rsidRDefault="00530897" w:rsidP="001B7539">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（8）</w:t>
      </w:r>
      <w:r w:rsidR="001B7539" w:rsidRPr="00D36FA2">
        <w:rPr>
          <w:rFonts w:asciiTheme="minorEastAsia" w:eastAsiaTheme="minorEastAsia" w:hAnsiTheme="minorEastAsia" w:cs="Arial" w:hint="eastAsia"/>
          <w:sz w:val="24"/>
        </w:rPr>
        <w:t>相关法律法规以及监管部门有强制规定的，从其规定。如有新增事项，按国家最新规定估值。</w:t>
      </w:r>
    </w:p>
    <w:p w:rsidR="005D40BF" w:rsidRPr="00D36FA2" w:rsidRDefault="005D40BF" w:rsidP="005D40BF">
      <w:pPr>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D40BF" w:rsidRPr="00D36FA2" w:rsidRDefault="005D40BF" w:rsidP="005D40BF">
      <w:pPr>
        <w:adjustRightInd w:val="0"/>
        <w:snapToGrid w:val="0"/>
        <w:spacing w:line="360" w:lineRule="auto"/>
        <w:ind w:firstLine="480"/>
        <w:rPr>
          <w:rFonts w:asciiTheme="minorEastAsia" w:eastAsiaTheme="minorEastAsia" w:hAnsiTheme="minorEastAsia"/>
          <w:sz w:val="24"/>
        </w:rPr>
      </w:pPr>
      <w:r w:rsidRPr="00D36FA2">
        <w:rPr>
          <w:rFonts w:asciiTheme="minorEastAsia" w:eastAsia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D36FA2">
        <w:rPr>
          <w:rFonts w:asciiTheme="minorEastAsia" w:eastAsiaTheme="minorEastAsia" w:hAnsiTheme="minorEastAsia" w:hint="eastAsia"/>
          <w:sz w:val="24"/>
        </w:rPr>
        <w:lastRenderedPageBreak/>
        <w:t>值的计算结果对外予以公布。</w:t>
      </w:r>
    </w:p>
    <w:p w:rsidR="005D40BF" w:rsidRPr="00D36FA2" w:rsidRDefault="005D40BF" w:rsidP="005D40BF">
      <w:pPr>
        <w:adjustRightInd w:val="0"/>
        <w:snapToGrid w:val="0"/>
        <w:spacing w:line="360" w:lineRule="auto"/>
        <w:ind w:firstLine="480"/>
        <w:rPr>
          <w:rStyle w:val="read"/>
          <w:rFonts w:asciiTheme="minorEastAsia" w:eastAsiaTheme="minorEastAsia" w:hAnsiTheme="minorEastAsia" w:cs="Arial"/>
          <w:sz w:val="24"/>
        </w:rPr>
      </w:pPr>
      <w:r w:rsidRPr="00D36FA2">
        <w:rPr>
          <w:rStyle w:val="read"/>
          <w:rFonts w:asciiTheme="minorEastAsia" w:eastAsiaTheme="minorEastAsia" w:hAnsiTheme="minorEastAsia" w:cs="Arial" w:hint="eastAsia"/>
          <w:sz w:val="24"/>
        </w:rPr>
        <w:t>3.特殊情形的处理</w:t>
      </w:r>
    </w:p>
    <w:p w:rsidR="005D40BF" w:rsidRPr="00D36FA2" w:rsidRDefault="005D40BF" w:rsidP="005D40BF">
      <w:pPr>
        <w:adjustRightInd w:val="0"/>
        <w:snapToGrid w:val="0"/>
        <w:spacing w:line="360" w:lineRule="auto"/>
        <w:ind w:firstLineChars="200" w:firstLine="480"/>
        <w:rPr>
          <w:rStyle w:val="read"/>
          <w:rFonts w:asciiTheme="minorEastAsia" w:eastAsiaTheme="minorEastAsia" w:hAnsiTheme="minorEastAsia"/>
          <w:sz w:val="24"/>
        </w:rPr>
      </w:pPr>
      <w:r w:rsidRPr="00D36FA2">
        <w:rPr>
          <w:rStyle w:val="read"/>
          <w:rFonts w:asciiTheme="minorEastAsia" w:eastAsiaTheme="minorEastAsia" w:hAnsiTheme="minorEastAsia" w:cs="Arial" w:hint="eastAsia"/>
          <w:sz w:val="24"/>
        </w:rPr>
        <w:t>基金管理人、基金托管人按估值方法的第(</w:t>
      </w:r>
      <w:r w:rsidR="003D0670" w:rsidRPr="00D36FA2">
        <w:rPr>
          <w:rStyle w:val="read"/>
          <w:rFonts w:asciiTheme="minorEastAsia" w:eastAsiaTheme="minorEastAsia" w:hAnsiTheme="minorEastAsia" w:cs="Arial" w:hint="eastAsia"/>
          <w:sz w:val="24"/>
        </w:rPr>
        <w:t>7</w:t>
      </w:r>
      <w:r w:rsidRPr="00D36FA2">
        <w:rPr>
          <w:rStyle w:val="read"/>
          <w:rFonts w:asciiTheme="minorEastAsia" w:eastAsiaTheme="minorEastAsia" w:hAnsiTheme="minorEastAsia" w:cs="Arial" w:hint="eastAsia"/>
          <w:sz w:val="24"/>
        </w:rPr>
        <w:t>)项进行估值时，所造成的误差不作为基金</w:t>
      </w:r>
      <w:r w:rsidR="00DD0285" w:rsidRPr="00D36FA2">
        <w:rPr>
          <w:rStyle w:val="read"/>
          <w:rFonts w:ascii="宋体" w:hAnsi="宋体" w:cs="Arial" w:hint="eastAsia"/>
          <w:sz w:val="24"/>
        </w:rPr>
        <w:t>资产估值</w:t>
      </w:r>
      <w:r w:rsidRPr="00D36FA2">
        <w:rPr>
          <w:rStyle w:val="read"/>
          <w:rFonts w:asciiTheme="minorEastAsia" w:eastAsiaTheme="minorEastAsia" w:hAnsiTheme="minorEastAsia" w:hint="eastAsia"/>
          <w:sz w:val="24"/>
        </w:rPr>
        <w:t>错误处理。</w:t>
      </w:r>
    </w:p>
    <w:p w:rsidR="005D40BF" w:rsidRPr="00D36FA2" w:rsidRDefault="005D40BF" w:rsidP="005D40BF">
      <w:pPr>
        <w:adjustRightInd w:val="0"/>
        <w:snapToGrid w:val="0"/>
        <w:spacing w:line="360" w:lineRule="auto"/>
        <w:ind w:firstLineChars="200" w:firstLine="480"/>
        <w:rPr>
          <w:rStyle w:val="read"/>
          <w:rFonts w:asciiTheme="minorEastAsia" w:eastAsiaTheme="minorEastAsia" w:hAnsiTheme="minorEastAsia"/>
          <w:sz w:val="24"/>
        </w:rPr>
      </w:pPr>
      <w:r w:rsidRPr="00D36FA2">
        <w:rPr>
          <w:rStyle w:val="read"/>
          <w:rFonts w:asciiTheme="minorEastAsia" w:eastAsiaTheme="minorEastAsia" w:hAnsiTheme="minorEastAsia" w:hint="eastAsia"/>
          <w:sz w:val="24"/>
        </w:rPr>
        <w:t>（三）基金份额净值错误的处理方式</w:t>
      </w:r>
    </w:p>
    <w:p w:rsidR="005D40BF" w:rsidRPr="00D36FA2" w:rsidRDefault="005D40BF" w:rsidP="005D40BF">
      <w:pPr>
        <w:adjustRightInd w:val="0"/>
        <w:snapToGrid w:val="0"/>
        <w:spacing w:line="360" w:lineRule="auto"/>
        <w:ind w:firstLineChars="200" w:firstLine="480"/>
        <w:rPr>
          <w:rStyle w:val="read"/>
          <w:rFonts w:asciiTheme="minorEastAsia" w:eastAsiaTheme="minorEastAsia" w:hAnsiTheme="minorEastAsia"/>
          <w:sz w:val="24"/>
        </w:rPr>
      </w:pPr>
      <w:r w:rsidRPr="00D36FA2">
        <w:rPr>
          <w:rStyle w:val="read"/>
          <w:rFonts w:asciiTheme="minorEastAsia" w:eastAsiaTheme="minorEastAsia" w:hAnsiTheme="minorEastAsia" w:hint="eastAsia"/>
          <w:sz w:val="24"/>
        </w:rPr>
        <w:t>1.当基金份额净值小数点后</w:t>
      </w:r>
      <w:r w:rsidR="00DD0285" w:rsidRPr="00D36FA2">
        <w:rPr>
          <w:rStyle w:val="read"/>
          <w:rFonts w:asciiTheme="minorEastAsia" w:eastAsiaTheme="minorEastAsia" w:hAnsiTheme="minorEastAsia" w:hint="eastAsia"/>
          <w:sz w:val="24"/>
        </w:rPr>
        <w:t>4</w:t>
      </w:r>
      <w:r w:rsidRPr="00D36FA2">
        <w:rPr>
          <w:rStyle w:val="read"/>
          <w:rFonts w:asciiTheme="minorEastAsia" w:eastAsiaTheme="minorEastAsia" w:hAnsiTheme="minorEastAsia" w:hint="eastAsia"/>
          <w:sz w:val="24"/>
        </w:rPr>
        <w:t>位以内(含</w:t>
      </w:r>
      <w:r w:rsidR="00DD0285" w:rsidRPr="00D36FA2">
        <w:rPr>
          <w:rStyle w:val="read"/>
          <w:rFonts w:asciiTheme="minorEastAsia" w:eastAsiaTheme="minorEastAsia" w:hAnsiTheme="minorEastAsia" w:hint="eastAsia"/>
          <w:sz w:val="24"/>
        </w:rPr>
        <w:t>第4</w:t>
      </w:r>
      <w:r w:rsidRPr="00D36FA2">
        <w:rPr>
          <w:rStyle w:val="read"/>
          <w:rFonts w:asciiTheme="minorEastAsia" w:eastAsiaTheme="minorEastAsia" w:hAnsiTheme="minorEastAsia" w:hint="eastAsia"/>
          <w:sz w:val="24"/>
        </w:rPr>
        <w:t>位)发生</w:t>
      </w:r>
      <w:r w:rsidR="00DD0285" w:rsidRPr="00D36FA2">
        <w:rPr>
          <w:rStyle w:val="read"/>
          <w:rFonts w:ascii="宋体" w:hAnsi="宋体"/>
          <w:sz w:val="24"/>
        </w:rPr>
        <w:t>估值错误</w:t>
      </w:r>
      <w:r w:rsidRPr="00D36FA2">
        <w:rPr>
          <w:rStyle w:val="read"/>
          <w:rFonts w:asciiTheme="minorEastAsia" w:eastAsia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36FA2">
        <w:rPr>
          <w:rFonts w:asciiTheme="minorEastAsia" w:eastAsiaTheme="minorEastAsia" w:hAnsiTheme="minorEastAsia" w:cs="Arial" w:hint="eastAsia"/>
          <w:sz w:val="24"/>
        </w:rPr>
        <w:t>；错误偏差达到基金份额净值的</w:t>
      </w:r>
      <w:r w:rsidRPr="00D36FA2">
        <w:rPr>
          <w:rFonts w:asciiTheme="minorEastAsia" w:eastAsiaTheme="minorEastAsia" w:hAnsiTheme="minorEastAsia" w:hint="eastAsia"/>
          <w:sz w:val="24"/>
        </w:rPr>
        <w:t>0.5%时，基金管理人应当公告</w:t>
      </w:r>
      <w:r w:rsidRPr="00D36FA2">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5D40BF" w:rsidRPr="00D36FA2" w:rsidRDefault="005D40BF" w:rsidP="005D40BF">
      <w:pPr>
        <w:adjustRightInd w:val="0"/>
        <w:snapToGrid w:val="0"/>
        <w:spacing w:line="360" w:lineRule="auto"/>
        <w:ind w:firstLineChars="200" w:firstLine="480"/>
        <w:rPr>
          <w:rStyle w:val="read"/>
          <w:rFonts w:asciiTheme="minorEastAsia" w:eastAsiaTheme="minorEastAsia" w:hAnsiTheme="minorEastAsia"/>
          <w:sz w:val="24"/>
        </w:rPr>
      </w:pPr>
      <w:r w:rsidRPr="00D36FA2">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36FA2">
        <w:rPr>
          <w:rFonts w:asciiTheme="minorEastAsia" w:eastAsiaTheme="minorEastAsia" w:hAnsiTheme="minorEastAsia" w:cs="Arial" w:hint="eastAsia"/>
          <w:sz w:val="24"/>
        </w:rPr>
        <w:t>损失，由基金管理人负责赔付。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w:t>
      </w:r>
      <w:r w:rsidRPr="00D36FA2">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w:t>
      </w:r>
      <w:r w:rsidRPr="00D36FA2">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3.由于证券交易所及登记结算公司发送的数据错误，或由于其他不可抗力原因，基金管理人和基金托管人虽然已经采取必要、适当、合理的措施进行检查，但是未能发现该错误而造成的基金</w:t>
      </w:r>
      <w:r w:rsidR="00DD0285" w:rsidRPr="00D36FA2">
        <w:rPr>
          <w:rFonts w:ascii="宋体" w:hAnsi="宋体" w:cs="Arial" w:hint="eastAsia"/>
          <w:sz w:val="24"/>
        </w:rPr>
        <w:t>资产估值</w:t>
      </w:r>
      <w:r w:rsidRPr="00D36FA2">
        <w:rPr>
          <w:rFonts w:asciiTheme="minorEastAsia" w:eastAsiaTheme="minorEastAsia" w:hAnsiTheme="minorEastAsia" w:cs="Arial" w:hint="eastAsia"/>
          <w:sz w:val="24"/>
        </w:rPr>
        <w:t>错误，基金管理人、基金托管人免除赔偿责任。但基金管理人、基金托管人应积极采取必要的措施减轻或消除由此造成的影响。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4.基金管理人和基金托管人由于各自技术系统设置而产生的净值计算尾差，以基金管理人计算结果为准。</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（四）暂停估值与公告基金份额净值的情形</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1.基金投资所涉及的证券交易市场遇法定节假日或因其他原因暂停营业时；</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2.因不可抗力致使基金管理人、基金托管人无法准确评估基金资产价值时；</w:t>
      </w:r>
    </w:p>
    <w:p w:rsidR="005D40BF" w:rsidRPr="00D36FA2" w:rsidRDefault="005D40BF" w:rsidP="00DD0285">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3.</w:t>
      </w:r>
      <w:r w:rsidR="00DD0285" w:rsidRPr="00D36FA2">
        <w:rPr>
          <w:rFonts w:hint="eastAsia"/>
          <w:bCs/>
          <w:color w:val="000000"/>
          <w:sz w:val="24"/>
        </w:rPr>
        <w:t>法律法规规定、</w:t>
      </w:r>
      <w:r w:rsidRPr="00D36FA2">
        <w:rPr>
          <w:rFonts w:asciiTheme="minorEastAsia" w:eastAsiaTheme="minorEastAsia" w:hAnsiTheme="minorEastAsia" w:cs="Arial" w:hint="eastAsia"/>
          <w:sz w:val="24"/>
        </w:rPr>
        <w:t>中国证监会和基金合同认定的其他情形。</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（五）基金会计制度</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按国家有关部门规定的会计制度执行。</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（六）基金账册的建立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基金管理人进行基金会计核算并编制基金财务会计报告。基金管理人</w:t>
      </w:r>
      <w:r w:rsidR="00DD0285" w:rsidRPr="00D36FA2">
        <w:rPr>
          <w:rFonts w:ascii="宋体" w:hAnsi="宋体" w:cs="Arial" w:hint="eastAsia"/>
          <w:sz w:val="24"/>
        </w:rPr>
        <w:t>、基金托管人分别</w:t>
      </w:r>
      <w:r w:rsidRPr="00D36FA2">
        <w:rPr>
          <w:rFonts w:asciiTheme="minorEastAsia" w:eastAsiaTheme="minorEastAsia" w:hAnsiTheme="minorEastAsia"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（七）基金财务报表与报告的编制和复核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1.财务报表的编制</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基金财务报表由基金管理人编制，基金托管人复核。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2.报表复核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3.财务报表的编制与复核时间安排</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(1)报表的编制</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D40BF" w:rsidRPr="00D36FA2" w:rsidRDefault="005D40BF" w:rsidP="005D40BF">
      <w:pPr>
        <w:pStyle w:val="a0"/>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(2)报表的复核</w:t>
      </w:r>
    </w:p>
    <w:p w:rsidR="005D40BF" w:rsidRPr="00D36FA2" w:rsidRDefault="005D40BF" w:rsidP="005D40BF">
      <w:pPr>
        <w:pStyle w:val="a0"/>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D40BF" w:rsidRPr="00D36FA2" w:rsidRDefault="005D40BF" w:rsidP="005D40BF">
      <w:pPr>
        <w:pStyle w:val="a0"/>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基金管理人应留足充分的时间，便于基金托管人复核相关报表及报告。</w:t>
      </w:r>
    </w:p>
    <w:p w:rsidR="005D40BF" w:rsidRPr="00D36FA2" w:rsidRDefault="005D40BF" w:rsidP="005D40BF">
      <w:pPr>
        <w:pStyle w:val="a0"/>
        <w:adjustRightInd w:val="0"/>
        <w:snapToGrid w:val="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rsidR="005D40BF" w:rsidRPr="00D36FA2" w:rsidRDefault="005D40BF" w:rsidP="005D40BF">
      <w:pPr>
        <w:pStyle w:val="a0"/>
        <w:adjustRightInd w:val="0"/>
        <w:snapToGrid w:val="0"/>
        <w:spacing w:line="360" w:lineRule="auto"/>
        <w:ind w:firstLineChars="0" w:firstLine="0"/>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86" w:name="_Toc124325893"/>
      <w:r w:rsidRPr="00D36FA2">
        <w:rPr>
          <w:rFonts w:asciiTheme="minorEastAsia" w:eastAsiaTheme="minorEastAsia" w:hAnsiTheme="minorEastAsia" w:hint="eastAsia"/>
          <w:sz w:val="24"/>
          <w:szCs w:val="24"/>
        </w:rPr>
        <w:t>九、基金收益分配</w:t>
      </w:r>
      <w:bookmarkEnd w:id="86"/>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基金收益分配是指按规定将基金的可分配收益按基金份额进行比例分配。</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（一）基金收益分配的原则</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基金收益分配应遵循下列原则：</w:t>
      </w:r>
    </w:p>
    <w:p w:rsidR="00DD0285" w:rsidRPr="00D36FA2" w:rsidRDefault="00DD0285" w:rsidP="00DD0285">
      <w:pPr>
        <w:spacing w:line="360" w:lineRule="auto"/>
        <w:ind w:firstLineChars="225" w:firstLine="540"/>
        <w:rPr>
          <w:bCs/>
          <w:sz w:val="24"/>
        </w:rPr>
      </w:pPr>
      <w:r w:rsidRPr="00D36FA2">
        <w:rPr>
          <w:rFonts w:hint="eastAsia"/>
          <w:bCs/>
          <w:sz w:val="24"/>
        </w:rPr>
        <w:t>1</w:t>
      </w:r>
      <w:r w:rsidRPr="00D36FA2">
        <w:rPr>
          <w:rFonts w:hint="eastAsia"/>
          <w:bCs/>
          <w:sz w:val="24"/>
        </w:rPr>
        <w:t>、本基金默认的收益分配方式为现金分红；基金份额持有人可以事先选择将所获分配的现金收益，按照基金合同有关基金份额申购的约定转为基金份额；基金份额持有人事先未做出选择的，基金管理人应当支付现金；</w:t>
      </w:r>
    </w:p>
    <w:p w:rsidR="00DD0285" w:rsidRPr="00D36FA2" w:rsidRDefault="00DD0285" w:rsidP="00DD0285">
      <w:pPr>
        <w:spacing w:line="360" w:lineRule="auto"/>
        <w:ind w:firstLineChars="225" w:firstLine="540"/>
        <w:rPr>
          <w:bCs/>
          <w:sz w:val="24"/>
        </w:rPr>
      </w:pPr>
      <w:r w:rsidRPr="00D36FA2">
        <w:rPr>
          <w:rFonts w:hint="eastAsia"/>
          <w:bCs/>
          <w:sz w:val="24"/>
        </w:rPr>
        <w:t>2</w:t>
      </w:r>
      <w:r w:rsidRPr="00D36FA2">
        <w:rPr>
          <w:bCs/>
          <w:sz w:val="24"/>
        </w:rPr>
        <w:t>、基金收益分配后基金份额净值不能低于面值；即基金收益分配基准日的基金份额净值减去每单位基金份额收益分配金额后不能低于面值。</w:t>
      </w:r>
    </w:p>
    <w:p w:rsidR="00DD0285" w:rsidRPr="00D36FA2" w:rsidRDefault="00DD0285" w:rsidP="00DD0285">
      <w:pPr>
        <w:spacing w:line="360" w:lineRule="auto"/>
        <w:ind w:firstLineChars="225" w:firstLine="540"/>
        <w:rPr>
          <w:bCs/>
          <w:sz w:val="24"/>
        </w:rPr>
      </w:pPr>
      <w:r w:rsidRPr="00D36FA2">
        <w:rPr>
          <w:rFonts w:hint="eastAsia"/>
          <w:bCs/>
          <w:sz w:val="24"/>
        </w:rPr>
        <w:t>3</w:t>
      </w:r>
      <w:r w:rsidRPr="00D36FA2">
        <w:rPr>
          <w:bCs/>
          <w:sz w:val="24"/>
        </w:rPr>
        <w:t>、每一基金份额享有同等分配权</w:t>
      </w:r>
      <w:r w:rsidRPr="00D36FA2">
        <w:rPr>
          <w:rFonts w:hint="eastAsia"/>
          <w:bCs/>
          <w:sz w:val="24"/>
        </w:rPr>
        <w:t>。</w:t>
      </w:r>
    </w:p>
    <w:p w:rsidR="00DD0285" w:rsidRPr="00D36FA2" w:rsidRDefault="00DD0285" w:rsidP="00DD0285">
      <w:pPr>
        <w:spacing w:line="360" w:lineRule="auto"/>
        <w:ind w:firstLineChars="225" w:firstLine="540"/>
        <w:rPr>
          <w:bCs/>
          <w:sz w:val="24"/>
        </w:rPr>
      </w:pPr>
      <w:r w:rsidRPr="00D36FA2">
        <w:rPr>
          <w:rFonts w:hint="eastAsia"/>
          <w:bCs/>
          <w:sz w:val="24"/>
        </w:rPr>
        <w:t>4</w:t>
      </w:r>
      <w:r w:rsidRPr="00D36FA2">
        <w:rPr>
          <w:bCs/>
          <w:sz w:val="24"/>
        </w:rPr>
        <w:t>、法律法规或监管机关另有规定的，从其规定。</w:t>
      </w:r>
    </w:p>
    <w:p w:rsidR="00086A81" w:rsidRPr="00D36FA2" w:rsidRDefault="00086A81" w:rsidP="00086A81">
      <w:pPr>
        <w:spacing w:line="360" w:lineRule="auto"/>
        <w:ind w:firstLineChars="225" w:firstLine="540"/>
        <w:rPr>
          <w:bCs/>
          <w:sz w:val="24"/>
        </w:rPr>
      </w:pPr>
      <w:r w:rsidRPr="00D36FA2">
        <w:rPr>
          <w:rFonts w:hint="eastAsia"/>
          <w:bCs/>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rsidR="00086A81" w:rsidRPr="00D36FA2" w:rsidRDefault="00086A81" w:rsidP="00086A81">
      <w:pPr>
        <w:spacing w:line="360" w:lineRule="auto"/>
        <w:ind w:firstLineChars="225" w:firstLine="540"/>
        <w:rPr>
          <w:bCs/>
          <w:sz w:val="24"/>
        </w:rPr>
      </w:pPr>
      <w:r w:rsidRPr="00D36FA2">
        <w:rPr>
          <w:rFonts w:hint="eastAsia"/>
          <w:bCs/>
          <w:sz w:val="24"/>
        </w:rPr>
        <w:t>本基金每次收益分配比例详见届时基金管理人发布的公告。</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（二）基金收益分配的时间和程序</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本基金收益分配方案由基金管理人拟</w:t>
      </w:r>
      <w:r w:rsidR="00DD0285" w:rsidRPr="00D36FA2">
        <w:rPr>
          <w:rFonts w:ascii="宋体" w:hAnsi="宋体" w:cs="Arial" w:hint="eastAsia"/>
          <w:sz w:val="24"/>
        </w:rPr>
        <w:t>定</w:t>
      </w:r>
      <w:r w:rsidRPr="00D36FA2">
        <w:rPr>
          <w:rFonts w:asciiTheme="minorEastAsia" w:eastAsiaTheme="minorEastAsia" w:hAnsiTheme="minorEastAsia" w:cs="Arial" w:hint="eastAsia"/>
          <w:sz w:val="24"/>
        </w:rPr>
        <w:t>，并由基金托管人复核，在2日内在指定</w:t>
      </w:r>
      <w:r w:rsidR="00DD0285" w:rsidRPr="00D36FA2">
        <w:rPr>
          <w:rFonts w:ascii="宋体" w:hAnsi="宋体" w:cs="Arial" w:hint="eastAsia"/>
          <w:sz w:val="24"/>
        </w:rPr>
        <w:t>媒介</w:t>
      </w:r>
      <w:r w:rsidRPr="00D36FA2">
        <w:rPr>
          <w:rFonts w:asciiTheme="minorEastAsia" w:eastAsiaTheme="minorEastAsia" w:hAnsiTheme="minorEastAsia" w:cs="Arial" w:hint="eastAsia"/>
          <w:sz w:val="24"/>
        </w:rPr>
        <w:t>公告并报中国证监会备案。</w:t>
      </w:r>
      <w:r w:rsidRPr="00D36FA2">
        <w:rPr>
          <w:rFonts w:asciiTheme="minorEastAsia" w:eastAsiaTheme="minorEastAsia" w:hAnsiTheme="minorEastAsia" w:hint="eastAsia"/>
          <w:sz w:val="24"/>
        </w:rPr>
        <w:t>基金红利发放日距离收益分配基准日（即可供分配利润计算截止日）的时间不得超过15个工作日。</w:t>
      </w:r>
      <w:r w:rsidRPr="00D36FA2">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87" w:name="_Toc124325894"/>
      <w:r w:rsidRPr="00D36FA2">
        <w:rPr>
          <w:rFonts w:asciiTheme="minorEastAsia" w:eastAsiaTheme="minorEastAsia" w:hAnsiTheme="minorEastAsia" w:hint="eastAsia"/>
          <w:sz w:val="24"/>
          <w:szCs w:val="24"/>
        </w:rPr>
        <w:t>十、基金信息披露</w:t>
      </w:r>
      <w:bookmarkEnd w:id="87"/>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（一）保密义务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1.非因基金管理人和基金托管人的原因导致保密信息被披露、泄露或公开；</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（二）信息披露的内容</w:t>
      </w:r>
    </w:p>
    <w:p w:rsidR="005D40BF" w:rsidRPr="00D36FA2" w:rsidRDefault="005D40BF" w:rsidP="005D40BF">
      <w:pPr>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基金的信息披露内容主要包括基金招募说明书、《基金合同》、托管协议、基金份额发售公告、基金募集情况、《基金合同》生效公告、基金资产净值、基金份额净值</w:t>
      </w:r>
      <w:r w:rsidR="00DD0285" w:rsidRPr="00D36FA2">
        <w:rPr>
          <w:rFonts w:ascii="宋体" w:hAnsi="宋体" w:cs="Arial" w:hint="eastAsia"/>
          <w:sz w:val="24"/>
        </w:rPr>
        <w:t>和基金份额累计净值、</w:t>
      </w:r>
      <w:r w:rsidRPr="00D36FA2">
        <w:rPr>
          <w:rFonts w:asciiTheme="minorEastAsia" w:eastAsiaTheme="minorEastAsia" w:hAnsiTheme="minorEastAsia" w:cs="Arial" w:hint="eastAsia"/>
          <w:sz w:val="24"/>
        </w:rPr>
        <w:t>基金份额申购、赎回价格、基金定期报告</w:t>
      </w:r>
      <w:r w:rsidR="008B278E"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包括基金年度报告、基金半年度报告和基金季度报告</w:t>
      </w:r>
      <w:r w:rsidR="008B278E" w:rsidRPr="00D36FA2">
        <w:rPr>
          <w:rFonts w:asciiTheme="minorEastAsia" w:eastAsiaTheme="minorEastAsia" w:hAnsiTheme="minorEastAsia" w:cs="Arial" w:hint="eastAsia"/>
          <w:sz w:val="24"/>
        </w:rPr>
        <w:t>）</w:t>
      </w:r>
      <w:r w:rsidRPr="00D36FA2">
        <w:rPr>
          <w:rFonts w:asciiTheme="minorEastAsia" w:eastAsiaTheme="minorEastAsia" w:hAnsiTheme="minorEastAsia" w:cs="Arial" w:hint="eastAsia"/>
          <w:sz w:val="24"/>
        </w:rPr>
        <w:t>、临时报告、澄清公告、基金份额持有人大会决议、</w:t>
      </w:r>
      <w:r w:rsidR="008B278E" w:rsidRPr="00D36FA2">
        <w:rPr>
          <w:rFonts w:ascii="宋体" w:hAnsi="宋体" w:cs="Arial" w:hint="eastAsia"/>
          <w:sz w:val="24"/>
        </w:rPr>
        <w:t>投资中小企业私募债券</w:t>
      </w:r>
      <w:r w:rsidR="00690189" w:rsidRPr="00D36FA2">
        <w:rPr>
          <w:rFonts w:ascii="宋体" w:hAnsi="宋体" w:cs="Arial" w:hint="eastAsia"/>
          <w:sz w:val="24"/>
        </w:rPr>
        <w:t>和</w:t>
      </w:r>
      <w:r w:rsidR="008B278E" w:rsidRPr="00D36FA2">
        <w:rPr>
          <w:rFonts w:ascii="宋体" w:hAnsi="宋体" w:cs="Arial" w:hint="eastAsia"/>
          <w:sz w:val="24"/>
        </w:rPr>
        <w:t>资产支持证券的信息、</w:t>
      </w:r>
      <w:r w:rsidRPr="00D36FA2">
        <w:rPr>
          <w:rFonts w:asciiTheme="minorEastAsia" w:eastAsiaTheme="minorEastAsia" w:hAnsiTheme="minorEastAsia" w:cs="Arial" w:hint="eastAsia"/>
          <w:sz w:val="24"/>
        </w:rPr>
        <w:t>中国证监会规定的其他信息。基金年度报告需经具有从事证券相关业务资格的会计师事务所审计后，方可披露。</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（三）基金托管人和基金管理人在信息披露中的职责和信息披露程序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1.职责</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对于不需要基金托管人复核的信息，基金管理人在公告前应告知基金托管人。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基金管理人和基金托管人应积极配合、互相监督，保证其履行按照法定方式和限时披露的义务。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当出现下述情况时，基金管理人和基金托管人可暂停或延迟披露基金相关信息：</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w:t>
      </w:r>
      <w:r w:rsidR="00770345" w:rsidRPr="00D36FA2">
        <w:rPr>
          <w:rFonts w:asciiTheme="minorEastAsia" w:eastAsiaTheme="minorEastAsia" w:hAnsiTheme="minorEastAsia" w:cs="Arial" w:hint="eastAsia"/>
          <w:sz w:val="24"/>
        </w:rPr>
        <w:t>因</w:t>
      </w:r>
      <w:r w:rsidRPr="00D36FA2">
        <w:rPr>
          <w:rFonts w:asciiTheme="minorEastAsia" w:eastAsiaTheme="minorEastAsia" w:hAnsiTheme="minorEastAsia" w:cs="Arial" w:hint="eastAsia"/>
          <w:sz w:val="24"/>
        </w:rPr>
        <w:t>不可抗力</w:t>
      </w:r>
      <w:r w:rsidR="008B278E" w:rsidRPr="00D36FA2">
        <w:rPr>
          <w:rFonts w:ascii="宋体" w:hAnsi="宋体" w:cs="Arial" w:hint="eastAsia"/>
          <w:sz w:val="24"/>
        </w:rPr>
        <w:t>或其他情形致使基金管理人、基金托管人无法准确评估基金资产价值时</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(2)基金投资所涉及的证券交易市场遇法定节假日或因其他原因暂停营业时；</w:t>
      </w:r>
    </w:p>
    <w:p w:rsidR="005D40BF" w:rsidRPr="00D36FA2" w:rsidRDefault="005D40BF" w:rsidP="008B278E">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(3)法律法规、《基金合同》或中国证监会规定的情况。</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3.信息文本的存放</w:t>
      </w:r>
    </w:p>
    <w:p w:rsidR="005D40BF" w:rsidRPr="00D36FA2" w:rsidRDefault="005D40BF" w:rsidP="005D40BF">
      <w:pPr>
        <w:pStyle w:val="a0"/>
        <w:spacing w:line="360" w:lineRule="auto"/>
        <w:ind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D40BF" w:rsidRPr="00D36FA2" w:rsidRDefault="005D40BF" w:rsidP="005D40BF">
      <w:pPr>
        <w:pStyle w:val="a0"/>
        <w:spacing w:line="360" w:lineRule="auto"/>
        <w:ind w:firstLineChars="0" w:firstLine="0"/>
        <w:rPr>
          <w:rFonts w:asciiTheme="minorEastAsia" w:eastAsiaTheme="minorEastAsia" w:hAnsiTheme="minorEastAsia" w:cs="Arial"/>
          <w:sz w:val="24"/>
        </w:rPr>
      </w:pPr>
    </w:p>
    <w:p w:rsidR="005D40BF" w:rsidRPr="00D36FA2" w:rsidRDefault="009E6D7E" w:rsidP="005D40BF">
      <w:pPr>
        <w:pStyle w:val="2"/>
        <w:spacing w:line="360" w:lineRule="auto"/>
        <w:jc w:val="center"/>
        <w:rPr>
          <w:rFonts w:asciiTheme="minorEastAsia" w:eastAsiaTheme="minorEastAsia" w:hAnsiTheme="minorEastAsia"/>
          <w:sz w:val="24"/>
          <w:szCs w:val="24"/>
        </w:rPr>
      </w:pPr>
      <w:bookmarkStart w:id="88" w:name="_Toc124325895"/>
      <w:r w:rsidRPr="00D36FA2">
        <w:rPr>
          <w:rFonts w:asciiTheme="minorEastAsia" w:eastAsiaTheme="minorEastAsia" w:hAnsiTheme="minorEastAsia" w:hint="eastAsia"/>
          <w:sz w:val="24"/>
          <w:szCs w:val="24"/>
        </w:rPr>
        <w:lastRenderedPageBreak/>
        <w:t>十一、基金费用</w:t>
      </w:r>
      <w:bookmarkEnd w:id="88"/>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（一）基金管理费的计提比例和计提方法</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本基金的管理费按前一日基金资产净值的</w:t>
      </w:r>
      <w:r w:rsidR="00086A81" w:rsidRPr="00D36FA2">
        <w:rPr>
          <w:rFonts w:asciiTheme="minorEastAsia" w:eastAsiaTheme="minorEastAsia" w:hAnsiTheme="minorEastAsia" w:cs="Arial" w:hint="eastAsia"/>
          <w:sz w:val="24"/>
        </w:rPr>
        <w:t>0.3</w:t>
      </w:r>
      <w:r w:rsidRPr="00D36FA2">
        <w:rPr>
          <w:rFonts w:asciiTheme="minorEastAsia" w:eastAsiaTheme="minorEastAsia" w:hAnsiTheme="minorEastAsia" w:cs="Arial" w:hint="eastAsia"/>
          <w:sz w:val="24"/>
        </w:rPr>
        <w:t>%年费率计提。管理费的计算方法如下：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H＝E×年管理费率÷当年天数</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H为每日应计提的基金管理费</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E为前一日的基金资产净值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（二）基金托管费的计提比例和计提方法</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本基金的托管费按前一日基金资产净值的</w:t>
      </w:r>
      <w:r w:rsidR="00086A81" w:rsidRPr="00D36FA2">
        <w:rPr>
          <w:rFonts w:asciiTheme="minorEastAsia" w:eastAsiaTheme="minorEastAsia" w:hAnsiTheme="minorEastAsia" w:cs="Arial" w:hint="eastAsia"/>
          <w:sz w:val="24"/>
        </w:rPr>
        <w:t>0.1</w:t>
      </w:r>
      <w:r w:rsidRPr="00D36FA2">
        <w:rPr>
          <w:rFonts w:asciiTheme="minorEastAsia" w:eastAsiaTheme="minorEastAsia" w:hAnsiTheme="minorEastAsia" w:cs="Arial" w:hint="eastAsia"/>
          <w:sz w:val="24"/>
        </w:rPr>
        <w:t>%年费率计提。托管费的计算方法如下：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H＝E×年托管费率÷当年天数</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H为每日应计提的基金托管费</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E为前一日的基金资产净值</w:t>
      </w:r>
    </w:p>
    <w:p w:rsidR="005D40BF" w:rsidRPr="00D36FA2" w:rsidRDefault="009E6D7E"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（三）</w:t>
      </w:r>
      <w:r w:rsidR="005D40BF" w:rsidRPr="00D36FA2">
        <w:rPr>
          <w:rFonts w:asciiTheme="minorEastAsia" w:eastAsiaTheme="minorEastAsia" w:hAnsiTheme="minorEastAsia" w:cs="Arial" w:hint="eastAsia"/>
          <w:sz w:val="24"/>
        </w:rPr>
        <w:t>证券交易费用、基金的银行</w:t>
      </w:r>
      <w:r w:rsidR="008B278E" w:rsidRPr="00D36FA2">
        <w:rPr>
          <w:rFonts w:asciiTheme="minorEastAsia" w:eastAsiaTheme="minorEastAsia" w:hAnsiTheme="minorEastAsia" w:cs="Arial" w:hint="eastAsia"/>
          <w:sz w:val="24"/>
        </w:rPr>
        <w:t>汇划</w:t>
      </w:r>
      <w:r w:rsidR="005D40BF" w:rsidRPr="00D36FA2">
        <w:rPr>
          <w:rFonts w:asciiTheme="minorEastAsia" w:eastAsiaTheme="minorEastAsia" w:hAnsiTheme="minorEastAsia" w:cs="Arial" w:hint="eastAsia"/>
          <w:sz w:val="24"/>
        </w:rPr>
        <w:t>费用、</w:t>
      </w:r>
      <w:r w:rsidR="008B278E" w:rsidRPr="00D36FA2">
        <w:rPr>
          <w:rFonts w:ascii="宋体" w:hAnsi="宋体" w:cs="Arial" w:hint="eastAsia"/>
          <w:sz w:val="24"/>
        </w:rPr>
        <w:t>基金相关账户的开户和维护费用</w:t>
      </w:r>
      <w:r w:rsidR="005D40BF" w:rsidRPr="00D36FA2">
        <w:rPr>
          <w:rFonts w:asciiTheme="minorEastAsia" w:eastAsiaTheme="minorEastAsia" w:hAnsiTheme="minorEastAsia" w:cs="Arial" w:hint="eastAsia"/>
          <w:sz w:val="24"/>
        </w:rPr>
        <w:t>、《基金合同》生效后</w:t>
      </w:r>
      <w:r w:rsidR="008B278E" w:rsidRPr="00D36FA2">
        <w:rPr>
          <w:rFonts w:ascii="宋体" w:hAnsi="宋体" w:cs="Arial" w:hint="eastAsia"/>
          <w:sz w:val="24"/>
        </w:rPr>
        <w:t>与基金有关</w:t>
      </w:r>
      <w:r w:rsidR="005D40BF" w:rsidRPr="00D36FA2">
        <w:rPr>
          <w:rFonts w:asciiTheme="minorEastAsia" w:eastAsiaTheme="minorEastAsia" w:hAnsiTheme="minorEastAsia" w:cs="Arial" w:hint="eastAsia"/>
          <w:sz w:val="24"/>
        </w:rPr>
        <w:t>的信息披露费用、基金份额持有人大会费用、《基金合同》生效后与基金有关的会计师</w:t>
      </w:r>
      <w:r w:rsidR="008B278E" w:rsidRPr="00D36FA2">
        <w:rPr>
          <w:rFonts w:asciiTheme="minorEastAsia" w:eastAsiaTheme="minorEastAsia" w:hAnsiTheme="minorEastAsia" w:cs="Arial" w:hint="eastAsia"/>
          <w:sz w:val="24"/>
        </w:rPr>
        <w:t>费、</w:t>
      </w:r>
      <w:r w:rsidR="005D40BF" w:rsidRPr="00D36FA2">
        <w:rPr>
          <w:rFonts w:asciiTheme="minorEastAsia" w:eastAsiaTheme="minorEastAsia" w:hAnsiTheme="minorEastAsia" w:cs="Arial" w:hint="eastAsia"/>
          <w:sz w:val="24"/>
        </w:rPr>
        <w:t>律师费</w:t>
      </w:r>
      <w:r w:rsidR="008B278E" w:rsidRPr="00D36FA2">
        <w:rPr>
          <w:rFonts w:asciiTheme="minorEastAsia" w:eastAsiaTheme="minorEastAsia" w:hAnsiTheme="minorEastAsia" w:cs="Arial" w:hint="eastAsia"/>
          <w:sz w:val="24"/>
        </w:rPr>
        <w:t>、</w:t>
      </w:r>
      <w:r w:rsidR="008B278E" w:rsidRPr="00D36FA2">
        <w:rPr>
          <w:rFonts w:ascii="宋体" w:hAnsi="宋体" w:cs="Arial" w:hint="eastAsia"/>
          <w:sz w:val="24"/>
        </w:rPr>
        <w:t>诉讼费和仲裁费</w:t>
      </w:r>
      <w:r w:rsidR="005D40BF" w:rsidRPr="00D36FA2">
        <w:rPr>
          <w:rFonts w:asciiTheme="minorEastAsia" w:eastAsiaTheme="minorEastAsia" w:hAnsiTheme="minorEastAsia" w:cs="Arial" w:hint="eastAsia"/>
          <w:sz w:val="24"/>
        </w:rPr>
        <w:t>等根据有关法律法规、《基金合同》及相应协议的规定，列入当期基金费用。</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（四）不列入基金费用的项目</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《基金合同》生效前的</w:t>
      </w:r>
      <w:r w:rsidR="00086A81" w:rsidRPr="00D36FA2">
        <w:rPr>
          <w:rFonts w:asciiTheme="minorEastAsia" w:eastAsiaTheme="minorEastAsia" w:hAnsiTheme="minorEastAsia" w:cs="Arial" w:hint="eastAsia"/>
          <w:sz w:val="24"/>
        </w:rPr>
        <w:t>相关费用、</w:t>
      </w:r>
      <w:r w:rsidRPr="00D36FA2">
        <w:rPr>
          <w:rFonts w:asciiTheme="minorEastAsia" w:eastAsiaTheme="minorEastAsia" w:hAnsiTheme="minorEastAsia" w:cs="Arial" w:hint="eastAsia"/>
          <w:sz w:val="24"/>
        </w:rPr>
        <w:t>基金管理人和基金托管人因未履行或未完全履行义务导致的费用支出或基金财产的损失，以及处理与基金运作无关的事项发生的费用等不列入基金费用。</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（五）基金管理费和基金托管费的调整</w:t>
      </w:r>
    </w:p>
    <w:p w:rsidR="005D40BF" w:rsidRPr="00D36FA2" w:rsidRDefault="008B278E"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hint="eastAsia"/>
          <w:color w:val="000000"/>
          <w:kern w:val="0"/>
          <w:sz w:val="24"/>
        </w:rPr>
        <w:t>基金管理人和基金托管人可协商酌情调整基金管理费率、基金托管费率，</w:t>
      </w:r>
      <w:r w:rsidRPr="00D36FA2">
        <w:rPr>
          <w:rFonts w:ascii="宋体" w:hAnsi="宋体" w:cs="Arial" w:hint="eastAsia"/>
          <w:sz w:val="24"/>
        </w:rPr>
        <w:t>此项调整</w:t>
      </w:r>
      <w:r w:rsidRPr="00D36FA2">
        <w:rPr>
          <w:rFonts w:hint="eastAsia"/>
          <w:color w:val="000000"/>
          <w:kern w:val="0"/>
          <w:sz w:val="24"/>
        </w:rPr>
        <w:t>须召开基金份额持有人大会审议通过。基金管理人必须最迟于新费率</w:t>
      </w:r>
      <w:r w:rsidRPr="00D36FA2">
        <w:rPr>
          <w:rFonts w:hint="eastAsia"/>
          <w:bCs/>
          <w:color w:val="000000"/>
          <w:sz w:val="24"/>
        </w:rPr>
        <w:t>实施</w:t>
      </w:r>
      <w:r w:rsidRPr="00D36FA2">
        <w:rPr>
          <w:bCs/>
          <w:sz w:val="24"/>
        </w:rPr>
        <w:t>前依照《信息披露办法》的有关规定</w:t>
      </w:r>
      <w:r w:rsidRPr="00D36FA2">
        <w:rPr>
          <w:rFonts w:hint="eastAsia"/>
          <w:color w:val="000000"/>
          <w:kern w:val="0"/>
          <w:sz w:val="24"/>
        </w:rPr>
        <w:t>在指定媒介刊登公告。</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（六）基金管理费和基金托管费的复核程序、支付方式和时间</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1.复核程序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2.支付方式和时间</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基金管理费、基金托管费每日计提，</w:t>
      </w:r>
      <w:r w:rsidR="00B62617" w:rsidRPr="00D36FA2">
        <w:rPr>
          <w:bCs/>
          <w:sz w:val="24"/>
        </w:rPr>
        <w:t>逐日累计至每月月末，</w:t>
      </w:r>
      <w:r w:rsidRPr="00D36FA2">
        <w:rPr>
          <w:rFonts w:asciiTheme="minorEastAsia" w:eastAsiaTheme="minorEastAsia" w:hAnsiTheme="minorEastAsia" w:cs="Arial" w:hint="eastAsia"/>
          <w:sz w:val="24"/>
        </w:rPr>
        <w:t>按月支付。</w:t>
      </w:r>
      <w:r w:rsidR="008B278E" w:rsidRPr="00D36FA2">
        <w:rPr>
          <w:rFonts w:hint="eastAsia"/>
          <w:bCs/>
          <w:sz w:val="24"/>
        </w:rPr>
        <w:t>由基金管理人与基金托管人双方核对无误后，基金托管人按照与基金管理人协商一致的方式于次</w:t>
      </w:r>
      <w:r w:rsidR="00086A81" w:rsidRPr="00D36FA2">
        <w:rPr>
          <w:rFonts w:hint="eastAsia"/>
          <w:bCs/>
          <w:sz w:val="24"/>
        </w:rPr>
        <w:t>月</w:t>
      </w:r>
      <w:r w:rsidR="008B278E" w:rsidRPr="00D36FA2">
        <w:rPr>
          <w:rFonts w:hint="eastAsia"/>
          <w:bCs/>
          <w:sz w:val="24"/>
        </w:rPr>
        <w:t>首日起</w:t>
      </w:r>
      <w:r w:rsidR="008B278E" w:rsidRPr="00D36FA2">
        <w:rPr>
          <w:rFonts w:hint="eastAsia"/>
          <w:bCs/>
          <w:sz w:val="24"/>
        </w:rPr>
        <w:t>5</w:t>
      </w:r>
      <w:r w:rsidR="008B278E" w:rsidRPr="00D36FA2">
        <w:rPr>
          <w:rFonts w:hint="eastAsia"/>
          <w:bCs/>
          <w:sz w:val="24"/>
        </w:rPr>
        <w:t>个工作日内从基金财产中一次性</w:t>
      </w:r>
      <w:r w:rsidR="00086A81" w:rsidRPr="00D36FA2">
        <w:rPr>
          <w:rFonts w:hint="eastAsia"/>
          <w:bCs/>
          <w:sz w:val="24"/>
        </w:rPr>
        <w:t>支付给基金管理人或支取</w:t>
      </w:r>
      <w:r w:rsidR="00884884" w:rsidRPr="00D36FA2">
        <w:rPr>
          <w:rFonts w:hint="eastAsia"/>
          <w:bCs/>
        </w:rPr>
        <w:t>，</w:t>
      </w:r>
      <w:r w:rsidR="00884884" w:rsidRPr="00D36FA2">
        <w:rPr>
          <w:sz w:val="24"/>
          <w:szCs w:val="23"/>
        </w:rPr>
        <w:t>基金管理人无需再出具资金划拨指令</w:t>
      </w:r>
      <w:r w:rsidR="008B278E" w:rsidRPr="00D36FA2">
        <w:rPr>
          <w:rFonts w:hint="eastAsia"/>
          <w:bCs/>
          <w:sz w:val="24"/>
        </w:rPr>
        <w:t>。若遇法定节假日、</w:t>
      </w:r>
      <w:r w:rsidR="00086A81" w:rsidRPr="00D36FA2">
        <w:rPr>
          <w:rFonts w:hint="eastAsia"/>
          <w:bCs/>
          <w:sz w:val="24"/>
        </w:rPr>
        <w:t>休息日</w:t>
      </w:r>
      <w:r w:rsidR="008B278E" w:rsidRPr="00D36FA2">
        <w:rPr>
          <w:rFonts w:hint="eastAsia"/>
          <w:bCs/>
          <w:sz w:val="24"/>
        </w:rPr>
        <w:t>等，支付日期顺延。</w:t>
      </w:r>
      <w:r w:rsidRPr="00D36FA2">
        <w:rPr>
          <w:rFonts w:asciiTheme="minorEastAsia" w:eastAsiaTheme="minorEastAsia" w:hAnsiTheme="minorEastAsia" w:cs="Arial" w:hint="eastAsia"/>
          <w:sz w:val="24"/>
        </w:rPr>
        <w:t>费用自动扣划后，基金管理人应进行核对，如发现数据不符，及时联系基金托管人协商解决。</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在首期支付基金管理费前，基金管理人应向</w:t>
      </w:r>
      <w:r w:rsidR="008B278E" w:rsidRPr="00D36FA2">
        <w:rPr>
          <w:rFonts w:asciiTheme="minorEastAsia" w:eastAsiaTheme="minorEastAsia" w:hAnsiTheme="minorEastAsia" w:cs="Arial" w:hint="eastAsia"/>
          <w:sz w:val="24"/>
        </w:rPr>
        <w:t>基金</w:t>
      </w:r>
      <w:r w:rsidRPr="00D36FA2">
        <w:rPr>
          <w:rFonts w:asciiTheme="minorEastAsia" w:eastAsiaTheme="minorEastAsia" w:hAnsiTheme="minorEastAsia" w:cs="Arial" w:hint="eastAsia"/>
          <w:sz w:val="24"/>
        </w:rPr>
        <w:t>托管人出具正式函件指定基金管理费的收款账户。基金管理人如需要变更此账户，应提前5个工作日向托管人出具书面的收款账户变更通知。</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（七）违规处理方式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89" w:name="_Toc124325896"/>
      <w:r w:rsidRPr="00D36FA2">
        <w:rPr>
          <w:rFonts w:asciiTheme="minorEastAsia" w:eastAsiaTheme="minorEastAsia" w:hAnsiTheme="minorEastAsia" w:hint="eastAsia"/>
          <w:sz w:val="24"/>
          <w:szCs w:val="24"/>
        </w:rPr>
        <w:t>十二、基金份额持有人名册的保管</w:t>
      </w:r>
      <w:bookmarkEnd w:id="89"/>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w:t>
      </w:r>
      <w:r w:rsidR="008B278E" w:rsidRPr="00D36FA2">
        <w:rPr>
          <w:rFonts w:ascii="宋体" w:hAnsi="宋体" w:cs="Arial" w:hint="eastAsia"/>
          <w:sz w:val="24"/>
        </w:rPr>
        <w:t>保存期</w:t>
      </w:r>
      <w:r w:rsidR="00086A81" w:rsidRPr="00D36FA2">
        <w:rPr>
          <w:rFonts w:ascii="宋体" w:hAnsi="宋体" w:cs="Arial" w:hint="eastAsia"/>
          <w:sz w:val="24"/>
        </w:rPr>
        <w:t>自基金账户销户之日起不得</w:t>
      </w:r>
      <w:r w:rsidR="008B278E" w:rsidRPr="00D36FA2">
        <w:rPr>
          <w:rFonts w:ascii="宋体" w:hAnsi="宋体" w:cs="Arial" w:hint="eastAsia"/>
          <w:sz w:val="24"/>
        </w:rPr>
        <w:t>不少于20年。</w:t>
      </w:r>
      <w:r w:rsidRPr="00D36FA2">
        <w:rPr>
          <w:rFonts w:asciiTheme="minorEastAsia" w:eastAsiaTheme="minorEastAsia" w:hAnsiTheme="minorEastAsia" w:cs="Arial" w:hint="eastAsia"/>
          <w:sz w:val="24"/>
        </w:rPr>
        <w:t>基金管理人和基金托管人应分别保管基金份额持有人名册，保存期不少于15年。如不能妥善保管，则按相关法规承担责任。</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D36FA2">
        <w:rPr>
          <w:rFonts w:asciiTheme="minorEastAsia" w:eastAsiaTheme="minorEastAsia" w:hAnsiTheme="minorEastAsia" w:hint="eastAsia"/>
          <w:kern w:val="0"/>
          <w:sz w:val="24"/>
        </w:rPr>
        <w:t>基金托管人不得将所保管的基金份额持有人名册用于基金托管业务以外的其他用途，并应遵守保密义务</w:t>
      </w:r>
      <w:r w:rsidR="008B278E" w:rsidRPr="00D36FA2">
        <w:rPr>
          <w:rFonts w:ascii="宋体" w:hAnsi="宋体" w:hint="eastAsia"/>
          <w:kern w:val="0"/>
          <w:sz w:val="24"/>
        </w:rPr>
        <w:t>，法律法规另有规定或有关机关另有要求的除外</w:t>
      </w:r>
      <w:r w:rsidRPr="00D36FA2">
        <w:rPr>
          <w:rFonts w:asciiTheme="minorEastAsia" w:eastAsiaTheme="minorEastAsia" w:hAnsiTheme="minorEastAsia" w:hint="eastAsia"/>
          <w:kern w:val="0"/>
          <w:sz w:val="24"/>
        </w:rPr>
        <w:t>。</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0" w:name="_Toc124325897"/>
      <w:r w:rsidRPr="00D36FA2">
        <w:rPr>
          <w:rFonts w:asciiTheme="minorEastAsia" w:eastAsiaTheme="minorEastAsia" w:hAnsiTheme="minorEastAsia" w:hint="eastAsia"/>
          <w:sz w:val="24"/>
          <w:szCs w:val="24"/>
        </w:rPr>
        <w:t>十三、基金有关文件档案的保存</w:t>
      </w:r>
      <w:bookmarkEnd w:id="90"/>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（一）档案保存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（二）合同档案的建立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1.基金管理人签署重大合同文本后，应及时将合同文本正本</w:t>
      </w:r>
      <w:r w:rsidR="008B278E" w:rsidRPr="00D36FA2">
        <w:rPr>
          <w:rFonts w:ascii="宋体" w:hAnsi="宋体" w:cs="Arial" w:hint="eastAsia"/>
          <w:sz w:val="24"/>
        </w:rPr>
        <w:t>或加盖基金管理人公章的复印件</w:t>
      </w:r>
      <w:r w:rsidRPr="00D36FA2">
        <w:rPr>
          <w:rFonts w:asciiTheme="minorEastAsia" w:eastAsiaTheme="minorEastAsia" w:hAnsiTheme="minorEastAsia" w:cs="Arial" w:hint="eastAsia"/>
          <w:sz w:val="24"/>
        </w:rPr>
        <w:t>送达基金托管人处。</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2.基金管理人应及时将与本基金账务处理、资金划拨等有关的合同、协议传真基金托管人。</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（三）变更与协助</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b/>
          <w:bCs/>
          <w:sz w:val="24"/>
        </w:rPr>
      </w:pPr>
      <w:r w:rsidRPr="00D36FA2">
        <w:rPr>
          <w:rFonts w:asciiTheme="minorEastAsia" w:eastAsiaTheme="minorEastAsia" w:hAnsiTheme="minorEastAsia" w:cs="Arial" w:hint="eastAsia"/>
          <w:sz w:val="24"/>
        </w:rPr>
        <w:t>若基金管理人/基金托管人发生变更，未变更的一方有义务协助变更后的接任人接收相应文件。</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w:t>
      </w:r>
      <w:r w:rsidR="008B278E" w:rsidRPr="00D36FA2">
        <w:rPr>
          <w:rFonts w:ascii="宋体" w:hAnsi="宋体" w:cs="Arial" w:hint="eastAsia"/>
          <w:sz w:val="24"/>
        </w:rPr>
        <w:t>，</w:t>
      </w:r>
      <w:r w:rsidR="008B278E" w:rsidRPr="00D36FA2">
        <w:rPr>
          <w:rFonts w:ascii="宋体" w:hAnsi="宋体" w:hint="eastAsia"/>
          <w:kern w:val="0"/>
          <w:sz w:val="24"/>
        </w:rPr>
        <w:t>法律法规另有规定或有关机关另有要求的除外</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1" w:name="_Toc124325898"/>
      <w:r w:rsidRPr="00D36FA2">
        <w:rPr>
          <w:rFonts w:asciiTheme="minorEastAsia" w:eastAsiaTheme="minorEastAsia" w:hAnsiTheme="minorEastAsia" w:hint="eastAsia"/>
          <w:sz w:val="24"/>
          <w:szCs w:val="24"/>
        </w:rPr>
        <w:t>十四、基金管理人和基金托管人的更换</w:t>
      </w:r>
      <w:bookmarkEnd w:id="91"/>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（一）基金管理人职责终止的情形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1.基金管理人职责终止的情形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有下列情形之一的，基金管理人职责终止：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(1)被依法取消基金管理资格；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(2)依法解散、被依法撤销或被依法宣告破产；</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(3)被基金份额持有人大会解任；</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(4)法律法规及中国证监会规定的和《基金合同》约定的其他情形。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2.基金管理人的更换程序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更换基金管理人必须依照如下程序进行：</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(1)提名：新任基金管理人由基金托管人</w:t>
      </w:r>
      <w:r w:rsidRPr="00D36FA2">
        <w:rPr>
          <w:rFonts w:asciiTheme="minorEastAsia" w:eastAsiaTheme="minorEastAsia" w:hAnsiTheme="minorEastAsia" w:hint="eastAsia"/>
          <w:sz w:val="24"/>
        </w:rPr>
        <w:t>或由单独或合计持有10%以上(含10%)基金份额的基金份额持有人</w:t>
      </w:r>
      <w:r w:rsidRPr="00D36FA2">
        <w:rPr>
          <w:rFonts w:asciiTheme="minorEastAsia" w:eastAsiaTheme="minorEastAsia" w:hAnsiTheme="minorEastAsia" w:cs="Arial" w:hint="eastAsia"/>
          <w:sz w:val="24"/>
        </w:rPr>
        <w:t>提名；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w:t>
      </w:r>
      <w:r w:rsidRPr="00D36FA2">
        <w:rPr>
          <w:rFonts w:asciiTheme="minorEastAsia" w:eastAsiaTheme="minorEastAsia" w:hAnsiTheme="minorEastAsia" w:cs="Arial" w:hint="eastAsia"/>
          <w:sz w:val="24"/>
        </w:rPr>
        <w:lastRenderedPageBreak/>
        <w:t>之二以上(含三分之二)表决通过</w:t>
      </w:r>
      <w:r w:rsidR="008B278E" w:rsidRPr="00D36FA2">
        <w:rPr>
          <w:rFonts w:ascii="宋体" w:hAnsi="宋体" w:cs="Arial" w:hint="eastAsia"/>
          <w:bCs/>
          <w:sz w:val="24"/>
        </w:rPr>
        <w:t>，并自表决通过之日起生效</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(3)临时基金管理人：新任基金管理人产生之前，由中国证监会指定临时基金管理人；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(4)备案：基金份额持有人大会</w:t>
      </w:r>
      <w:r w:rsidR="0010665D" w:rsidRPr="00D36FA2">
        <w:rPr>
          <w:rFonts w:asciiTheme="minorEastAsia" w:eastAsiaTheme="minorEastAsia" w:hAnsiTheme="minorEastAsia" w:cs="Arial" w:hint="eastAsia"/>
          <w:sz w:val="24"/>
        </w:rPr>
        <w:t>更换</w:t>
      </w:r>
      <w:r w:rsidRPr="00D36FA2">
        <w:rPr>
          <w:rFonts w:asciiTheme="minorEastAsia" w:eastAsiaTheme="minorEastAsia" w:hAnsiTheme="minorEastAsia" w:cs="Arial" w:hint="eastAsia"/>
          <w:sz w:val="24"/>
        </w:rPr>
        <w:t>基金管理人的决议须报中国证监会备案；</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(5)公告：基金管理人更换后，由基金托管人在更换基金管理人的基金份额持有人大会决议生效后2日内在指定媒介公告；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sidR="008B278E" w:rsidRPr="00D36FA2">
        <w:rPr>
          <w:rFonts w:ascii="宋体" w:hAnsi="宋体" w:cs="Arial" w:hint="eastAsia"/>
          <w:sz w:val="24"/>
        </w:rPr>
        <w:t>新任</w:t>
      </w:r>
      <w:r w:rsidRPr="00D36FA2">
        <w:rPr>
          <w:rFonts w:asciiTheme="minorEastAsia" w:eastAsiaTheme="minorEastAsia" w:hAnsiTheme="minorEastAsia" w:cs="Arial" w:hint="eastAsia"/>
          <w:sz w:val="24"/>
        </w:rPr>
        <w:t>基金管理人或</w:t>
      </w:r>
      <w:r w:rsidR="008B278E" w:rsidRPr="00D36FA2">
        <w:rPr>
          <w:rFonts w:ascii="宋体" w:hAnsi="宋体" w:cs="Arial" w:hint="eastAsia"/>
          <w:sz w:val="24"/>
        </w:rPr>
        <w:t>临时</w:t>
      </w:r>
      <w:r w:rsidRPr="00D36FA2">
        <w:rPr>
          <w:rFonts w:asciiTheme="minorEastAsia" w:eastAsiaTheme="minorEastAsia" w:hAnsiTheme="minorEastAsia" w:cs="Arial" w:hint="eastAsia"/>
          <w:sz w:val="24"/>
        </w:rPr>
        <w:t>基金管理人应与基金托管人核对基金资产总值；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8B278E" w:rsidRPr="00D36FA2">
        <w:rPr>
          <w:rFonts w:ascii="宋体" w:hAnsi="宋体" w:cs="Arial" w:hint="eastAsia"/>
          <w:sz w:val="24"/>
        </w:rPr>
        <w:t>，审计费用从基金财产中列支</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（二）基金托管人职责终止的情形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1.基金托管人职责终止的情形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有下列情形之一的，基金托管人职责终止：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(1)被依法取消基金托管资格；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(2)依法解散、被依法撤销或被依法宣告破产；</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(3)被基金份额持有人大会解任；</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(4)法律法规及中国证监会规定的和《基金合同》约定的其他情形。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2.基金托管人的更换程序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(1)提名：新任基金托管人由基金管理人</w:t>
      </w:r>
      <w:r w:rsidRPr="00D36FA2">
        <w:rPr>
          <w:rFonts w:asciiTheme="minorEastAsia" w:eastAsiaTheme="minorEastAsia" w:hAnsiTheme="minorEastAsia" w:hint="eastAsia"/>
          <w:sz w:val="24"/>
        </w:rPr>
        <w:t>或由单独或合计持有10%以上(含10%)基金份额的基金份额持有人</w:t>
      </w:r>
      <w:r w:rsidRPr="00D36FA2">
        <w:rPr>
          <w:rFonts w:asciiTheme="minorEastAsia" w:eastAsiaTheme="minorEastAsia" w:hAnsiTheme="minorEastAsia" w:cs="Arial" w:hint="eastAsia"/>
          <w:sz w:val="24"/>
        </w:rPr>
        <w:t>提名；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8B278E" w:rsidRPr="00D36FA2">
        <w:rPr>
          <w:rFonts w:ascii="宋体" w:hAnsi="宋体" w:cs="Arial" w:hint="eastAsia"/>
          <w:bCs/>
          <w:sz w:val="24"/>
        </w:rPr>
        <w:t>，并自表决通过之日起生效</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(3)临时基金托管人：新任基金托管人产生之前，由中国证监会指定临时基金托管人；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lastRenderedPageBreak/>
        <w:t>(4)备案：基金份额持有人大会</w:t>
      </w:r>
      <w:r w:rsidR="0010665D" w:rsidRPr="00D36FA2">
        <w:rPr>
          <w:rFonts w:ascii="宋体" w:hAnsi="宋体" w:cs="Arial" w:hint="eastAsia"/>
          <w:sz w:val="24"/>
        </w:rPr>
        <w:t>更换</w:t>
      </w:r>
      <w:r w:rsidRPr="00D36FA2">
        <w:rPr>
          <w:rFonts w:asciiTheme="minorEastAsia" w:eastAsiaTheme="minorEastAsia" w:hAnsiTheme="minorEastAsia" w:cs="Arial" w:hint="eastAsia"/>
          <w:sz w:val="24"/>
        </w:rPr>
        <w:t>基金托管人的决议须报中国证监会备案；</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(5)公告：基金托管人更换后，由基金管理人在更换基金托管人的基金份额持有人大会决议生效后 2日内在指定媒介公告；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8B278E" w:rsidRPr="00D36FA2">
        <w:rPr>
          <w:rFonts w:ascii="宋体" w:hAnsi="宋体" w:cs="Arial" w:hint="eastAsia"/>
          <w:sz w:val="24"/>
        </w:rPr>
        <w:t>，审计费用从基金财产中列支</w:t>
      </w:r>
      <w:r w:rsidRPr="00D36FA2">
        <w:rPr>
          <w:rFonts w:asciiTheme="minorEastAsia" w:eastAsiaTheme="minorEastAsia" w:hAnsiTheme="minorEastAsia" w:cs="Arial" w:hint="eastAsia"/>
          <w:sz w:val="24"/>
        </w:rPr>
        <w:t>。</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（三）基金管理人与基金托管人同时更换的条件和程序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2.基金管理人和基金托管人的更换分别按上述程序进行；</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3.公告：新任基金管理人和新任基金托管人应在更换基金管理人和基金托管人的基金份额持有人大会决议生效后2日内在指定媒介上联合公告。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w:t>
      </w:r>
      <w:r w:rsidR="00C475C1" w:rsidRPr="00D36FA2">
        <w:rPr>
          <w:rFonts w:hint="eastAsia"/>
          <w:bCs/>
          <w:color w:val="000000"/>
          <w:sz w:val="24"/>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rsidR="00C475C1" w:rsidRPr="00D36FA2" w:rsidRDefault="00C475C1"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hint="eastAsia"/>
          <w:bCs/>
          <w:color w:val="000000"/>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2" w:name="_Toc124325899"/>
      <w:r w:rsidRPr="00D36FA2">
        <w:rPr>
          <w:rFonts w:asciiTheme="minorEastAsia" w:eastAsiaTheme="minorEastAsia" w:hAnsiTheme="minorEastAsia" w:hint="eastAsia"/>
          <w:sz w:val="24"/>
          <w:szCs w:val="24"/>
        </w:rPr>
        <w:t>十五、禁止行为</w:t>
      </w:r>
      <w:bookmarkEnd w:id="92"/>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本协议当事人</w:t>
      </w:r>
      <w:r w:rsidR="00C475C1" w:rsidRPr="00D36FA2">
        <w:rPr>
          <w:rFonts w:ascii="宋体" w:hAnsi="宋体" w:cs="Arial" w:hint="eastAsia"/>
          <w:sz w:val="24"/>
        </w:rPr>
        <w:t>及其董事、监事、高级管理人员和其他从业人员</w:t>
      </w:r>
      <w:r w:rsidRPr="00D36FA2">
        <w:rPr>
          <w:rFonts w:asciiTheme="minorEastAsia" w:eastAsiaTheme="minorEastAsia" w:hAnsiTheme="minorEastAsia" w:cs="Arial" w:hint="eastAsia"/>
          <w:sz w:val="24"/>
        </w:rPr>
        <w:t>禁止从事的行为，包括但不限于：</w:t>
      </w:r>
    </w:p>
    <w:p w:rsidR="005D40BF" w:rsidRPr="00D36FA2" w:rsidRDefault="005D40BF" w:rsidP="005D40BF">
      <w:pPr>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hint="eastAsia"/>
          <w:sz w:val="24"/>
        </w:rPr>
        <w:lastRenderedPageBreak/>
        <w:t>（一）基金管理人、基金托管人将其固有财产或者他人财产混同于基金财产从事证券投资。</w:t>
      </w:r>
    </w:p>
    <w:p w:rsidR="005D40BF" w:rsidRPr="00D36FA2" w:rsidRDefault="005D40BF" w:rsidP="005D40BF">
      <w:pPr>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hint="eastAsia"/>
          <w:sz w:val="24"/>
        </w:rPr>
        <w:t>（二）基金管理人不公平地对待其管理的不同基金财产，基金托管人不公平地对待其托管的不同基金财产。</w:t>
      </w:r>
    </w:p>
    <w:p w:rsidR="005D40BF" w:rsidRPr="00D36FA2" w:rsidRDefault="005D40BF" w:rsidP="005D40BF">
      <w:pPr>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hint="eastAsia"/>
          <w:sz w:val="24"/>
        </w:rPr>
        <w:t>（三）基金管理人、基金托管人</w:t>
      </w:r>
      <w:r w:rsidR="00C475C1" w:rsidRPr="00D36FA2">
        <w:rPr>
          <w:rFonts w:ascii="宋体" w:hAnsi="宋体" w:cs="Arial" w:hint="eastAsia"/>
          <w:sz w:val="24"/>
        </w:rPr>
        <w:t>及其董事、监事、高级管理人员和其他从业人员</w:t>
      </w:r>
      <w:r w:rsidRPr="00D36FA2">
        <w:rPr>
          <w:rFonts w:asciiTheme="minorEastAsia" w:eastAsiaTheme="minorEastAsia" w:hAnsiTheme="minorEastAsia" w:hint="eastAsia"/>
          <w:sz w:val="24"/>
        </w:rPr>
        <w:t>利用基金财产</w:t>
      </w:r>
      <w:r w:rsidR="00C475C1" w:rsidRPr="00D36FA2">
        <w:rPr>
          <w:rFonts w:ascii="宋体" w:hAnsi="宋体" w:cs="Arial" w:hint="eastAsia"/>
          <w:sz w:val="24"/>
        </w:rPr>
        <w:t>或职务之便</w:t>
      </w:r>
      <w:r w:rsidRPr="00D36FA2">
        <w:rPr>
          <w:rFonts w:asciiTheme="minorEastAsia" w:eastAsiaTheme="minorEastAsia" w:hAnsiTheme="minorEastAsia" w:hint="eastAsia"/>
          <w:sz w:val="24"/>
        </w:rPr>
        <w:t>为基金份额持有人以外的第三人牟取利益。</w:t>
      </w:r>
    </w:p>
    <w:p w:rsidR="005D40BF" w:rsidRPr="00D36FA2" w:rsidRDefault="005D40BF" w:rsidP="005D40BF">
      <w:pPr>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hint="eastAsia"/>
          <w:sz w:val="24"/>
        </w:rPr>
        <w:t>（四）基金管理人、基金托管人向基金份额持有人违规承诺收益或者承担损失。</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rsidR="005D40BF" w:rsidRPr="00D36FA2" w:rsidRDefault="005D40BF" w:rsidP="005D40BF">
      <w:pPr>
        <w:pStyle w:val="ab"/>
        <w:spacing w:line="360" w:lineRule="auto"/>
        <w:outlineLvl w:val="0"/>
        <w:rPr>
          <w:rFonts w:asciiTheme="minorEastAsia" w:eastAsiaTheme="minorEastAsia" w:hAnsiTheme="minorEastAsia" w:cs="Arial"/>
          <w:szCs w:val="24"/>
        </w:rPr>
      </w:pPr>
      <w:r w:rsidRPr="00D36FA2">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（七）基金管理人、基金托管人在行政上、财务上不独立, 其高级管理人员和其他从业人员相互兼职。</w:t>
      </w:r>
    </w:p>
    <w:p w:rsidR="00C475C1" w:rsidRPr="00D36FA2" w:rsidRDefault="005D40BF" w:rsidP="00C475C1">
      <w:pPr>
        <w:adjustRightInd w:val="0"/>
        <w:snapToGrid w:val="0"/>
        <w:spacing w:line="360" w:lineRule="auto"/>
        <w:ind w:firstLineChars="200" w:firstLine="480"/>
        <w:outlineLvl w:val="0"/>
        <w:rPr>
          <w:rFonts w:ascii="宋体" w:hAnsi="宋体" w:cs="Arial"/>
          <w:sz w:val="24"/>
        </w:rPr>
      </w:pPr>
      <w:r w:rsidRPr="00D36FA2">
        <w:rPr>
          <w:rFonts w:asciiTheme="minorEastAsia" w:eastAsiaTheme="minorEastAsia" w:hAnsiTheme="minorEastAsia" w:cs="Arial" w:hint="eastAsia"/>
          <w:sz w:val="24"/>
        </w:rPr>
        <w:t>（八）</w:t>
      </w:r>
      <w:r w:rsidR="00C475C1" w:rsidRPr="00D36FA2">
        <w:rPr>
          <w:rFonts w:ascii="宋体" w:hAnsi="宋体" w:cs="Arial" w:hint="eastAsia"/>
          <w:sz w:val="24"/>
        </w:rPr>
        <w:t>基金管理人、基金托管人及其董事、监事、高级管理人员和其他从业人员侵占、挪用基金财产。</w:t>
      </w:r>
    </w:p>
    <w:p w:rsidR="00C475C1" w:rsidRPr="00D36FA2" w:rsidRDefault="00C475C1" w:rsidP="00C475C1">
      <w:pPr>
        <w:adjustRightInd w:val="0"/>
        <w:snapToGrid w:val="0"/>
        <w:spacing w:line="360" w:lineRule="auto"/>
        <w:ind w:firstLineChars="200" w:firstLine="480"/>
        <w:outlineLvl w:val="0"/>
        <w:rPr>
          <w:rFonts w:ascii="宋体" w:hAnsi="宋体" w:cs="Arial"/>
          <w:sz w:val="24"/>
        </w:rPr>
      </w:pPr>
      <w:r w:rsidRPr="00D36FA2">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rsidR="00C475C1" w:rsidRPr="00D36FA2" w:rsidRDefault="00C475C1" w:rsidP="00C475C1">
      <w:pPr>
        <w:adjustRightInd w:val="0"/>
        <w:snapToGrid w:val="0"/>
        <w:spacing w:line="360" w:lineRule="auto"/>
        <w:ind w:firstLineChars="200" w:firstLine="480"/>
        <w:outlineLvl w:val="0"/>
        <w:rPr>
          <w:rFonts w:ascii="宋体" w:hAnsi="宋体" w:cs="Arial"/>
          <w:sz w:val="24"/>
        </w:rPr>
      </w:pPr>
      <w:r w:rsidRPr="00D36FA2">
        <w:rPr>
          <w:rFonts w:ascii="宋体" w:hAnsi="宋体" w:cs="Arial" w:hint="eastAsia"/>
          <w:sz w:val="24"/>
        </w:rPr>
        <w:t>（十）基金管理人、基金托管人及其董事、监事、高级管理人员和其他从业人员玩忽职守，不按照规定履行职责。</w:t>
      </w:r>
    </w:p>
    <w:p w:rsidR="005D40BF" w:rsidRPr="00D36FA2" w:rsidRDefault="00C475C1" w:rsidP="00C475C1">
      <w:pPr>
        <w:spacing w:line="360" w:lineRule="auto"/>
        <w:ind w:firstLineChars="200" w:firstLine="480"/>
        <w:rPr>
          <w:rFonts w:asciiTheme="minorEastAsia" w:eastAsiaTheme="minorEastAsia" w:hAnsiTheme="minorEastAsia" w:cs="Arial"/>
          <w:sz w:val="24"/>
        </w:rPr>
      </w:pPr>
      <w:r w:rsidRPr="00D36FA2">
        <w:rPr>
          <w:rFonts w:ascii="宋体" w:hAnsi="宋体" w:cs="Arial" w:hint="eastAsia"/>
          <w:sz w:val="24"/>
        </w:rPr>
        <w:t>（十一）</w:t>
      </w:r>
      <w:r w:rsidR="005D40BF" w:rsidRPr="00D36FA2">
        <w:rPr>
          <w:rFonts w:asciiTheme="minorEastAsia" w:eastAsiaTheme="minorEastAsia" w:hAnsiTheme="minorEastAsia" w:cs="Arial" w:hint="eastAsia"/>
          <w:sz w:val="24"/>
        </w:rPr>
        <w:t>基金托管人私自动用或处分基金财产，根据基金管理人的合法指令、《基金合同》或托管协议的规定进行处分的除外。</w:t>
      </w:r>
    </w:p>
    <w:p w:rsidR="005D40BF" w:rsidRPr="00D36FA2" w:rsidRDefault="005D40BF" w:rsidP="005D40BF">
      <w:pPr>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hint="eastAsia"/>
          <w:sz w:val="24"/>
        </w:rPr>
        <w:t>（</w:t>
      </w:r>
      <w:r w:rsidR="00C475C1" w:rsidRPr="00D36FA2">
        <w:rPr>
          <w:rFonts w:asciiTheme="minorEastAsia" w:eastAsiaTheme="minorEastAsia" w:hAnsiTheme="minorEastAsia" w:hint="eastAsia"/>
          <w:sz w:val="24"/>
        </w:rPr>
        <w:t>十二</w:t>
      </w:r>
      <w:r w:rsidRPr="00D36FA2">
        <w:rPr>
          <w:rFonts w:asciiTheme="minorEastAsia" w:eastAsiaTheme="minorEastAsia" w:hAnsiTheme="minorEastAsia" w:hint="eastAsia"/>
          <w:sz w:val="24"/>
        </w:rPr>
        <w:t>）</w:t>
      </w:r>
      <w:r w:rsidRPr="00D36FA2">
        <w:rPr>
          <w:rFonts w:asciiTheme="minorEastAsia" w:eastAsiaTheme="minorEastAsia" w:hAnsiTheme="minorEastAsia" w:cs="Arial" w:hint="eastAsia"/>
          <w:sz w:val="24"/>
        </w:rPr>
        <w:t>基金财产</w:t>
      </w:r>
      <w:r w:rsidRPr="00D36FA2">
        <w:rPr>
          <w:rFonts w:asciiTheme="minorEastAsia" w:eastAsiaTheme="minorEastAsia" w:hAnsiTheme="minorEastAsia" w:hint="eastAsia"/>
          <w:sz w:val="24"/>
        </w:rPr>
        <w:t>用于下列投资或者活动：1.承销证券；2.违反规定向他人贷款或者提供担保；3.从事承担无限责任的投资；4.买卖其他基金份额，</w:t>
      </w:r>
      <w:r w:rsidR="00C475C1" w:rsidRPr="00D36FA2">
        <w:rPr>
          <w:bCs/>
          <w:sz w:val="24"/>
        </w:rPr>
        <w:t>但是</w:t>
      </w:r>
      <w:r w:rsidR="00C475C1" w:rsidRPr="00D36FA2">
        <w:rPr>
          <w:rFonts w:hint="eastAsia"/>
          <w:bCs/>
          <w:sz w:val="24"/>
        </w:rPr>
        <w:t>中国证监会</w:t>
      </w:r>
      <w:r w:rsidR="00C475C1" w:rsidRPr="00D36FA2">
        <w:rPr>
          <w:bCs/>
          <w:sz w:val="24"/>
        </w:rPr>
        <w:t>另有规定的除外</w:t>
      </w:r>
      <w:r w:rsidRPr="00D36FA2">
        <w:rPr>
          <w:rFonts w:asciiTheme="minorEastAsia" w:eastAsiaTheme="minorEastAsia" w:hAnsiTheme="minorEastAsia" w:hint="eastAsia"/>
          <w:sz w:val="24"/>
        </w:rPr>
        <w:t>；5.向其基金管理人、基金托管人出资；6.从事内幕交易、操纵证券交易价格及其他不正当的证券交易活动；7.</w:t>
      </w:r>
      <w:r w:rsidR="00C475C1" w:rsidRPr="00D36FA2">
        <w:rPr>
          <w:bCs/>
          <w:sz w:val="24"/>
        </w:rPr>
        <w:t xml:space="preserve"> </w:t>
      </w:r>
      <w:r w:rsidR="00C475C1" w:rsidRPr="00D36FA2">
        <w:rPr>
          <w:bCs/>
          <w:sz w:val="24"/>
        </w:rPr>
        <w:t>法律法规</w:t>
      </w:r>
      <w:r w:rsidR="00C475C1" w:rsidRPr="00D36FA2">
        <w:rPr>
          <w:rFonts w:hint="eastAsia"/>
          <w:bCs/>
          <w:sz w:val="24"/>
        </w:rPr>
        <w:t>、</w:t>
      </w:r>
      <w:r w:rsidR="00C475C1" w:rsidRPr="00D36FA2">
        <w:rPr>
          <w:bCs/>
          <w:sz w:val="24"/>
        </w:rPr>
        <w:t>中国证监会</w:t>
      </w:r>
      <w:r w:rsidR="00C475C1" w:rsidRPr="00D36FA2">
        <w:rPr>
          <w:rFonts w:hint="eastAsia"/>
          <w:bCs/>
          <w:sz w:val="24"/>
        </w:rPr>
        <w:t>及基金合同</w:t>
      </w:r>
      <w:r w:rsidR="00C475C1" w:rsidRPr="00D36FA2">
        <w:rPr>
          <w:bCs/>
          <w:sz w:val="24"/>
        </w:rPr>
        <w:t>规定禁止</w:t>
      </w:r>
      <w:r w:rsidR="00C475C1" w:rsidRPr="00D36FA2">
        <w:rPr>
          <w:rFonts w:hint="eastAsia"/>
          <w:bCs/>
          <w:sz w:val="24"/>
        </w:rPr>
        <w:t>从事</w:t>
      </w:r>
      <w:r w:rsidR="00C475C1" w:rsidRPr="00D36FA2">
        <w:rPr>
          <w:bCs/>
          <w:sz w:val="24"/>
        </w:rPr>
        <w:t>的其他</w:t>
      </w:r>
      <w:r w:rsidR="00C475C1" w:rsidRPr="00D36FA2">
        <w:rPr>
          <w:rFonts w:hint="eastAsia"/>
          <w:bCs/>
          <w:sz w:val="24"/>
        </w:rPr>
        <w:t>行为</w:t>
      </w:r>
      <w:r w:rsidRPr="00D36FA2">
        <w:rPr>
          <w:rFonts w:asciiTheme="minorEastAsia" w:eastAsiaTheme="minorEastAsia" w:hAnsiTheme="minorEastAsia" w:hint="eastAsia"/>
          <w:sz w:val="24"/>
        </w:rPr>
        <w:t>。</w:t>
      </w:r>
    </w:p>
    <w:p w:rsidR="00C475C1" w:rsidRPr="00D36FA2" w:rsidRDefault="00C475C1" w:rsidP="00C475C1">
      <w:pPr>
        <w:spacing w:line="360" w:lineRule="auto"/>
        <w:ind w:firstLineChars="200" w:firstLine="480"/>
        <w:rPr>
          <w:bCs/>
          <w:sz w:val="24"/>
        </w:rPr>
      </w:pPr>
      <w:r w:rsidRPr="00D36FA2">
        <w:rPr>
          <w:rFonts w:hint="eastAsia"/>
          <w:color w:val="000000"/>
          <w:sz w:val="24"/>
        </w:rPr>
        <w:t>如法律法规或监管部门取消或调整上述禁止性规定，基金管理人在履行适当程序后可不受上述规定的限制或按调整后的规定执行，不需经基金份额持有人大</w:t>
      </w:r>
      <w:r w:rsidRPr="00D36FA2">
        <w:rPr>
          <w:rFonts w:hint="eastAsia"/>
          <w:color w:val="000000"/>
          <w:sz w:val="24"/>
        </w:rPr>
        <w:lastRenderedPageBreak/>
        <w:t>会审议，但须提前公告。</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（十）法律法规和《基金合同》禁止的其他行为，以及</w:t>
      </w:r>
      <w:r w:rsidRPr="00D36FA2">
        <w:rPr>
          <w:rFonts w:asciiTheme="minorEastAsia" w:eastAsiaTheme="minorEastAsia" w:hAnsiTheme="minorEastAsia" w:hint="eastAsia"/>
          <w:sz w:val="24"/>
        </w:rPr>
        <w:t>法律、行政法规</w:t>
      </w:r>
      <w:r w:rsidR="00C475C1" w:rsidRPr="00D36FA2">
        <w:rPr>
          <w:rFonts w:ascii="宋体" w:hAnsi="宋体" w:hint="eastAsia"/>
          <w:sz w:val="24"/>
        </w:rPr>
        <w:t>和中国证监会</w:t>
      </w:r>
      <w:r w:rsidRPr="00D36FA2">
        <w:rPr>
          <w:rFonts w:asciiTheme="minorEastAsia" w:eastAsiaTheme="minorEastAsia" w:hAnsiTheme="minorEastAsia" w:hint="eastAsia"/>
          <w:sz w:val="24"/>
        </w:rPr>
        <w:t>规定禁止基金管理人、基金托管人从事的其他行为。</w:t>
      </w:r>
    </w:p>
    <w:p w:rsidR="005D40BF" w:rsidRPr="00D36FA2" w:rsidRDefault="005D40BF" w:rsidP="005D40BF">
      <w:pPr>
        <w:adjustRightInd w:val="0"/>
        <w:snapToGrid w:val="0"/>
        <w:spacing w:line="360" w:lineRule="auto"/>
        <w:rPr>
          <w:rFonts w:asciiTheme="minorEastAsia" w:eastAsiaTheme="minorEastAsia" w:hAnsiTheme="minorEastAsia"/>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3" w:name="_Toc124325900"/>
      <w:r w:rsidRPr="00D36FA2">
        <w:rPr>
          <w:rFonts w:asciiTheme="minorEastAsia" w:eastAsiaTheme="minorEastAsia" w:hAnsiTheme="minorEastAsia" w:hint="eastAsia"/>
          <w:sz w:val="24"/>
          <w:szCs w:val="24"/>
        </w:rPr>
        <w:t>十六、托管协议的变更、终止与基金财产的清算</w:t>
      </w:r>
      <w:bookmarkEnd w:id="93"/>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（一）托管协议的变更程序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w:t>
      </w:r>
      <w:r w:rsidR="00C475C1" w:rsidRPr="00D36FA2">
        <w:rPr>
          <w:rFonts w:asciiTheme="minorEastAsia" w:eastAsiaTheme="minorEastAsia" w:hAnsiTheme="minorEastAsia" w:cs="Arial" w:hint="eastAsia"/>
          <w:sz w:val="24"/>
        </w:rPr>
        <w:t>基金</w:t>
      </w:r>
      <w:r w:rsidRPr="00D36FA2">
        <w:rPr>
          <w:rFonts w:asciiTheme="minorEastAsia" w:eastAsiaTheme="minorEastAsia" w:hAnsiTheme="minorEastAsia" w:cs="Arial" w:hint="eastAsia"/>
          <w:sz w:val="24"/>
        </w:rPr>
        <w:t>托管协议终止的情形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1.《基金合同》终止；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2.基金托管人解散、依法被撤销、破产或由其他基金托管人接管基金资产；</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3.基金管理人解散、依法被撤销、破产或由其他基金管理人接管基金管理权；</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4.发生法律法规</w:t>
      </w:r>
      <w:r w:rsidR="00C475C1" w:rsidRPr="00D36FA2">
        <w:rPr>
          <w:rFonts w:ascii="宋体" w:hAnsi="宋体" w:cs="Arial" w:hint="eastAsia"/>
          <w:sz w:val="24"/>
        </w:rPr>
        <w:t>、中国证监会</w:t>
      </w:r>
      <w:r w:rsidRPr="00D36FA2">
        <w:rPr>
          <w:rFonts w:asciiTheme="minorEastAsia" w:eastAsiaTheme="minorEastAsia" w:hAnsiTheme="minorEastAsia" w:cs="Arial" w:hint="eastAsia"/>
          <w:sz w:val="24"/>
        </w:rPr>
        <w:t>或《基金合同》规定的终止事项。</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（三）基金财产的清算</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4.基金财产清算程序：</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(1)《基金合同》终止情形出现时，由基金财产清算小组统一接管基金；</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(2)对基金财产和债权债务进行清理和确认；</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(3)对基金财产进行估值和变现；</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(4)制作清算报告；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(5)聘请会计师事务所对清算报告进行外部审计，聘请律师事务所对清算报告</w:t>
      </w:r>
      <w:r w:rsidRPr="00D36FA2">
        <w:rPr>
          <w:rFonts w:asciiTheme="minorEastAsia" w:eastAsiaTheme="minorEastAsia" w:hAnsiTheme="minorEastAsia" w:cs="Arial" w:hint="eastAsia"/>
          <w:sz w:val="24"/>
        </w:rPr>
        <w:lastRenderedPageBreak/>
        <w:t>出具法律意见书；</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(6)将清算</w:t>
      </w:r>
      <w:r w:rsidR="0010665D" w:rsidRPr="00D36FA2">
        <w:rPr>
          <w:rFonts w:asciiTheme="minorEastAsia" w:eastAsiaTheme="minorEastAsia" w:hAnsiTheme="minorEastAsia" w:cs="Arial" w:hint="eastAsia"/>
          <w:sz w:val="24"/>
        </w:rPr>
        <w:t>报告</w:t>
      </w:r>
      <w:r w:rsidRPr="00D36FA2">
        <w:rPr>
          <w:rFonts w:asciiTheme="minorEastAsia" w:eastAsiaTheme="minorEastAsia" w:hAnsiTheme="minorEastAsia" w:cs="Arial" w:hint="eastAsia"/>
          <w:sz w:val="24"/>
        </w:rPr>
        <w:t>报中国证监会备案并公告；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(7)对基金</w:t>
      </w:r>
      <w:r w:rsidR="00C475C1" w:rsidRPr="00D36FA2">
        <w:rPr>
          <w:rFonts w:asciiTheme="minorEastAsia" w:eastAsiaTheme="minorEastAsia" w:hAnsiTheme="minorEastAsia" w:cs="Arial" w:hint="eastAsia"/>
          <w:sz w:val="24"/>
        </w:rPr>
        <w:t>剩余</w:t>
      </w:r>
      <w:r w:rsidRPr="00D36FA2">
        <w:rPr>
          <w:rFonts w:asciiTheme="minorEastAsia" w:eastAsiaTheme="minorEastAsia" w:hAnsiTheme="minorEastAsia" w:cs="Arial" w:hint="eastAsia"/>
          <w:sz w:val="24"/>
        </w:rPr>
        <w:t>财产进行分配。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5.基金财产清算的期限为</w:t>
      </w:r>
      <w:r w:rsidR="00C475C1" w:rsidRPr="00D36FA2">
        <w:rPr>
          <w:rFonts w:asciiTheme="minorEastAsia" w:eastAsiaTheme="minorEastAsia" w:hAnsiTheme="minorEastAsia" w:cs="Arial" w:hint="eastAsia"/>
          <w:sz w:val="24"/>
        </w:rPr>
        <w:t>6</w:t>
      </w:r>
      <w:r w:rsidRPr="00D36FA2">
        <w:rPr>
          <w:rFonts w:asciiTheme="minorEastAsia" w:eastAsiaTheme="minorEastAsia" w:hAnsiTheme="minorEastAsia" w:cs="Arial" w:hint="eastAsia"/>
          <w:sz w:val="24"/>
        </w:rPr>
        <w:t>个月。</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6.清算费用</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清算费用是指基金财产清算小组在进行基金清算过程中发生的所有合理费用，清算费用由基金财产清算小组优先从基金财产中支付。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7.基金财产清算剩余资产的分配：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8.基金财产清算的公告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w:t>
      </w:r>
      <w:r w:rsidR="0010665D" w:rsidRPr="00D36FA2">
        <w:rPr>
          <w:rFonts w:asciiTheme="minorEastAsia" w:eastAsiaTheme="minorEastAsia" w:hAnsiTheme="minorEastAsia" w:cs="Arial" w:hint="eastAsia"/>
          <w:bCs/>
          <w:sz w:val="24"/>
        </w:rPr>
        <w:t>由基金财产清算小组</w:t>
      </w:r>
      <w:r w:rsidRPr="00D36FA2">
        <w:rPr>
          <w:rFonts w:asciiTheme="minorEastAsia" w:eastAsiaTheme="minorEastAsia" w:hAnsiTheme="minorEastAsia" w:cs="Arial" w:hint="eastAsia"/>
          <w:sz w:val="24"/>
        </w:rPr>
        <w:t>报中国证监会备案并公告。基金财产清算公告于基金财产清算报告报中国证监会备案后</w:t>
      </w:r>
      <w:r w:rsidR="00C475C1" w:rsidRPr="00D36FA2">
        <w:rPr>
          <w:rFonts w:asciiTheme="minorEastAsia" w:eastAsiaTheme="minorEastAsia" w:hAnsiTheme="minorEastAsia" w:cs="Arial" w:hint="eastAsia"/>
          <w:sz w:val="24"/>
        </w:rPr>
        <w:t>5</w:t>
      </w:r>
      <w:r w:rsidRPr="00D36FA2">
        <w:rPr>
          <w:rFonts w:asciiTheme="minorEastAsia" w:eastAsiaTheme="minorEastAsia" w:hAnsiTheme="minorEastAsia" w:cs="Arial" w:hint="eastAsia"/>
          <w:sz w:val="24"/>
        </w:rPr>
        <w:t>个工作日内由基金财产清算小组进行公告。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9.基金财产清算账册及文件的保存</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基金财产清算账册及有关文件由基金托管人保存15年以上。</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4" w:name="_Toc124325901"/>
      <w:r w:rsidRPr="00D36FA2">
        <w:rPr>
          <w:rFonts w:asciiTheme="minorEastAsia" w:eastAsiaTheme="minorEastAsia" w:hAnsiTheme="minorEastAsia" w:hint="eastAsia"/>
          <w:sz w:val="24"/>
          <w:szCs w:val="24"/>
        </w:rPr>
        <w:t>十七、违约责任</w:t>
      </w:r>
      <w:bookmarkEnd w:id="94"/>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（一）基金管理人、基金托管人不履行本协议或履行本协议不符合约定的，应当承担违约责任。</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C475C1" w:rsidRPr="00D36FA2">
        <w:rPr>
          <w:rFonts w:ascii="宋体" w:hAnsi="宋体" w:cs="Arial" w:hint="eastAsia"/>
          <w:sz w:val="24"/>
        </w:rPr>
        <w:t>对损失的赔偿，仅限于直接损失。</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w:t>
      </w:r>
      <w:r w:rsidRPr="00D36FA2">
        <w:rPr>
          <w:rFonts w:asciiTheme="minorEastAsia" w:eastAsiaTheme="minorEastAsia" w:hAnsiTheme="minorEastAsia" w:cs="Arial" w:hint="eastAsia"/>
          <w:sz w:val="24"/>
        </w:rPr>
        <w:lastRenderedPageBreak/>
        <w:t>务代表基金向违约方追偿。但是如发生下列情况，当事人免责：</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1.不可抗力；</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2.基金管理人</w:t>
      </w:r>
      <w:r w:rsidR="00C475C1" w:rsidRPr="00D36FA2">
        <w:rPr>
          <w:rFonts w:hint="eastAsia"/>
          <w:bCs/>
          <w:color w:val="000000"/>
          <w:sz w:val="24"/>
        </w:rPr>
        <w:t>和</w:t>
      </w:r>
      <w:r w:rsidR="00C475C1" w:rsidRPr="00D36FA2">
        <w:rPr>
          <w:bCs/>
          <w:color w:val="000000"/>
          <w:sz w:val="24"/>
        </w:rPr>
        <w:t>/</w:t>
      </w:r>
      <w:r w:rsidR="00C475C1" w:rsidRPr="00D36FA2">
        <w:rPr>
          <w:rFonts w:hint="eastAsia"/>
          <w:bCs/>
          <w:color w:val="000000"/>
          <w:sz w:val="24"/>
        </w:rPr>
        <w:t>或</w:t>
      </w:r>
      <w:r w:rsidRPr="00D36FA2">
        <w:rPr>
          <w:rFonts w:asciiTheme="minorEastAsia" w:eastAsiaTheme="minorEastAsia" w:hAnsiTheme="minorEastAsia" w:cs="Arial" w:hint="eastAsia"/>
          <w:sz w:val="24"/>
        </w:rPr>
        <w:t>基金托管人按照当时有效的法律法规或中国证监会的规定作为或不作为而造成的损失等；</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3.基金管理人由于按照基金合同规定的投资原则投资或不投资造成的直接损失损失等；</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4.非因基金管理人、基金托管人的故意或过失造成的计算机系统故障、网络故障、通讯故障、电力故障、计算机病毒攻击及其它意外事故所导致的损失等。</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5D40BF" w:rsidRPr="00D36FA2" w:rsidRDefault="005D40BF" w:rsidP="005D40BF">
      <w:pPr>
        <w:adjustRightInd w:val="0"/>
        <w:snapToGrid w:val="0"/>
        <w:spacing w:line="360" w:lineRule="auto"/>
        <w:ind w:firstLineChars="200" w:firstLine="480"/>
        <w:outlineLvl w:val="0"/>
        <w:rPr>
          <w:rFonts w:asciiTheme="minorEastAsia" w:eastAsiaTheme="minorEastAsia" w:hAnsiTheme="minorEastAsia" w:cs="Arial"/>
          <w:sz w:val="24"/>
        </w:rPr>
      </w:pPr>
      <w:r w:rsidRPr="00D36FA2">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D40BF" w:rsidRPr="00D36FA2" w:rsidRDefault="005D40BF" w:rsidP="005D40BF">
      <w:pPr>
        <w:adjustRightInd w:val="0"/>
        <w:snapToGrid w:val="0"/>
        <w:spacing w:line="360" w:lineRule="auto"/>
        <w:outlineLvl w:val="0"/>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5" w:name="_Toc124325902"/>
      <w:r w:rsidRPr="00D36FA2">
        <w:rPr>
          <w:rFonts w:asciiTheme="minorEastAsia" w:eastAsiaTheme="minorEastAsia" w:hAnsiTheme="minorEastAsia" w:hint="eastAsia"/>
          <w:sz w:val="24"/>
          <w:szCs w:val="24"/>
        </w:rPr>
        <w:t>十八、争议解决方式</w:t>
      </w:r>
      <w:bookmarkEnd w:id="95"/>
    </w:p>
    <w:p w:rsidR="005D40BF" w:rsidRPr="00D36FA2" w:rsidRDefault="00C475C1"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宋体" w:hAnsi="宋体" w:cs="Arial" w:hint="eastAsia"/>
          <w:sz w:val="24"/>
        </w:rPr>
        <w:t>各方当事人同意，</w:t>
      </w:r>
      <w:r w:rsidR="005D40BF" w:rsidRPr="00D36FA2">
        <w:rPr>
          <w:rFonts w:asciiTheme="minorEastAsia" w:eastAsiaTheme="minorEastAsia" w:hAnsiTheme="minorEastAsia" w:cs="Arial" w:hint="eastAsia"/>
          <w:sz w:val="24"/>
        </w:rPr>
        <w:t>因本协议</w:t>
      </w:r>
      <w:r w:rsidRPr="00D36FA2">
        <w:rPr>
          <w:rFonts w:asciiTheme="minorEastAsia" w:eastAsiaTheme="minorEastAsia" w:hAnsiTheme="minorEastAsia" w:cs="Arial" w:hint="eastAsia"/>
          <w:sz w:val="24"/>
        </w:rPr>
        <w:t>而</w:t>
      </w:r>
      <w:r w:rsidR="005D40BF" w:rsidRPr="00D36FA2">
        <w:rPr>
          <w:rFonts w:asciiTheme="minorEastAsia" w:eastAsiaTheme="minorEastAsia" w:hAnsiTheme="minorEastAsia" w:cs="Arial" w:hint="eastAsia"/>
          <w:sz w:val="24"/>
        </w:rPr>
        <w:t>产生</w:t>
      </w:r>
      <w:r w:rsidRPr="00D36FA2">
        <w:rPr>
          <w:rFonts w:asciiTheme="minorEastAsia" w:eastAsiaTheme="minorEastAsia" w:hAnsiTheme="minorEastAsia" w:cs="Arial" w:hint="eastAsia"/>
          <w:sz w:val="24"/>
        </w:rPr>
        <w:t>的</w:t>
      </w:r>
      <w:r w:rsidR="005D40BF" w:rsidRPr="00D36FA2">
        <w:rPr>
          <w:rFonts w:asciiTheme="minorEastAsia" w:eastAsiaTheme="minorEastAsia" w:hAnsiTheme="minorEastAsia" w:cs="Arial" w:hint="eastAsia"/>
          <w:sz w:val="24"/>
        </w:rPr>
        <w:t>或</w:t>
      </w:r>
      <w:r w:rsidRPr="00D36FA2">
        <w:rPr>
          <w:rFonts w:asciiTheme="minorEastAsia" w:eastAsiaTheme="minorEastAsia" w:hAnsiTheme="minorEastAsia" w:cs="Arial" w:hint="eastAsia"/>
          <w:sz w:val="24"/>
        </w:rPr>
        <w:t>本协议</w:t>
      </w:r>
      <w:r w:rsidR="005D40BF" w:rsidRPr="00D36FA2">
        <w:rPr>
          <w:rFonts w:asciiTheme="minorEastAsia" w:eastAsiaTheme="minorEastAsia" w:hAnsiTheme="minorEastAsia" w:cs="Arial" w:hint="eastAsia"/>
          <w:sz w:val="24"/>
        </w:rPr>
        <w:t>相关的</w:t>
      </w:r>
      <w:r w:rsidRPr="00D36FA2">
        <w:rPr>
          <w:rFonts w:asciiTheme="minorEastAsia" w:eastAsiaTheme="minorEastAsia" w:hAnsiTheme="minorEastAsia" w:cs="Arial" w:hint="eastAsia"/>
          <w:sz w:val="24"/>
        </w:rPr>
        <w:t>一切</w:t>
      </w:r>
      <w:r w:rsidR="005D40BF" w:rsidRPr="00D36FA2">
        <w:rPr>
          <w:rFonts w:asciiTheme="minorEastAsia" w:eastAsiaTheme="minorEastAsia" w:hAnsiTheme="minorEastAsia" w:cs="Arial" w:hint="eastAsia"/>
          <w:sz w:val="24"/>
        </w:rPr>
        <w:t>争议</w:t>
      </w:r>
      <w:r w:rsidRPr="00D36FA2">
        <w:rPr>
          <w:rFonts w:asciiTheme="minorEastAsia" w:eastAsiaTheme="minorEastAsia" w:hAnsiTheme="minorEastAsia" w:cs="Arial" w:hint="eastAsia"/>
          <w:sz w:val="24"/>
        </w:rPr>
        <w:t>，</w:t>
      </w:r>
      <w:r w:rsidRPr="00D36FA2">
        <w:rPr>
          <w:bCs/>
          <w:sz w:val="24"/>
        </w:rPr>
        <w:t>如经友好协商未能解决的，</w:t>
      </w:r>
      <w:r w:rsidRPr="00D36FA2">
        <w:rPr>
          <w:rFonts w:hint="eastAsia"/>
          <w:bCs/>
          <w:color w:val="000000"/>
          <w:sz w:val="24"/>
        </w:rPr>
        <w:t>均</w:t>
      </w:r>
      <w:r w:rsidRPr="00D36FA2">
        <w:rPr>
          <w:bCs/>
          <w:sz w:val="24"/>
        </w:rPr>
        <w:t>应提交</w:t>
      </w:r>
      <w:r w:rsidR="005D40BF" w:rsidRPr="00D36FA2">
        <w:rPr>
          <w:rFonts w:asciiTheme="minorEastAsia" w:eastAsiaTheme="minorEastAsia" w:hAnsiTheme="minorEastAsia" w:cs="Arial" w:hint="eastAsia"/>
          <w:sz w:val="24"/>
        </w:rPr>
        <w:t>中国国际经济贸易仲裁委员会</w:t>
      </w:r>
      <w:r w:rsidR="00DE1CE6" w:rsidRPr="00D36FA2">
        <w:rPr>
          <w:rFonts w:hint="eastAsia"/>
          <w:bCs/>
          <w:color w:val="000000"/>
          <w:sz w:val="24"/>
        </w:rPr>
        <w:t>按照申请仲裁时该会届时有效的仲裁规则进行</w:t>
      </w:r>
      <w:r w:rsidR="00DE1CE6" w:rsidRPr="00D36FA2">
        <w:rPr>
          <w:rFonts w:hint="eastAsia"/>
          <w:bCs/>
          <w:sz w:val="24"/>
        </w:rPr>
        <w:t>仲裁</w:t>
      </w:r>
      <w:r w:rsidR="005D40BF" w:rsidRPr="00D36FA2">
        <w:rPr>
          <w:rFonts w:asciiTheme="minorEastAsia" w:eastAsiaTheme="minorEastAsia" w:hAnsiTheme="minorEastAsia" w:cs="Arial" w:hint="eastAsia"/>
          <w:sz w:val="24"/>
        </w:rPr>
        <w:t>，仲裁地点为北京市。仲裁裁决是终局的，</w:t>
      </w:r>
      <w:r w:rsidR="00DE1CE6" w:rsidRPr="00D36FA2">
        <w:rPr>
          <w:rFonts w:asciiTheme="minorEastAsia" w:eastAsiaTheme="minorEastAsia" w:hAnsiTheme="minorEastAsia" w:cs="Arial" w:hint="eastAsia"/>
          <w:sz w:val="24"/>
        </w:rPr>
        <w:t>并</w:t>
      </w:r>
      <w:r w:rsidR="005D40BF" w:rsidRPr="00D36FA2">
        <w:rPr>
          <w:rFonts w:asciiTheme="minorEastAsia" w:eastAsiaTheme="minorEastAsia" w:hAnsiTheme="minorEastAsia" w:cs="Arial" w:hint="eastAsia"/>
          <w:sz w:val="24"/>
        </w:rPr>
        <w:t>对当事人均有约束力，仲裁费用由败诉方承担。</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本协议受中国法律管辖。</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6" w:name="_Toc124325903"/>
      <w:r w:rsidRPr="00D36FA2">
        <w:rPr>
          <w:rFonts w:asciiTheme="minorEastAsia" w:eastAsiaTheme="minorEastAsia" w:hAnsiTheme="minorEastAsia" w:hint="eastAsia"/>
          <w:sz w:val="24"/>
          <w:szCs w:val="24"/>
        </w:rPr>
        <w:lastRenderedPageBreak/>
        <w:t>十九、托管协议的效力</w:t>
      </w:r>
      <w:bookmarkEnd w:id="96"/>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双方对托管协议的效力约定如下：</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w:t>
      </w:r>
      <w:bookmarkStart w:id="97" w:name="_GoBack"/>
      <w:r w:rsidRPr="00D36FA2">
        <w:rPr>
          <w:rFonts w:asciiTheme="minorEastAsia" w:eastAsiaTheme="minorEastAsia" w:hAnsiTheme="minorEastAsia" w:cs="Arial" w:hint="eastAsia"/>
          <w:sz w:val="24"/>
        </w:rPr>
        <w:t>草案</w:t>
      </w:r>
      <w:bookmarkEnd w:id="97"/>
      <w:r w:rsidRPr="00D36FA2">
        <w:rPr>
          <w:rFonts w:asciiTheme="minorEastAsia" w:eastAsiaTheme="minorEastAsia" w:hAnsiTheme="minorEastAsia" w:cs="Arial" w:hint="eastAsia"/>
          <w:sz w:val="24"/>
        </w:rPr>
        <w:t>。托管协议以中国证监会</w:t>
      </w:r>
      <w:r w:rsidR="00DE1CE6" w:rsidRPr="00D36FA2">
        <w:rPr>
          <w:rFonts w:asciiTheme="minorEastAsia" w:eastAsiaTheme="minorEastAsia" w:hAnsiTheme="minorEastAsia" w:cs="Arial" w:hint="eastAsia"/>
          <w:sz w:val="24"/>
        </w:rPr>
        <w:t>注册</w:t>
      </w:r>
      <w:r w:rsidRPr="00D36FA2">
        <w:rPr>
          <w:rFonts w:asciiTheme="minorEastAsia" w:eastAsiaTheme="minorEastAsia" w:hAnsiTheme="minorEastAsia" w:cs="Arial" w:hint="eastAsia"/>
          <w:sz w:val="24"/>
        </w:rPr>
        <w:t>的文本为正式文本。</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（三）托管协议自生效之日起对托管协议当事人具有同等的法律约束力。</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sz w:val="24"/>
        </w:rPr>
      </w:pPr>
      <w:r w:rsidRPr="00D36FA2">
        <w:rPr>
          <w:rFonts w:asciiTheme="minorEastAsia" w:eastAsiaTheme="minorEastAsia" w:hAnsiTheme="minorEastAsia" w:cs="Arial" w:hint="eastAsia"/>
          <w:sz w:val="24"/>
        </w:rPr>
        <w:t>（四）本协议一式六份，协议双方各持二份，上报监管机构二份，每份具有同等的法律效力。</w:t>
      </w:r>
    </w:p>
    <w:p w:rsidR="005D40BF" w:rsidRPr="00D36FA2" w:rsidRDefault="005D40BF" w:rsidP="005D40BF">
      <w:pPr>
        <w:adjustRightInd w:val="0"/>
        <w:snapToGrid w:val="0"/>
        <w:spacing w:line="360" w:lineRule="auto"/>
        <w:rPr>
          <w:rFonts w:asciiTheme="minorEastAsia" w:eastAsiaTheme="minorEastAsia" w:hAnsiTheme="minorEastAsia" w:cs="Arial"/>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8" w:name="_Toc124325904"/>
      <w:r w:rsidRPr="00D36FA2">
        <w:rPr>
          <w:rFonts w:asciiTheme="minorEastAsia" w:eastAsiaTheme="minorEastAsia" w:hAnsiTheme="minorEastAsia" w:hint="eastAsia"/>
          <w:sz w:val="24"/>
          <w:szCs w:val="24"/>
        </w:rPr>
        <w:t>二十、其他事项</w:t>
      </w:r>
      <w:bookmarkEnd w:id="98"/>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如发生有权司法机关依法冻结基金份额持有人的基金份额时，基金管理人应予以配合，承担司法协助义务。</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rsidR="005D40BF" w:rsidRPr="00D36FA2" w:rsidRDefault="005D40BF" w:rsidP="005D40BF">
      <w:pPr>
        <w:adjustRightInd w:val="0"/>
        <w:snapToGrid w:val="0"/>
        <w:spacing w:line="360" w:lineRule="auto"/>
        <w:rPr>
          <w:rFonts w:asciiTheme="minorEastAsia" w:eastAsiaTheme="minorEastAsia" w:hAnsiTheme="minorEastAsia"/>
          <w:b/>
          <w:bCs/>
          <w:sz w:val="24"/>
        </w:rPr>
      </w:pPr>
    </w:p>
    <w:p w:rsidR="005D40BF" w:rsidRPr="00D36FA2" w:rsidRDefault="005D40BF" w:rsidP="005D40BF">
      <w:pPr>
        <w:pStyle w:val="2"/>
        <w:spacing w:line="360" w:lineRule="auto"/>
        <w:jc w:val="center"/>
        <w:rPr>
          <w:rFonts w:asciiTheme="minorEastAsia" w:eastAsiaTheme="minorEastAsia" w:hAnsiTheme="minorEastAsia"/>
          <w:sz w:val="24"/>
          <w:szCs w:val="24"/>
        </w:rPr>
      </w:pPr>
      <w:bookmarkStart w:id="99" w:name="_Toc124325905"/>
      <w:r w:rsidRPr="00D36FA2">
        <w:rPr>
          <w:rFonts w:asciiTheme="minorEastAsia" w:eastAsiaTheme="minorEastAsia" w:hAnsiTheme="minorEastAsia" w:hint="eastAsia"/>
          <w:sz w:val="24"/>
          <w:szCs w:val="24"/>
        </w:rPr>
        <w:t>二十一、托管协议的签订</w:t>
      </w:r>
      <w:bookmarkEnd w:id="99"/>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pPr>
      <w:r w:rsidRPr="00D36FA2">
        <w:rPr>
          <w:rFonts w:asciiTheme="minorEastAsia" w:eastAsiaTheme="minorEastAsia" w:hAnsiTheme="minorEastAsia" w:cs="Arial" w:hint="eastAsia"/>
          <w:sz w:val="24"/>
        </w:rPr>
        <w:t>本协议双方法定代表人或授权代表签章、签订地、签订日</w:t>
      </w:r>
    </w:p>
    <w:p w:rsidR="005D40BF" w:rsidRPr="00D36FA2" w:rsidRDefault="005D40BF" w:rsidP="005D40BF">
      <w:pPr>
        <w:adjustRightInd w:val="0"/>
        <w:snapToGrid w:val="0"/>
        <w:spacing w:line="360" w:lineRule="auto"/>
        <w:ind w:firstLineChars="200" w:firstLine="480"/>
        <w:rPr>
          <w:rFonts w:asciiTheme="minorEastAsia" w:eastAsiaTheme="minorEastAsia" w:hAnsiTheme="minorEastAsia" w:cs="Arial"/>
          <w:sz w:val="24"/>
        </w:rPr>
        <w:sectPr w:rsidR="005D40BF" w:rsidRPr="00D36FA2">
          <w:headerReference w:type="default" r:id="rId10"/>
          <w:pgSz w:w="11906" w:h="16838" w:code="9"/>
          <w:pgMar w:top="1418" w:right="1701" w:bottom="1418" w:left="1701" w:header="851" w:footer="992" w:gutter="0"/>
          <w:cols w:space="425"/>
          <w:docGrid w:type="lines" w:linePitch="312"/>
        </w:sectPr>
      </w:pPr>
    </w:p>
    <w:p w:rsidR="005D40BF" w:rsidRPr="00D36FA2" w:rsidRDefault="005D40BF" w:rsidP="005D40BF">
      <w:pPr>
        <w:spacing w:line="360" w:lineRule="auto"/>
        <w:ind w:right="26"/>
        <w:rPr>
          <w:rFonts w:asciiTheme="minorEastAsia" w:eastAsiaTheme="minorEastAsia" w:hAnsiTheme="minorEastAsia"/>
          <w:sz w:val="24"/>
        </w:rPr>
      </w:pPr>
      <w:r w:rsidRPr="00D36FA2">
        <w:rPr>
          <w:rFonts w:asciiTheme="minorEastAsia" w:eastAsiaTheme="minorEastAsia" w:hAnsiTheme="minorEastAsia" w:hint="eastAsia"/>
          <w:sz w:val="24"/>
        </w:rPr>
        <w:lastRenderedPageBreak/>
        <w:t>本页无正文，为《</w:t>
      </w:r>
      <w:r w:rsidR="00DE1CE6" w:rsidRPr="00D36FA2">
        <w:rPr>
          <w:rFonts w:hint="eastAsia"/>
          <w:bCs/>
          <w:sz w:val="24"/>
        </w:rPr>
        <w:t>富国</w:t>
      </w:r>
      <w:r w:rsidR="008171EB" w:rsidRPr="00D36FA2">
        <w:rPr>
          <w:rFonts w:hint="eastAsia"/>
          <w:bCs/>
          <w:sz w:val="24"/>
        </w:rPr>
        <w:t>鼎利</w:t>
      </w:r>
      <w:r w:rsidR="00DE1CE6" w:rsidRPr="00D36FA2">
        <w:rPr>
          <w:rFonts w:hint="eastAsia"/>
          <w:bCs/>
          <w:sz w:val="24"/>
        </w:rPr>
        <w:t>纯债债券型发起式</w:t>
      </w:r>
      <w:r w:rsidRPr="00D36FA2">
        <w:rPr>
          <w:rFonts w:asciiTheme="minorEastAsia" w:eastAsiaTheme="minorEastAsia" w:hAnsiTheme="minorEastAsia" w:hint="eastAsia"/>
          <w:sz w:val="24"/>
        </w:rPr>
        <w:t>证券投资基金托管协议》的签字盖章页。</w:t>
      </w: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spacing w:line="360" w:lineRule="auto"/>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r w:rsidRPr="00D36FA2">
        <w:rPr>
          <w:rFonts w:asciiTheme="minorEastAsia" w:eastAsiaTheme="minorEastAsia" w:hAnsiTheme="minorEastAsia" w:hint="eastAsia"/>
          <w:sz w:val="24"/>
        </w:rPr>
        <w:t>基金管理人：</w:t>
      </w:r>
      <w:r w:rsidR="00DE1CE6" w:rsidRPr="00D36FA2">
        <w:rPr>
          <w:rFonts w:asciiTheme="minorEastAsia" w:eastAsiaTheme="minorEastAsia" w:hAnsiTheme="minorEastAsia" w:hint="eastAsia"/>
          <w:sz w:val="24"/>
        </w:rPr>
        <w:t>富国</w:t>
      </w:r>
      <w:r w:rsidRPr="00D36FA2">
        <w:rPr>
          <w:rFonts w:asciiTheme="minorEastAsia" w:eastAsiaTheme="minorEastAsia" w:hAnsiTheme="minorEastAsia" w:hint="eastAsia"/>
          <w:sz w:val="24"/>
        </w:rPr>
        <w:t>基金管理有限公司（盖章）</w:t>
      </w: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r w:rsidRPr="00D36FA2">
        <w:rPr>
          <w:rFonts w:asciiTheme="minorEastAsia" w:eastAsiaTheme="minorEastAsia" w:hAnsiTheme="minorEastAsia" w:hint="eastAsia"/>
          <w:sz w:val="24"/>
        </w:rPr>
        <w:t xml:space="preserve">法定代表人或授权代表：                   </w:t>
      </w: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r w:rsidRPr="00D36FA2">
        <w:rPr>
          <w:rFonts w:asciiTheme="minorEastAsia" w:eastAsiaTheme="minorEastAsia" w:hAnsiTheme="minorEastAsia" w:hint="eastAsia"/>
          <w:sz w:val="24"/>
        </w:rPr>
        <w:t>基金托管人：中国建设银行股份有限公司（盖章）</w:t>
      </w: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p>
    <w:p w:rsidR="005D40BF" w:rsidRPr="00D36FA2" w:rsidRDefault="005D40BF" w:rsidP="005D40BF">
      <w:pPr>
        <w:spacing w:line="360" w:lineRule="auto"/>
        <w:ind w:right="26"/>
        <w:rPr>
          <w:rFonts w:asciiTheme="minorEastAsia" w:eastAsiaTheme="minorEastAsia" w:hAnsiTheme="minorEastAsia"/>
          <w:sz w:val="24"/>
        </w:rPr>
      </w:pPr>
      <w:r w:rsidRPr="00D36FA2">
        <w:rPr>
          <w:rFonts w:asciiTheme="minorEastAsia" w:eastAsiaTheme="minorEastAsia" w:hAnsiTheme="minorEastAsia" w:hint="eastAsia"/>
          <w:sz w:val="24"/>
        </w:rPr>
        <w:t xml:space="preserve">法定代表人或授权代表：                   </w:t>
      </w:r>
    </w:p>
    <w:p w:rsidR="005D40BF" w:rsidRPr="00D36FA2" w:rsidRDefault="005D40BF" w:rsidP="005D40BF">
      <w:pPr>
        <w:spacing w:line="360" w:lineRule="auto"/>
        <w:ind w:right="26"/>
        <w:rPr>
          <w:rFonts w:asciiTheme="minorEastAsia" w:eastAsiaTheme="minorEastAsia" w:hAnsiTheme="minorEastAsia"/>
          <w:b/>
          <w:sz w:val="24"/>
          <w:szCs w:val="28"/>
        </w:rPr>
      </w:pPr>
    </w:p>
    <w:p w:rsidR="005D40BF" w:rsidRPr="00D36FA2" w:rsidRDefault="005D40BF" w:rsidP="005D40BF">
      <w:pPr>
        <w:spacing w:line="360" w:lineRule="auto"/>
        <w:ind w:right="26"/>
        <w:rPr>
          <w:rFonts w:asciiTheme="minorEastAsia" w:eastAsiaTheme="minorEastAsia" w:hAnsiTheme="minorEastAsia"/>
          <w:b/>
          <w:sz w:val="24"/>
          <w:szCs w:val="28"/>
        </w:rPr>
      </w:pPr>
    </w:p>
    <w:p w:rsidR="005D40BF" w:rsidRPr="00D36FA2" w:rsidRDefault="005D40BF" w:rsidP="005D40BF">
      <w:pPr>
        <w:spacing w:line="360" w:lineRule="auto"/>
        <w:ind w:right="26"/>
        <w:rPr>
          <w:rFonts w:asciiTheme="minorEastAsia" w:eastAsiaTheme="minorEastAsia" w:hAnsiTheme="minorEastAsia"/>
          <w:b/>
          <w:sz w:val="24"/>
          <w:szCs w:val="28"/>
        </w:rPr>
      </w:pPr>
    </w:p>
    <w:p w:rsidR="00B62617" w:rsidRPr="00D36FA2" w:rsidRDefault="00B62617" w:rsidP="005D40BF">
      <w:pPr>
        <w:spacing w:line="360" w:lineRule="auto"/>
        <w:ind w:right="26"/>
        <w:rPr>
          <w:rFonts w:asciiTheme="minorEastAsia" w:eastAsiaTheme="minorEastAsia" w:hAnsiTheme="minorEastAsia"/>
          <w:b/>
          <w:sz w:val="24"/>
          <w:szCs w:val="28"/>
        </w:rPr>
      </w:pPr>
    </w:p>
    <w:p w:rsidR="005D40BF" w:rsidRPr="00D36FA2" w:rsidRDefault="005D40BF" w:rsidP="005D40BF">
      <w:pPr>
        <w:spacing w:line="360" w:lineRule="auto"/>
        <w:ind w:right="26"/>
        <w:rPr>
          <w:rFonts w:asciiTheme="minorEastAsia" w:eastAsiaTheme="minorEastAsia" w:hAnsiTheme="minorEastAsia"/>
          <w:b/>
          <w:sz w:val="24"/>
          <w:szCs w:val="28"/>
        </w:rPr>
      </w:pPr>
      <w:r w:rsidRPr="00D36FA2">
        <w:rPr>
          <w:rFonts w:asciiTheme="minorEastAsia" w:eastAsiaTheme="minorEastAsia" w:hAnsiTheme="minorEastAsia" w:hint="eastAsia"/>
          <w:b/>
          <w:sz w:val="24"/>
          <w:szCs w:val="28"/>
        </w:rPr>
        <w:t>签订地点：北京</w:t>
      </w:r>
    </w:p>
    <w:p w:rsidR="005D40BF" w:rsidRPr="005D40BF" w:rsidRDefault="005D40BF" w:rsidP="005D40BF">
      <w:pPr>
        <w:spacing w:line="360" w:lineRule="auto"/>
        <w:ind w:right="26"/>
        <w:rPr>
          <w:rFonts w:asciiTheme="minorEastAsia" w:eastAsiaTheme="minorEastAsia" w:hAnsiTheme="minorEastAsia"/>
          <w:b/>
          <w:sz w:val="24"/>
          <w:szCs w:val="28"/>
        </w:rPr>
      </w:pPr>
      <w:r w:rsidRPr="00D36FA2">
        <w:rPr>
          <w:rFonts w:asciiTheme="minorEastAsia" w:eastAsiaTheme="minorEastAsia" w:hAnsiTheme="minorEastAsia" w:hint="eastAsia"/>
          <w:b/>
          <w:sz w:val="24"/>
          <w:szCs w:val="28"/>
        </w:rPr>
        <w:t>签 订 日：二零一</w:t>
      </w:r>
      <w:r w:rsidR="00B62617" w:rsidRPr="00D36FA2">
        <w:rPr>
          <w:rFonts w:asciiTheme="minorEastAsia" w:eastAsiaTheme="minorEastAsia" w:hAnsiTheme="minorEastAsia" w:hint="eastAsia"/>
          <w:b/>
          <w:sz w:val="24"/>
          <w:szCs w:val="28"/>
        </w:rPr>
        <w:t xml:space="preserve">  </w:t>
      </w:r>
      <w:r w:rsidRPr="00D36FA2">
        <w:rPr>
          <w:rFonts w:asciiTheme="minorEastAsia" w:eastAsiaTheme="minorEastAsia" w:hAnsiTheme="minorEastAsia" w:hint="eastAsia"/>
          <w:b/>
          <w:sz w:val="24"/>
          <w:szCs w:val="28"/>
        </w:rPr>
        <w:t>年</w:t>
      </w:r>
      <w:r w:rsidR="00B62617" w:rsidRPr="00D36FA2">
        <w:rPr>
          <w:rFonts w:asciiTheme="minorEastAsia" w:eastAsiaTheme="minorEastAsia" w:hAnsiTheme="minorEastAsia" w:hint="eastAsia"/>
          <w:b/>
          <w:sz w:val="24"/>
          <w:szCs w:val="28"/>
        </w:rPr>
        <w:t xml:space="preserve">  </w:t>
      </w:r>
      <w:r w:rsidRPr="00D36FA2">
        <w:rPr>
          <w:rFonts w:asciiTheme="minorEastAsia" w:eastAsiaTheme="minorEastAsia" w:hAnsiTheme="minorEastAsia" w:hint="eastAsia"/>
          <w:b/>
          <w:sz w:val="24"/>
          <w:szCs w:val="28"/>
        </w:rPr>
        <w:t>月</w:t>
      </w:r>
      <w:r w:rsidR="00B62617" w:rsidRPr="00D36FA2">
        <w:rPr>
          <w:rFonts w:asciiTheme="minorEastAsia" w:eastAsiaTheme="minorEastAsia" w:hAnsiTheme="minorEastAsia" w:hint="eastAsia"/>
          <w:b/>
          <w:sz w:val="24"/>
          <w:szCs w:val="28"/>
        </w:rPr>
        <w:t xml:space="preserve">  </w:t>
      </w:r>
      <w:r w:rsidRPr="00D36FA2">
        <w:rPr>
          <w:rFonts w:asciiTheme="minorEastAsia" w:eastAsiaTheme="minorEastAsia" w:hAnsiTheme="minorEastAsia" w:hint="eastAsia"/>
          <w:b/>
          <w:sz w:val="24"/>
          <w:szCs w:val="28"/>
        </w:rPr>
        <w:t>日</w:t>
      </w:r>
    </w:p>
    <w:p w:rsidR="005D40BF" w:rsidRPr="005D40BF" w:rsidRDefault="005D40BF" w:rsidP="005D40BF">
      <w:pPr>
        <w:adjustRightInd w:val="0"/>
        <w:snapToGrid w:val="0"/>
        <w:rPr>
          <w:rFonts w:asciiTheme="minorEastAsia" w:eastAsiaTheme="minorEastAsia" w:hAnsiTheme="minorEastAsia" w:cs="Arial"/>
          <w:sz w:val="24"/>
        </w:rPr>
      </w:pPr>
    </w:p>
    <w:p w:rsidR="00B62617" w:rsidRPr="005D40BF" w:rsidRDefault="00B62617">
      <w:pPr>
        <w:rPr>
          <w:rFonts w:asciiTheme="minorEastAsia" w:eastAsiaTheme="minorEastAsia" w:hAnsiTheme="minorEastAsia"/>
        </w:rPr>
      </w:pPr>
    </w:p>
    <w:sectPr w:rsidR="00B62617" w:rsidRPr="005D40BF" w:rsidSect="00B62617">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A9" w:rsidRDefault="00E97DA9" w:rsidP="005D40BF">
      <w:r>
        <w:separator/>
      </w:r>
    </w:p>
  </w:endnote>
  <w:endnote w:type="continuationSeparator" w:id="0">
    <w:p w:rsidR="00E97DA9" w:rsidRDefault="00E97DA9" w:rsidP="005D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84" w:rsidRDefault="00884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84884" w:rsidRDefault="008848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84" w:rsidRDefault="008848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7964">
      <w:rPr>
        <w:rStyle w:val="a6"/>
        <w:noProof/>
      </w:rPr>
      <w:t>36</w:t>
    </w:r>
    <w:r>
      <w:rPr>
        <w:rStyle w:val="a6"/>
      </w:rPr>
      <w:fldChar w:fldCharType="end"/>
    </w:r>
  </w:p>
  <w:p w:rsidR="00884884" w:rsidRDefault="008848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84" w:rsidRDefault="008848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A9" w:rsidRDefault="00E97DA9" w:rsidP="005D40BF">
      <w:r>
        <w:separator/>
      </w:r>
    </w:p>
  </w:footnote>
  <w:footnote w:type="continuationSeparator" w:id="0">
    <w:p w:rsidR="00E97DA9" w:rsidRDefault="00E97DA9" w:rsidP="005D4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84" w:rsidRDefault="00884884">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884" w:rsidRDefault="008848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30"/>
    <w:rsid w:val="0000056A"/>
    <w:rsid w:val="00035A9E"/>
    <w:rsid w:val="00043C54"/>
    <w:rsid w:val="00086A81"/>
    <w:rsid w:val="0010665D"/>
    <w:rsid w:val="00187964"/>
    <w:rsid w:val="00187BAE"/>
    <w:rsid w:val="001B60F2"/>
    <w:rsid w:val="001B7539"/>
    <w:rsid w:val="001C396A"/>
    <w:rsid w:val="001C510F"/>
    <w:rsid w:val="002617A7"/>
    <w:rsid w:val="00297860"/>
    <w:rsid w:val="003432BA"/>
    <w:rsid w:val="003530E8"/>
    <w:rsid w:val="00391918"/>
    <w:rsid w:val="003C0602"/>
    <w:rsid w:val="003C513B"/>
    <w:rsid w:val="003D0670"/>
    <w:rsid w:val="003E631F"/>
    <w:rsid w:val="004247F7"/>
    <w:rsid w:val="004302AD"/>
    <w:rsid w:val="0045306A"/>
    <w:rsid w:val="00471322"/>
    <w:rsid w:val="004A1ECB"/>
    <w:rsid w:val="0050719F"/>
    <w:rsid w:val="00530897"/>
    <w:rsid w:val="00552740"/>
    <w:rsid w:val="005577B0"/>
    <w:rsid w:val="00562F9D"/>
    <w:rsid w:val="00583057"/>
    <w:rsid w:val="005D40BF"/>
    <w:rsid w:val="00635A84"/>
    <w:rsid w:val="00645F37"/>
    <w:rsid w:val="00681704"/>
    <w:rsid w:val="006828A2"/>
    <w:rsid w:val="00690189"/>
    <w:rsid w:val="006970E7"/>
    <w:rsid w:val="006C54BB"/>
    <w:rsid w:val="006D744B"/>
    <w:rsid w:val="00770345"/>
    <w:rsid w:val="008159DA"/>
    <w:rsid w:val="00815CD7"/>
    <w:rsid w:val="008171EB"/>
    <w:rsid w:val="00823172"/>
    <w:rsid w:val="0085297C"/>
    <w:rsid w:val="00884884"/>
    <w:rsid w:val="008B278E"/>
    <w:rsid w:val="008D14E7"/>
    <w:rsid w:val="008E1D95"/>
    <w:rsid w:val="0093687A"/>
    <w:rsid w:val="00955CD6"/>
    <w:rsid w:val="00970C7A"/>
    <w:rsid w:val="00982158"/>
    <w:rsid w:val="00982B77"/>
    <w:rsid w:val="009A1F72"/>
    <w:rsid w:val="009D6BA3"/>
    <w:rsid w:val="009D6ED8"/>
    <w:rsid w:val="009E6D7E"/>
    <w:rsid w:val="00A31604"/>
    <w:rsid w:val="00A40773"/>
    <w:rsid w:val="00A804F0"/>
    <w:rsid w:val="00AA7009"/>
    <w:rsid w:val="00AC2BAC"/>
    <w:rsid w:val="00AF06D3"/>
    <w:rsid w:val="00B040B9"/>
    <w:rsid w:val="00B06A4C"/>
    <w:rsid w:val="00B62617"/>
    <w:rsid w:val="00B6568C"/>
    <w:rsid w:val="00C23D2D"/>
    <w:rsid w:val="00C427F4"/>
    <w:rsid w:val="00C475C1"/>
    <w:rsid w:val="00C53112"/>
    <w:rsid w:val="00D36FA2"/>
    <w:rsid w:val="00D77AA5"/>
    <w:rsid w:val="00D95722"/>
    <w:rsid w:val="00DD0285"/>
    <w:rsid w:val="00DD5F02"/>
    <w:rsid w:val="00DE1CE6"/>
    <w:rsid w:val="00E37500"/>
    <w:rsid w:val="00E97DA9"/>
    <w:rsid w:val="00EA79CC"/>
    <w:rsid w:val="00EB71E2"/>
    <w:rsid w:val="00EE0371"/>
    <w:rsid w:val="00EE4AEB"/>
    <w:rsid w:val="00EF11CC"/>
    <w:rsid w:val="00F42B30"/>
    <w:rsid w:val="00F4367B"/>
    <w:rsid w:val="00F64F9D"/>
    <w:rsid w:val="00F738A1"/>
    <w:rsid w:val="00FC2A58"/>
    <w:rsid w:val="00FD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B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D40B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D4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D40BF"/>
    <w:rPr>
      <w:sz w:val="18"/>
      <w:szCs w:val="18"/>
    </w:rPr>
  </w:style>
  <w:style w:type="paragraph" w:styleId="a5">
    <w:name w:val="footer"/>
    <w:basedOn w:val="a"/>
    <w:link w:val="Char0"/>
    <w:unhideWhenUsed/>
    <w:rsid w:val="005D40BF"/>
    <w:pPr>
      <w:tabs>
        <w:tab w:val="center" w:pos="4153"/>
        <w:tab w:val="right" w:pos="8306"/>
      </w:tabs>
      <w:snapToGrid w:val="0"/>
      <w:jc w:val="left"/>
    </w:pPr>
    <w:rPr>
      <w:sz w:val="18"/>
      <w:szCs w:val="18"/>
    </w:rPr>
  </w:style>
  <w:style w:type="character" w:customStyle="1" w:styleId="Char0">
    <w:name w:val="页脚 Char"/>
    <w:basedOn w:val="a1"/>
    <w:link w:val="a5"/>
    <w:uiPriority w:val="99"/>
    <w:rsid w:val="005D40BF"/>
    <w:rPr>
      <w:sz w:val="18"/>
      <w:szCs w:val="18"/>
    </w:rPr>
  </w:style>
  <w:style w:type="character" w:customStyle="1" w:styleId="2Char">
    <w:name w:val="标题 2 Char"/>
    <w:basedOn w:val="a1"/>
    <w:link w:val="2"/>
    <w:rsid w:val="005D40BF"/>
    <w:rPr>
      <w:rFonts w:ascii="Arial" w:eastAsia="黑体" w:hAnsi="Arial" w:cs="Times New Roman"/>
      <w:b/>
      <w:sz w:val="32"/>
      <w:szCs w:val="20"/>
    </w:rPr>
  </w:style>
  <w:style w:type="character" w:styleId="a6">
    <w:name w:val="page number"/>
    <w:basedOn w:val="a1"/>
    <w:rsid w:val="005D40BF"/>
  </w:style>
  <w:style w:type="paragraph" w:styleId="a7">
    <w:name w:val="Normal (Web)"/>
    <w:basedOn w:val="a"/>
    <w:rsid w:val="005D40B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D40BF"/>
    <w:rPr>
      <w:b/>
      <w:bCs/>
    </w:rPr>
  </w:style>
  <w:style w:type="character" w:styleId="a9">
    <w:name w:val="Hyperlink"/>
    <w:rsid w:val="005D40BF"/>
    <w:rPr>
      <w:color w:val="0000FF"/>
      <w:u w:val="single"/>
    </w:rPr>
  </w:style>
  <w:style w:type="paragraph" w:customStyle="1" w:styleId="wz1">
    <w:name w:val="wz1"/>
    <w:basedOn w:val="a"/>
    <w:rsid w:val="005D40B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D40B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D40BF"/>
    <w:rPr>
      <w:rFonts w:ascii="仿宋_GB2312" w:eastAsia="仿宋_GB2312" w:hAnsi="Times New Roman" w:cs="Times New Roman"/>
      <w:color w:val="000000"/>
      <w:kern w:val="0"/>
      <w:sz w:val="24"/>
      <w:szCs w:val="28"/>
    </w:rPr>
  </w:style>
  <w:style w:type="character" w:customStyle="1" w:styleId="read">
    <w:name w:val="read"/>
    <w:basedOn w:val="a1"/>
    <w:rsid w:val="005D40BF"/>
  </w:style>
  <w:style w:type="paragraph" w:styleId="a0">
    <w:name w:val="Normal Indent"/>
    <w:basedOn w:val="a"/>
    <w:rsid w:val="005D40BF"/>
    <w:pPr>
      <w:ind w:firstLineChars="200" w:firstLine="420"/>
    </w:pPr>
  </w:style>
  <w:style w:type="paragraph" w:styleId="ab">
    <w:name w:val="Body Text Indent"/>
    <w:basedOn w:val="a"/>
    <w:link w:val="Char2"/>
    <w:rsid w:val="005D40B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D40BF"/>
    <w:rPr>
      <w:rFonts w:ascii="Times New Roman" w:eastAsia="方正仿宋简体" w:hAnsi="Times New Roman" w:cs="Times New Roman"/>
      <w:sz w:val="24"/>
      <w:szCs w:val="30"/>
    </w:rPr>
  </w:style>
  <w:style w:type="paragraph" w:styleId="20">
    <w:name w:val="Body Text Indent 2"/>
    <w:basedOn w:val="a"/>
    <w:link w:val="2Char0"/>
    <w:rsid w:val="005D40BF"/>
    <w:pPr>
      <w:spacing w:line="360" w:lineRule="auto"/>
      <w:ind w:firstLine="525"/>
    </w:pPr>
    <w:rPr>
      <w:rFonts w:ascii="宋体" w:hAnsi="宋体"/>
      <w:sz w:val="28"/>
      <w:szCs w:val="20"/>
    </w:rPr>
  </w:style>
  <w:style w:type="character" w:customStyle="1" w:styleId="2Char0">
    <w:name w:val="正文文本缩进 2 Char"/>
    <w:basedOn w:val="a1"/>
    <w:link w:val="20"/>
    <w:rsid w:val="005D40BF"/>
    <w:rPr>
      <w:rFonts w:ascii="宋体" w:eastAsia="宋体" w:hAnsi="宋体" w:cs="Times New Roman"/>
      <w:sz w:val="28"/>
      <w:szCs w:val="20"/>
    </w:rPr>
  </w:style>
  <w:style w:type="paragraph" w:styleId="3">
    <w:name w:val="Body Text Indent 3"/>
    <w:basedOn w:val="a"/>
    <w:link w:val="3Char"/>
    <w:rsid w:val="005D40B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D40BF"/>
    <w:rPr>
      <w:rFonts w:ascii="仿宋_GB2312" w:eastAsia="仿宋_GB2312" w:hAnsi="宋体" w:cs="Arial"/>
      <w:color w:val="000000"/>
      <w:sz w:val="24"/>
      <w:szCs w:val="24"/>
    </w:rPr>
  </w:style>
  <w:style w:type="paragraph" w:styleId="1">
    <w:name w:val="toc 1"/>
    <w:basedOn w:val="a"/>
    <w:next w:val="a"/>
    <w:autoRedefine/>
    <w:semiHidden/>
    <w:rsid w:val="005D40BF"/>
  </w:style>
  <w:style w:type="paragraph" w:styleId="21">
    <w:name w:val="toc 2"/>
    <w:basedOn w:val="a"/>
    <w:next w:val="a"/>
    <w:autoRedefine/>
    <w:semiHidden/>
    <w:rsid w:val="005D40BF"/>
    <w:pPr>
      <w:ind w:leftChars="200" w:left="420"/>
    </w:pPr>
  </w:style>
  <w:style w:type="paragraph" w:styleId="30">
    <w:name w:val="toc 3"/>
    <w:basedOn w:val="a"/>
    <w:next w:val="a"/>
    <w:autoRedefine/>
    <w:semiHidden/>
    <w:rsid w:val="005D40BF"/>
    <w:pPr>
      <w:ind w:leftChars="400" w:left="840"/>
    </w:pPr>
  </w:style>
  <w:style w:type="paragraph" w:styleId="4">
    <w:name w:val="toc 4"/>
    <w:basedOn w:val="a"/>
    <w:next w:val="a"/>
    <w:autoRedefine/>
    <w:semiHidden/>
    <w:rsid w:val="005D40BF"/>
    <w:pPr>
      <w:ind w:leftChars="600" w:left="1260"/>
    </w:pPr>
  </w:style>
  <w:style w:type="paragraph" w:styleId="5">
    <w:name w:val="toc 5"/>
    <w:basedOn w:val="a"/>
    <w:next w:val="a"/>
    <w:autoRedefine/>
    <w:semiHidden/>
    <w:rsid w:val="005D40BF"/>
    <w:pPr>
      <w:ind w:leftChars="800" w:left="1680"/>
    </w:pPr>
  </w:style>
  <w:style w:type="paragraph" w:styleId="6">
    <w:name w:val="toc 6"/>
    <w:basedOn w:val="a"/>
    <w:next w:val="a"/>
    <w:autoRedefine/>
    <w:semiHidden/>
    <w:rsid w:val="005D40BF"/>
    <w:pPr>
      <w:ind w:leftChars="1000" w:left="2100"/>
    </w:pPr>
  </w:style>
  <w:style w:type="paragraph" w:styleId="7">
    <w:name w:val="toc 7"/>
    <w:basedOn w:val="a"/>
    <w:next w:val="a"/>
    <w:autoRedefine/>
    <w:semiHidden/>
    <w:rsid w:val="005D40BF"/>
    <w:pPr>
      <w:ind w:leftChars="1200" w:left="2520"/>
    </w:pPr>
  </w:style>
  <w:style w:type="paragraph" w:styleId="8">
    <w:name w:val="toc 8"/>
    <w:basedOn w:val="a"/>
    <w:next w:val="a"/>
    <w:autoRedefine/>
    <w:semiHidden/>
    <w:rsid w:val="005D40BF"/>
    <w:pPr>
      <w:ind w:leftChars="1400" w:left="2940"/>
    </w:pPr>
  </w:style>
  <w:style w:type="paragraph" w:styleId="9">
    <w:name w:val="toc 9"/>
    <w:basedOn w:val="a"/>
    <w:next w:val="a"/>
    <w:autoRedefine/>
    <w:semiHidden/>
    <w:rsid w:val="005D40BF"/>
    <w:pPr>
      <w:ind w:leftChars="1600" w:left="3360"/>
    </w:pPr>
  </w:style>
  <w:style w:type="paragraph" w:styleId="ac">
    <w:name w:val="Balloon Text"/>
    <w:basedOn w:val="a"/>
    <w:link w:val="Char3"/>
    <w:semiHidden/>
    <w:rsid w:val="005D40BF"/>
    <w:rPr>
      <w:sz w:val="18"/>
      <w:szCs w:val="18"/>
    </w:rPr>
  </w:style>
  <w:style w:type="character" w:customStyle="1" w:styleId="Char3">
    <w:name w:val="批注框文本 Char"/>
    <w:basedOn w:val="a1"/>
    <w:link w:val="ac"/>
    <w:semiHidden/>
    <w:rsid w:val="005D40BF"/>
    <w:rPr>
      <w:rFonts w:ascii="Times New Roman" w:eastAsia="宋体" w:hAnsi="Times New Roman" w:cs="Times New Roman"/>
      <w:sz w:val="18"/>
      <w:szCs w:val="18"/>
    </w:rPr>
  </w:style>
  <w:style w:type="paragraph" w:customStyle="1" w:styleId="Char4">
    <w:name w:val="Char"/>
    <w:basedOn w:val="a"/>
    <w:rsid w:val="005D40BF"/>
  </w:style>
  <w:style w:type="paragraph" w:customStyle="1" w:styleId="Char10">
    <w:name w:val="Char1"/>
    <w:basedOn w:val="a"/>
    <w:autoRedefine/>
    <w:rsid w:val="005D40B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D40BF"/>
  </w:style>
  <w:style w:type="character" w:styleId="ad">
    <w:name w:val="annotation reference"/>
    <w:semiHidden/>
    <w:rsid w:val="005D40BF"/>
    <w:rPr>
      <w:sz w:val="21"/>
      <w:szCs w:val="21"/>
    </w:rPr>
  </w:style>
  <w:style w:type="paragraph" w:styleId="ae">
    <w:name w:val="annotation text"/>
    <w:basedOn w:val="a"/>
    <w:link w:val="Char5"/>
    <w:rsid w:val="005D40BF"/>
    <w:pPr>
      <w:jc w:val="left"/>
    </w:pPr>
  </w:style>
  <w:style w:type="character" w:customStyle="1" w:styleId="Char5">
    <w:name w:val="批注文字 Char"/>
    <w:basedOn w:val="a1"/>
    <w:link w:val="ae"/>
    <w:rsid w:val="005D40B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D40BF"/>
  </w:style>
  <w:style w:type="paragraph" w:customStyle="1" w:styleId="CharChar">
    <w:name w:val="Char Char"/>
    <w:basedOn w:val="a"/>
    <w:rsid w:val="005D40BF"/>
    <w:rPr>
      <w:szCs w:val="20"/>
    </w:rPr>
  </w:style>
  <w:style w:type="paragraph" w:styleId="HTML">
    <w:name w:val="HTML Preformatted"/>
    <w:basedOn w:val="a"/>
    <w:link w:val="HTMLChar"/>
    <w:uiPriority w:val="99"/>
    <w:unhideWhenUsed/>
    <w:rsid w:val="005D4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D40BF"/>
    <w:rPr>
      <w:rFonts w:ascii="宋体" w:eastAsia="宋体" w:hAnsi="宋体" w:cs="宋体"/>
      <w:kern w:val="0"/>
      <w:sz w:val="24"/>
      <w:szCs w:val="24"/>
    </w:rPr>
  </w:style>
  <w:style w:type="paragraph" w:styleId="af">
    <w:name w:val="annotation subject"/>
    <w:basedOn w:val="ae"/>
    <w:next w:val="ae"/>
    <w:link w:val="Char6"/>
    <w:rsid w:val="005D40BF"/>
    <w:rPr>
      <w:b/>
      <w:bCs/>
    </w:rPr>
  </w:style>
  <w:style w:type="character" w:customStyle="1" w:styleId="Char6">
    <w:name w:val="批注主题 Char"/>
    <w:basedOn w:val="Char5"/>
    <w:link w:val="af"/>
    <w:rsid w:val="005D40BF"/>
    <w:rPr>
      <w:rFonts w:ascii="Times New Roman" w:eastAsia="宋体" w:hAnsi="Times New Roman" w:cs="Times New Roman"/>
      <w:b/>
      <w:bCs/>
      <w:szCs w:val="24"/>
    </w:rPr>
  </w:style>
  <w:style w:type="paragraph" w:customStyle="1" w:styleId="af0">
    <w:uiPriority w:val="99"/>
    <w:unhideWhenUsed/>
    <w:rsid w:val="005D40BF"/>
    <w:pPr>
      <w:widowControl w:val="0"/>
      <w:jc w:val="both"/>
    </w:pPr>
    <w:rPr>
      <w:rFonts w:ascii="Times New Roman" w:eastAsia="宋体" w:hAnsi="Times New Roman" w:cs="Times New Roman"/>
      <w:szCs w:val="24"/>
    </w:rPr>
  </w:style>
  <w:style w:type="paragraph" w:styleId="af1">
    <w:name w:val="Revision"/>
    <w:hidden/>
    <w:uiPriority w:val="99"/>
    <w:semiHidden/>
    <w:rsid w:val="005D40BF"/>
    <w:rPr>
      <w:rFonts w:ascii="Times New Roman" w:eastAsia="宋体" w:hAnsi="Times New Roman" w:cs="Times New Roman"/>
      <w:szCs w:val="24"/>
    </w:rPr>
  </w:style>
  <w:style w:type="character" w:styleId="af2">
    <w:name w:val="FollowedHyperlink"/>
    <w:basedOn w:val="a1"/>
    <w:uiPriority w:val="99"/>
    <w:semiHidden/>
    <w:unhideWhenUsed/>
    <w:rsid w:val="005D40BF"/>
    <w:rPr>
      <w:color w:val="800080" w:themeColor="followedHyperlink"/>
      <w:u w:val="single"/>
    </w:rPr>
  </w:style>
  <w:style w:type="paragraph" w:customStyle="1" w:styleId="CharChar0">
    <w:name w:val="Char Char"/>
    <w:basedOn w:val="a"/>
    <w:rsid w:val="005D40BF"/>
    <w:rPr>
      <w:szCs w:val="20"/>
    </w:rPr>
  </w:style>
  <w:style w:type="paragraph" w:customStyle="1" w:styleId="Default">
    <w:name w:val="Default"/>
    <w:rsid w:val="001B7539"/>
    <w:pPr>
      <w:widowControl w:val="0"/>
      <w:autoSpaceDE w:val="0"/>
      <w:autoSpaceDN w:val="0"/>
      <w:adjustRightInd w:val="0"/>
    </w:pPr>
    <w:rPr>
      <w:rFonts w:ascii="Times New Roman" w:hAnsi="Times New Roman" w:cs="Times New Roman"/>
      <w:color w:val="000000"/>
      <w:kern w:val="0"/>
      <w:sz w:val="24"/>
      <w:szCs w:val="24"/>
    </w:rPr>
  </w:style>
  <w:style w:type="paragraph" w:customStyle="1" w:styleId="CharChar1">
    <w:name w:val="Char Char"/>
    <w:basedOn w:val="a"/>
    <w:rsid w:val="00B62617"/>
    <w:rPr>
      <w:szCs w:val="20"/>
    </w:rPr>
  </w:style>
  <w:style w:type="paragraph" w:customStyle="1" w:styleId="CharChar2">
    <w:name w:val="Char Char"/>
    <w:basedOn w:val="a"/>
    <w:rsid w:val="001B60F2"/>
    <w:rPr>
      <w:szCs w:val="20"/>
    </w:rPr>
  </w:style>
  <w:style w:type="paragraph" w:customStyle="1" w:styleId="CharChar3">
    <w:name w:val="Char Char"/>
    <w:basedOn w:val="a"/>
    <w:rsid w:val="0000056A"/>
    <w:rPr>
      <w:szCs w:val="20"/>
    </w:rPr>
  </w:style>
  <w:style w:type="paragraph" w:customStyle="1" w:styleId="CharChar4">
    <w:name w:val="Char Char"/>
    <w:basedOn w:val="a"/>
    <w:rsid w:val="008159DA"/>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B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D40B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D4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D40BF"/>
    <w:rPr>
      <w:sz w:val="18"/>
      <w:szCs w:val="18"/>
    </w:rPr>
  </w:style>
  <w:style w:type="paragraph" w:styleId="a5">
    <w:name w:val="footer"/>
    <w:basedOn w:val="a"/>
    <w:link w:val="Char0"/>
    <w:unhideWhenUsed/>
    <w:rsid w:val="005D40BF"/>
    <w:pPr>
      <w:tabs>
        <w:tab w:val="center" w:pos="4153"/>
        <w:tab w:val="right" w:pos="8306"/>
      </w:tabs>
      <w:snapToGrid w:val="0"/>
      <w:jc w:val="left"/>
    </w:pPr>
    <w:rPr>
      <w:sz w:val="18"/>
      <w:szCs w:val="18"/>
    </w:rPr>
  </w:style>
  <w:style w:type="character" w:customStyle="1" w:styleId="Char0">
    <w:name w:val="页脚 Char"/>
    <w:basedOn w:val="a1"/>
    <w:link w:val="a5"/>
    <w:uiPriority w:val="99"/>
    <w:rsid w:val="005D40BF"/>
    <w:rPr>
      <w:sz w:val="18"/>
      <w:szCs w:val="18"/>
    </w:rPr>
  </w:style>
  <w:style w:type="character" w:customStyle="1" w:styleId="2Char">
    <w:name w:val="标题 2 Char"/>
    <w:basedOn w:val="a1"/>
    <w:link w:val="2"/>
    <w:rsid w:val="005D40BF"/>
    <w:rPr>
      <w:rFonts w:ascii="Arial" w:eastAsia="黑体" w:hAnsi="Arial" w:cs="Times New Roman"/>
      <w:b/>
      <w:sz w:val="32"/>
      <w:szCs w:val="20"/>
    </w:rPr>
  </w:style>
  <w:style w:type="character" w:styleId="a6">
    <w:name w:val="page number"/>
    <w:basedOn w:val="a1"/>
    <w:rsid w:val="005D40BF"/>
  </w:style>
  <w:style w:type="paragraph" w:styleId="a7">
    <w:name w:val="Normal (Web)"/>
    <w:basedOn w:val="a"/>
    <w:rsid w:val="005D40B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D40BF"/>
    <w:rPr>
      <w:b/>
      <w:bCs/>
    </w:rPr>
  </w:style>
  <w:style w:type="character" w:styleId="a9">
    <w:name w:val="Hyperlink"/>
    <w:rsid w:val="005D40BF"/>
    <w:rPr>
      <w:color w:val="0000FF"/>
      <w:u w:val="single"/>
    </w:rPr>
  </w:style>
  <w:style w:type="paragraph" w:customStyle="1" w:styleId="wz1">
    <w:name w:val="wz1"/>
    <w:basedOn w:val="a"/>
    <w:rsid w:val="005D40B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D40B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D40BF"/>
    <w:rPr>
      <w:rFonts w:ascii="仿宋_GB2312" w:eastAsia="仿宋_GB2312" w:hAnsi="Times New Roman" w:cs="Times New Roman"/>
      <w:color w:val="000000"/>
      <w:kern w:val="0"/>
      <w:sz w:val="24"/>
      <w:szCs w:val="28"/>
    </w:rPr>
  </w:style>
  <w:style w:type="character" w:customStyle="1" w:styleId="read">
    <w:name w:val="read"/>
    <w:basedOn w:val="a1"/>
    <w:rsid w:val="005D40BF"/>
  </w:style>
  <w:style w:type="paragraph" w:styleId="a0">
    <w:name w:val="Normal Indent"/>
    <w:basedOn w:val="a"/>
    <w:rsid w:val="005D40BF"/>
    <w:pPr>
      <w:ind w:firstLineChars="200" w:firstLine="420"/>
    </w:pPr>
  </w:style>
  <w:style w:type="paragraph" w:styleId="ab">
    <w:name w:val="Body Text Indent"/>
    <w:basedOn w:val="a"/>
    <w:link w:val="Char2"/>
    <w:rsid w:val="005D40B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D40BF"/>
    <w:rPr>
      <w:rFonts w:ascii="Times New Roman" w:eastAsia="方正仿宋简体" w:hAnsi="Times New Roman" w:cs="Times New Roman"/>
      <w:sz w:val="24"/>
      <w:szCs w:val="30"/>
    </w:rPr>
  </w:style>
  <w:style w:type="paragraph" w:styleId="20">
    <w:name w:val="Body Text Indent 2"/>
    <w:basedOn w:val="a"/>
    <w:link w:val="2Char0"/>
    <w:rsid w:val="005D40BF"/>
    <w:pPr>
      <w:spacing w:line="360" w:lineRule="auto"/>
      <w:ind w:firstLine="525"/>
    </w:pPr>
    <w:rPr>
      <w:rFonts w:ascii="宋体" w:hAnsi="宋体"/>
      <w:sz w:val="28"/>
      <w:szCs w:val="20"/>
    </w:rPr>
  </w:style>
  <w:style w:type="character" w:customStyle="1" w:styleId="2Char0">
    <w:name w:val="正文文本缩进 2 Char"/>
    <w:basedOn w:val="a1"/>
    <w:link w:val="20"/>
    <w:rsid w:val="005D40BF"/>
    <w:rPr>
      <w:rFonts w:ascii="宋体" w:eastAsia="宋体" w:hAnsi="宋体" w:cs="Times New Roman"/>
      <w:sz w:val="28"/>
      <w:szCs w:val="20"/>
    </w:rPr>
  </w:style>
  <w:style w:type="paragraph" w:styleId="3">
    <w:name w:val="Body Text Indent 3"/>
    <w:basedOn w:val="a"/>
    <w:link w:val="3Char"/>
    <w:rsid w:val="005D40B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D40BF"/>
    <w:rPr>
      <w:rFonts w:ascii="仿宋_GB2312" w:eastAsia="仿宋_GB2312" w:hAnsi="宋体" w:cs="Arial"/>
      <w:color w:val="000000"/>
      <w:sz w:val="24"/>
      <w:szCs w:val="24"/>
    </w:rPr>
  </w:style>
  <w:style w:type="paragraph" w:styleId="1">
    <w:name w:val="toc 1"/>
    <w:basedOn w:val="a"/>
    <w:next w:val="a"/>
    <w:autoRedefine/>
    <w:semiHidden/>
    <w:rsid w:val="005D40BF"/>
  </w:style>
  <w:style w:type="paragraph" w:styleId="21">
    <w:name w:val="toc 2"/>
    <w:basedOn w:val="a"/>
    <w:next w:val="a"/>
    <w:autoRedefine/>
    <w:semiHidden/>
    <w:rsid w:val="005D40BF"/>
    <w:pPr>
      <w:ind w:leftChars="200" w:left="420"/>
    </w:pPr>
  </w:style>
  <w:style w:type="paragraph" w:styleId="30">
    <w:name w:val="toc 3"/>
    <w:basedOn w:val="a"/>
    <w:next w:val="a"/>
    <w:autoRedefine/>
    <w:semiHidden/>
    <w:rsid w:val="005D40BF"/>
    <w:pPr>
      <w:ind w:leftChars="400" w:left="840"/>
    </w:pPr>
  </w:style>
  <w:style w:type="paragraph" w:styleId="4">
    <w:name w:val="toc 4"/>
    <w:basedOn w:val="a"/>
    <w:next w:val="a"/>
    <w:autoRedefine/>
    <w:semiHidden/>
    <w:rsid w:val="005D40BF"/>
    <w:pPr>
      <w:ind w:leftChars="600" w:left="1260"/>
    </w:pPr>
  </w:style>
  <w:style w:type="paragraph" w:styleId="5">
    <w:name w:val="toc 5"/>
    <w:basedOn w:val="a"/>
    <w:next w:val="a"/>
    <w:autoRedefine/>
    <w:semiHidden/>
    <w:rsid w:val="005D40BF"/>
    <w:pPr>
      <w:ind w:leftChars="800" w:left="1680"/>
    </w:pPr>
  </w:style>
  <w:style w:type="paragraph" w:styleId="6">
    <w:name w:val="toc 6"/>
    <w:basedOn w:val="a"/>
    <w:next w:val="a"/>
    <w:autoRedefine/>
    <w:semiHidden/>
    <w:rsid w:val="005D40BF"/>
    <w:pPr>
      <w:ind w:leftChars="1000" w:left="2100"/>
    </w:pPr>
  </w:style>
  <w:style w:type="paragraph" w:styleId="7">
    <w:name w:val="toc 7"/>
    <w:basedOn w:val="a"/>
    <w:next w:val="a"/>
    <w:autoRedefine/>
    <w:semiHidden/>
    <w:rsid w:val="005D40BF"/>
    <w:pPr>
      <w:ind w:leftChars="1200" w:left="2520"/>
    </w:pPr>
  </w:style>
  <w:style w:type="paragraph" w:styleId="8">
    <w:name w:val="toc 8"/>
    <w:basedOn w:val="a"/>
    <w:next w:val="a"/>
    <w:autoRedefine/>
    <w:semiHidden/>
    <w:rsid w:val="005D40BF"/>
    <w:pPr>
      <w:ind w:leftChars="1400" w:left="2940"/>
    </w:pPr>
  </w:style>
  <w:style w:type="paragraph" w:styleId="9">
    <w:name w:val="toc 9"/>
    <w:basedOn w:val="a"/>
    <w:next w:val="a"/>
    <w:autoRedefine/>
    <w:semiHidden/>
    <w:rsid w:val="005D40BF"/>
    <w:pPr>
      <w:ind w:leftChars="1600" w:left="3360"/>
    </w:pPr>
  </w:style>
  <w:style w:type="paragraph" w:styleId="ac">
    <w:name w:val="Balloon Text"/>
    <w:basedOn w:val="a"/>
    <w:link w:val="Char3"/>
    <w:semiHidden/>
    <w:rsid w:val="005D40BF"/>
    <w:rPr>
      <w:sz w:val="18"/>
      <w:szCs w:val="18"/>
    </w:rPr>
  </w:style>
  <w:style w:type="character" w:customStyle="1" w:styleId="Char3">
    <w:name w:val="批注框文本 Char"/>
    <w:basedOn w:val="a1"/>
    <w:link w:val="ac"/>
    <w:semiHidden/>
    <w:rsid w:val="005D40BF"/>
    <w:rPr>
      <w:rFonts w:ascii="Times New Roman" w:eastAsia="宋体" w:hAnsi="Times New Roman" w:cs="Times New Roman"/>
      <w:sz w:val="18"/>
      <w:szCs w:val="18"/>
    </w:rPr>
  </w:style>
  <w:style w:type="paragraph" w:customStyle="1" w:styleId="Char4">
    <w:name w:val="Char"/>
    <w:basedOn w:val="a"/>
    <w:rsid w:val="005D40BF"/>
  </w:style>
  <w:style w:type="paragraph" w:customStyle="1" w:styleId="Char10">
    <w:name w:val="Char1"/>
    <w:basedOn w:val="a"/>
    <w:autoRedefine/>
    <w:rsid w:val="005D40B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D40BF"/>
  </w:style>
  <w:style w:type="character" w:styleId="ad">
    <w:name w:val="annotation reference"/>
    <w:semiHidden/>
    <w:rsid w:val="005D40BF"/>
    <w:rPr>
      <w:sz w:val="21"/>
      <w:szCs w:val="21"/>
    </w:rPr>
  </w:style>
  <w:style w:type="paragraph" w:styleId="ae">
    <w:name w:val="annotation text"/>
    <w:basedOn w:val="a"/>
    <w:link w:val="Char5"/>
    <w:rsid w:val="005D40BF"/>
    <w:pPr>
      <w:jc w:val="left"/>
    </w:pPr>
  </w:style>
  <w:style w:type="character" w:customStyle="1" w:styleId="Char5">
    <w:name w:val="批注文字 Char"/>
    <w:basedOn w:val="a1"/>
    <w:link w:val="ae"/>
    <w:rsid w:val="005D40B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D40BF"/>
  </w:style>
  <w:style w:type="paragraph" w:customStyle="1" w:styleId="CharChar">
    <w:name w:val="Char Char"/>
    <w:basedOn w:val="a"/>
    <w:rsid w:val="005D40BF"/>
    <w:rPr>
      <w:szCs w:val="20"/>
    </w:rPr>
  </w:style>
  <w:style w:type="paragraph" w:styleId="HTML">
    <w:name w:val="HTML Preformatted"/>
    <w:basedOn w:val="a"/>
    <w:link w:val="HTMLChar"/>
    <w:uiPriority w:val="99"/>
    <w:unhideWhenUsed/>
    <w:rsid w:val="005D4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D40BF"/>
    <w:rPr>
      <w:rFonts w:ascii="宋体" w:eastAsia="宋体" w:hAnsi="宋体" w:cs="宋体"/>
      <w:kern w:val="0"/>
      <w:sz w:val="24"/>
      <w:szCs w:val="24"/>
    </w:rPr>
  </w:style>
  <w:style w:type="paragraph" w:styleId="af">
    <w:name w:val="annotation subject"/>
    <w:basedOn w:val="ae"/>
    <w:next w:val="ae"/>
    <w:link w:val="Char6"/>
    <w:rsid w:val="005D40BF"/>
    <w:rPr>
      <w:b/>
      <w:bCs/>
    </w:rPr>
  </w:style>
  <w:style w:type="character" w:customStyle="1" w:styleId="Char6">
    <w:name w:val="批注主题 Char"/>
    <w:basedOn w:val="Char5"/>
    <w:link w:val="af"/>
    <w:rsid w:val="005D40BF"/>
    <w:rPr>
      <w:rFonts w:ascii="Times New Roman" w:eastAsia="宋体" w:hAnsi="Times New Roman" w:cs="Times New Roman"/>
      <w:b/>
      <w:bCs/>
      <w:szCs w:val="24"/>
    </w:rPr>
  </w:style>
  <w:style w:type="paragraph" w:customStyle="1" w:styleId="af0">
    <w:uiPriority w:val="99"/>
    <w:unhideWhenUsed/>
    <w:rsid w:val="005D40BF"/>
    <w:pPr>
      <w:widowControl w:val="0"/>
      <w:jc w:val="both"/>
    </w:pPr>
    <w:rPr>
      <w:rFonts w:ascii="Times New Roman" w:eastAsia="宋体" w:hAnsi="Times New Roman" w:cs="Times New Roman"/>
      <w:szCs w:val="24"/>
    </w:rPr>
  </w:style>
  <w:style w:type="paragraph" w:styleId="af1">
    <w:name w:val="Revision"/>
    <w:hidden/>
    <w:uiPriority w:val="99"/>
    <w:semiHidden/>
    <w:rsid w:val="005D40BF"/>
    <w:rPr>
      <w:rFonts w:ascii="Times New Roman" w:eastAsia="宋体" w:hAnsi="Times New Roman" w:cs="Times New Roman"/>
      <w:szCs w:val="24"/>
    </w:rPr>
  </w:style>
  <w:style w:type="character" w:styleId="af2">
    <w:name w:val="FollowedHyperlink"/>
    <w:basedOn w:val="a1"/>
    <w:uiPriority w:val="99"/>
    <w:semiHidden/>
    <w:unhideWhenUsed/>
    <w:rsid w:val="005D40BF"/>
    <w:rPr>
      <w:color w:val="800080" w:themeColor="followedHyperlink"/>
      <w:u w:val="single"/>
    </w:rPr>
  </w:style>
  <w:style w:type="paragraph" w:customStyle="1" w:styleId="CharChar0">
    <w:name w:val="Char Char"/>
    <w:basedOn w:val="a"/>
    <w:rsid w:val="005D40BF"/>
    <w:rPr>
      <w:szCs w:val="20"/>
    </w:rPr>
  </w:style>
  <w:style w:type="paragraph" w:customStyle="1" w:styleId="Default">
    <w:name w:val="Default"/>
    <w:rsid w:val="001B7539"/>
    <w:pPr>
      <w:widowControl w:val="0"/>
      <w:autoSpaceDE w:val="0"/>
      <w:autoSpaceDN w:val="0"/>
      <w:adjustRightInd w:val="0"/>
    </w:pPr>
    <w:rPr>
      <w:rFonts w:ascii="Times New Roman" w:hAnsi="Times New Roman" w:cs="Times New Roman"/>
      <w:color w:val="000000"/>
      <w:kern w:val="0"/>
      <w:sz w:val="24"/>
      <w:szCs w:val="24"/>
    </w:rPr>
  </w:style>
  <w:style w:type="paragraph" w:customStyle="1" w:styleId="CharChar1">
    <w:name w:val="Char Char"/>
    <w:basedOn w:val="a"/>
    <w:rsid w:val="00B62617"/>
    <w:rPr>
      <w:szCs w:val="20"/>
    </w:rPr>
  </w:style>
  <w:style w:type="paragraph" w:customStyle="1" w:styleId="CharChar2">
    <w:name w:val="Char Char"/>
    <w:basedOn w:val="a"/>
    <w:rsid w:val="001B60F2"/>
    <w:rPr>
      <w:szCs w:val="20"/>
    </w:rPr>
  </w:style>
  <w:style w:type="paragraph" w:customStyle="1" w:styleId="CharChar3">
    <w:name w:val="Char Char"/>
    <w:basedOn w:val="a"/>
    <w:rsid w:val="0000056A"/>
    <w:rPr>
      <w:szCs w:val="20"/>
    </w:rPr>
  </w:style>
  <w:style w:type="paragraph" w:customStyle="1" w:styleId="CharChar4">
    <w:name w:val="Char Char"/>
    <w:basedOn w:val="a"/>
    <w:rsid w:val="008159D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4260</Words>
  <Characters>24286</Characters>
  <Application>Microsoft Office Word</Application>
  <DocSecurity>0</DocSecurity>
  <Lines>202</Lines>
  <Paragraphs>56</Paragraphs>
  <ScaleCrop>false</ScaleCrop>
  <Company>MS</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pjy0929</dc:creator>
  <cp:lastModifiedBy>pjy</cp:lastModifiedBy>
  <cp:revision>2</cp:revision>
  <dcterms:created xsi:type="dcterms:W3CDTF">2017-05-17T06:14:00Z</dcterms:created>
  <dcterms:modified xsi:type="dcterms:W3CDTF">2017-05-17T06:14:00Z</dcterms:modified>
</cp:coreProperties>
</file>