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sz w:val="24"/>
        </w:rPr>
      </w:pPr>
    </w:p>
    <w:p w:rsidR="002940F0" w:rsidRPr="002940F0" w:rsidRDefault="002940F0" w:rsidP="002940F0">
      <w:pPr>
        <w:adjustRightInd w:val="0"/>
        <w:snapToGrid w:val="0"/>
        <w:jc w:val="center"/>
        <w:rPr>
          <w:rFonts w:ascii="宋体" w:hAnsi="宋体" w:cs="Arial"/>
          <w:b/>
          <w:sz w:val="44"/>
        </w:rPr>
      </w:pPr>
      <w:r w:rsidRPr="002940F0">
        <w:rPr>
          <w:rFonts w:ascii="宋体" w:hAnsi="宋体" w:cs="Arial" w:hint="eastAsia"/>
          <w:b/>
          <w:sz w:val="44"/>
        </w:rPr>
        <w:t>富国产业升级混合型证券投资基金</w:t>
      </w:r>
    </w:p>
    <w:p w:rsidR="002940F0" w:rsidRPr="002940F0" w:rsidRDefault="002940F0" w:rsidP="002940F0">
      <w:pPr>
        <w:adjustRightInd w:val="0"/>
        <w:snapToGrid w:val="0"/>
        <w:jc w:val="center"/>
        <w:rPr>
          <w:rFonts w:ascii="宋体" w:hAnsi="宋体" w:cs="Arial"/>
          <w:b/>
          <w:sz w:val="44"/>
        </w:rPr>
      </w:pPr>
      <w:r w:rsidRPr="002940F0">
        <w:rPr>
          <w:rFonts w:ascii="宋体" w:hAnsi="宋体" w:cs="Arial" w:hint="eastAsia"/>
          <w:b/>
          <w:sz w:val="44"/>
        </w:rPr>
        <w:t>托管协议</w:t>
      </w: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b/>
          <w:bCs/>
          <w:sz w:val="28"/>
        </w:rPr>
      </w:pPr>
      <w:r w:rsidRPr="002940F0">
        <w:rPr>
          <w:rFonts w:ascii="宋体" w:hAnsi="宋体" w:cs="Arial" w:hint="eastAsia"/>
          <w:b/>
          <w:bCs/>
          <w:sz w:val="28"/>
        </w:rPr>
        <w:t xml:space="preserve">   基金管理人：富国基金管理有限公司</w:t>
      </w:r>
    </w:p>
    <w:p w:rsidR="002940F0" w:rsidRPr="002940F0" w:rsidRDefault="002940F0" w:rsidP="002940F0">
      <w:pPr>
        <w:adjustRightInd w:val="0"/>
        <w:snapToGrid w:val="0"/>
        <w:jc w:val="center"/>
        <w:outlineLvl w:val="0"/>
        <w:rPr>
          <w:rFonts w:ascii="宋体" w:hAnsi="宋体" w:cs="Arial"/>
          <w:b/>
          <w:bCs/>
          <w:sz w:val="28"/>
        </w:rPr>
      </w:pPr>
      <w:r w:rsidRPr="002940F0">
        <w:rPr>
          <w:rFonts w:ascii="宋体" w:hAnsi="宋体" w:cs="Arial" w:hint="eastAsia"/>
          <w:b/>
          <w:bCs/>
          <w:sz w:val="28"/>
        </w:rPr>
        <w:t xml:space="preserve">       基金托管人：中国建设银行股份有限公司</w:t>
      </w: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outlineLvl w:val="0"/>
        <w:rPr>
          <w:rFonts w:ascii="宋体" w:hAnsi="宋体" w:cs="Arial"/>
          <w:sz w:val="24"/>
        </w:rPr>
      </w:pPr>
      <w:r w:rsidRPr="002940F0">
        <w:rPr>
          <w:rFonts w:ascii="宋体" w:hAnsi="宋体" w:cs="Arial" w:hint="eastAsia"/>
          <w:sz w:val="24"/>
        </w:rPr>
        <w:t xml:space="preserve">                            二零一</w:t>
      </w:r>
      <w:r w:rsidR="00A5352A">
        <w:rPr>
          <w:rFonts w:ascii="宋体" w:hAnsi="宋体" w:cs="Arial" w:hint="eastAsia"/>
          <w:sz w:val="24"/>
        </w:rPr>
        <w:t>七</w:t>
      </w:r>
      <w:r w:rsidRPr="002940F0">
        <w:rPr>
          <w:rFonts w:ascii="宋体" w:hAnsi="宋体" w:cs="Arial" w:hint="eastAsia"/>
          <w:sz w:val="24"/>
        </w:rPr>
        <w:t>年</w:t>
      </w:r>
      <w:r w:rsidR="00A5352A">
        <w:rPr>
          <w:rFonts w:ascii="宋体" w:hAnsi="宋体" w:cs="Arial" w:hint="eastAsia"/>
          <w:sz w:val="24"/>
        </w:rPr>
        <w:t>五</w:t>
      </w:r>
      <w:r w:rsidRPr="002940F0">
        <w:rPr>
          <w:rFonts w:ascii="宋体" w:hAnsi="宋体" w:cs="Arial" w:hint="eastAsia"/>
          <w:sz w:val="24"/>
        </w:rPr>
        <w:t>月</w:t>
      </w:r>
    </w:p>
    <w:p w:rsidR="002940F0" w:rsidRPr="002940F0" w:rsidRDefault="002940F0" w:rsidP="002940F0">
      <w:pPr>
        <w:adjustRightInd w:val="0"/>
        <w:snapToGrid w:val="0"/>
        <w:jc w:val="center"/>
        <w:outlineLvl w:val="0"/>
        <w:rPr>
          <w:rFonts w:ascii="宋体" w:hAnsi="宋体" w:cs="Arial"/>
          <w:sz w:val="24"/>
        </w:rPr>
      </w:pPr>
    </w:p>
    <w:p w:rsidR="002940F0" w:rsidRPr="002940F0" w:rsidRDefault="002940F0" w:rsidP="002940F0">
      <w:pPr>
        <w:adjustRightInd w:val="0"/>
        <w:snapToGrid w:val="0"/>
        <w:jc w:val="center"/>
        <w:rPr>
          <w:rFonts w:ascii="宋体" w:hAnsi="宋体" w:cs="Arial"/>
          <w:bCs/>
          <w:sz w:val="24"/>
        </w:rPr>
      </w:pPr>
    </w:p>
    <w:p w:rsidR="002940F0" w:rsidRPr="002940F0" w:rsidRDefault="002940F0" w:rsidP="002940F0">
      <w:pPr>
        <w:adjustRightInd w:val="0"/>
        <w:snapToGrid w:val="0"/>
        <w:jc w:val="center"/>
        <w:rPr>
          <w:rFonts w:ascii="宋体" w:hAnsi="宋体" w:cs="Arial"/>
          <w:bCs/>
          <w:sz w:val="24"/>
        </w:rPr>
      </w:pPr>
    </w:p>
    <w:p w:rsidR="002940F0" w:rsidRPr="002940F0" w:rsidRDefault="002940F0" w:rsidP="002940F0">
      <w:pPr>
        <w:adjustRightInd w:val="0"/>
        <w:snapToGrid w:val="0"/>
        <w:jc w:val="center"/>
        <w:rPr>
          <w:rFonts w:ascii="宋体" w:hAnsi="宋体" w:cs="Arial"/>
          <w:bCs/>
          <w:sz w:val="24"/>
        </w:rPr>
      </w:pPr>
    </w:p>
    <w:p w:rsidR="002940F0" w:rsidRPr="002940F0" w:rsidRDefault="002940F0" w:rsidP="002940F0">
      <w:pPr>
        <w:adjustRightInd w:val="0"/>
        <w:snapToGrid w:val="0"/>
        <w:jc w:val="center"/>
        <w:rPr>
          <w:rFonts w:ascii="宋体" w:hAnsi="宋体" w:cs="Arial"/>
          <w:bCs/>
          <w:sz w:val="24"/>
        </w:rPr>
      </w:pPr>
    </w:p>
    <w:p w:rsidR="002940F0" w:rsidRPr="002940F0" w:rsidRDefault="002940F0" w:rsidP="002940F0">
      <w:pPr>
        <w:adjustRightInd w:val="0"/>
        <w:snapToGrid w:val="0"/>
        <w:jc w:val="center"/>
        <w:rPr>
          <w:rFonts w:ascii="宋体" w:hAnsi="宋体" w:cs="Arial"/>
          <w:bCs/>
          <w:sz w:val="24"/>
        </w:rPr>
      </w:pPr>
    </w:p>
    <w:p w:rsidR="002940F0" w:rsidRPr="002940F0" w:rsidRDefault="002940F0" w:rsidP="002940F0">
      <w:pPr>
        <w:adjustRightInd w:val="0"/>
        <w:snapToGrid w:val="0"/>
        <w:jc w:val="center"/>
        <w:rPr>
          <w:rFonts w:ascii="宋体" w:hAnsi="宋体" w:cs="Arial"/>
          <w:bCs/>
          <w:sz w:val="24"/>
        </w:rPr>
      </w:pPr>
    </w:p>
    <w:p w:rsidR="002940F0" w:rsidRPr="002940F0" w:rsidRDefault="002940F0" w:rsidP="002940F0">
      <w:pPr>
        <w:adjustRightInd w:val="0"/>
        <w:snapToGrid w:val="0"/>
        <w:jc w:val="center"/>
        <w:rPr>
          <w:rFonts w:ascii="宋体" w:hAnsi="宋体" w:cs="Arial"/>
          <w:bCs/>
          <w:sz w:val="24"/>
        </w:rPr>
      </w:pPr>
    </w:p>
    <w:p w:rsidR="002940F0" w:rsidRPr="002940F0" w:rsidRDefault="002940F0" w:rsidP="002940F0">
      <w:pPr>
        <w:adjustRightInd w:val="0"/>
        <w:snapToGrid w:val="0"/>
        <w:jc w:val="center"/>
        <w:rPr>
          <w:rFonts w:ascii="宋体" w:hAnsi="宋体" w:cs="Arial"/>
          <w:bCs/>
          <w:sz w:val="24"/>
        </w:rPr>
        <w:sectPr w:rsidR="002940F0" w:rsidRPr="002940F0">
          <w:footerReference w:type="even" r:id="rId9"/>
          <w:footerReference w:type="default" r:id="rId10"/>
          <w:pgSz w:w="11906" w:h="16838" w:code="9"/>
          <w:pgMar w:top="1418" w:right="1701" w:bottom="1418" w:left="1701" w:header="851" w:footer="992" w:gutter="0"/>
          <w:cols w:space="425"/>
          <w:docGrid w:type="lines" w:linePitch="312"/>
        </w:sectPr>
      </w:pPr>
    </w:p>
    <w:p w:rsidR="002940F0" w:rsidRPr="002940F0" w:rsidRDefault="002940F0" w:rsidP="002940F0">
      <w:pPr>
        <w:adjustRightInd w:val="0"/>
        <w:snapToGrid w:val="0"/>
        <w:rPr>
          <w:rFonts w:ascii="宋体" w:hAnsi="宋体" w:cs="Arial"/>
          <w:bCs/>
          <w:sz w:val="24"/>
        </w:rPr>
      </w:pPr>
      <w:bookmarkStart w:id="0" w:name="_GoBack"/>
      <w:bookmarkEnd w:id="0"/>
    </w:p>
    <w:p w:rsidR="002940F0" w:rsidRPr="002940F0" w:rsidRDefault="002940F0" w:rsidP="002940F0">
      <w:pPr>
        <w:jc w:val="center"/>
        <w:rPr>
          <w:rFonts w:ascii="宋体" w:hAnsi="宋体"/>
          <w:b/>
          <w:bCs/>
          <w:sz w:val="30"/>
        </w:rPr>
      </w:pPr>
      <w:r w:rsidRPr="002940F0">
        <w:rPr>
          <w:rFonts w:ascii="宋体" w:hAnsi="宋体" w:hint="eastAsia"/>
          <w:b/>
          <w:bCs/>
          <w:sz w:val="30"/>
        </w:rPr>
        <w:t>目    录</w:t>
      </w:r>
    </w:p>
    <w:p w:rsidR="002940F0" w:rsidRPr="002940F0" w:rsidRDefault="002940F0" w:rsidP="002940F0">
      <w:pPr>
        <w:pStyle w:val="21"/>
        <w:tabs>
          <w:tab w:val="right" w:leader="dot" w:pos="8494"/>
        </w:tabs>
        <w:adjustRightInd w:val="0"/>
        <w:snapToGrid w:val="0"/>
        <w:spacing w:line="360" w:lineRule="auto"/>
        <w:rPr>
          <w:rFonts w:ascii="宋体" w:hAnsi="宋体"/>
          <w:noProof/>
          <w:sz w:val="24"/>
        </w:rPr>
      </w:pPr>
      <w:r w:rsidRPr="002940F0">
        <w:rPr>
          <w:rFonts w:ascii="宋体" w:hAnsi="宋体" w:hint="eastAsia"/>
          <w:sz w:val="24"/>
        </w:rPr>
        <w:fldChar w:fldCharType="begin"/>
      </w:r>
      <w:r w:rsidRPr="002940F0">
        <w:rPr>
          <w:rFonts w:ascii="宋体" w:hAnsi="宋体" w:hint="eastAsia"/>
          <w:sz w:val="24"/>
        </w:rPr>
        <w:instrText xml:space="preserve"> TOC \o "1-2" \h \z </w:instrText>
      </w:r>
      <w:r w:rsidRPr="002940F0">
        <w:rPr>
          <w:rFonts w:ascii="宋体" w:hAnsi="宋体" w:hint="eastAsia"/>
          <w:sz w:val="24"/>
        </w:rPr>
        <w:fldChar w:fldCharType="separate"/>
      </w:r>
      <w:hyperlink w:anchor="_Toc124325885" w:history="1">
        <w:r w:rsidRPr="002940F0">
          <w:rPr>
            <w:rStyle w:val="ab"/>
            <w:rFonts w:ascii="宋体" w:hAnsi="宋体" w:hint="eastAsia"/>
            <w:noProof/>
            <w:sz w:val="24"/>
          </w:rPr>
          <w:t>一、基金托管协议当事人</w:t>
        </w:r>
        <w:r w:rsidRPr="002940F0">
          <w:rPr>
            <w:rFonts w:ascii="宋体" w:hAnsi="宋体" w:hint="eastAsia"/>
            <w:noProof/>
            <w:webHidden/>
            <w:sz w:val="24"/>
          </w:rPr>
          <w:tab/>
        </w:r>
        <w:r w:rsidRPr="002940F0">
          <w:rPr>
            <w:rFonts w:ascii="宋体" w:hAnsi="宋体" w:hint="eastAsia"/>
            <w:noProof/>
            <w:webHidden/>
            <w:sz w:val="24"/>
          </w:rPr>
          <w:fldChar w:fldCharType="begin"/>
        </w:r>
        <w:r w:rsidRPr="002940F0">
          <w:rPr>
            <w:rFonts w:ascii="宋体" w:hAnsi="宋体" w:hint="eastAsia"/>
            <w:noProof/>
            <w:webHidden/>
            <w:sz w:val="24"/>
          </w:rPr>
          <w:instrText xml:space="preserve"> PAGEREF _Toc124325885 \h </w:instrText>
        </w:r>
        <w:r w:rsidRPr="002940F0">
          <w:rPr>
            <w:rFonts w:ascii="宋体" w:hAnsi="宋体" w:hint="eastAsia"/>
            <w:noProof/>
            <w:webHidden/>
            <w:sz w:val="24"/>
          </w:rPr>
        </w:r>
        <w:r w:rsidRPr="002940F0">
          <w:rPr>
            <w:rFonts w:ascii="宋体" w:hAnsi="宋体" w:hint="eastAsia"/>
            <w:noProof/>
            <w:webHidden/>
            <w:sz w:val="24"/>
          </w:rPr>
          <w:fldChar w:fldCharType="separate"/>
        </w:r>
        <w:r w:rsidR="00D01994">
          <w:rPr>
            <w:rFonts w:ascii="宋体" w:hAnsi="宋体"/>
            <w:noProof/>
            <w:webHidden/>
            <w:sz w:val="24"/>
          </w:rPr>
          <w:t>3</w:t>
        </w:r>
        <w:r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86" w:history="1">
        <w:r w:rsidR="002940F0" w:rsidRPr="002940F0">
          <w:rPr>
            <w:rStyle w:val="ab"/>
            <w:rFonts w:ascii="宋体" w:hAnsi="宋体" w:hint="eastAsia"/>
            <w:noProof/>
            <w:sz w:val="24"/>
          </w:rPr>
          <w:t>二、基金托管协议的依据、目的和原则</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_Toc124325886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4</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87" w:history="1">
        <w:r w:rsidR="002940F0" w:rsidRPr="002940F0">
          <w:rPr>
            <w:rStyle w:val="ab"/>
            <w:rFonts w:ascii="宋体" w:hAnsi="宋体" w:hint="eastAsia"/>
            <w:noProof/>
            <w:sz w:val="24"/>
          </w:rPr>
          <w:t>三、基金托管人对基金管理人的业务监督和核查</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_Toc124325887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4</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88" w:history="1">
        <w:r w:rsidR="002940F0" w:rsidRPr="002940F0">
          <w:rPr>
            <w:rStyle w:val="ab"/>
            <w:rFonts w:ascii="宋体" w:hAnsi="宋体" w:hint="eastAsia"/>
            <w:noProof/>
            <w:sz w:val="24"/>
          </w:rPr>
          <w:t>四、基金管理人对基金托管人的业务核查</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_Toc124325888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11</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89" w:history="1">
        <w:r w:rsidR="002940F0" w:rsidRPr="002940F0">
          <w:rPr>
            <w:rStyle w:val="ab"/>
            <w:rFonts w:ascii="宋体" w:hAnsi="宋体" w:hint="eastAsia"/>
            <w:noProof/>
            <w:sz w:val="24"/>
          </w:rPr>
          <w:t>五、基金财产的保管</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_Toc124325889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11</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0" w:history="1">
        <w:r w:rsidR="002940F0" w:rsidRPr="002940F0">
          <w:rPr>
            <w:rStyle w:val="ab"/>
            <w:rFonts w:ascii="宋体" w:hAnsi="宋体" w:hint="eastAsia"/>
            <w:noProof/>
            <w:sz w:val="24"/>
          </w:rPr>
          <w:t>六、指令的发送、确认及执行</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_Toc124325890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14</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1" w:history="1">
        <w:r w:rsidR="002940F0" w:rsidRPr="002940F0">
          <w:rPr>
            <w:rStyle w:val="ab"/>
            <w:rFonts w:ascii="宋体" w:hAnsi="宋体" w:hint="eastAsia"/>
            <w:noProof/>
            <w:sz w:val="24"/>
          </w:rPr>
          <w:t>七、交易及清算交收安排</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_Toc124325891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17</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2" w:history="1">
        <w:r w:rsidR="002940F0" w:rsidRPr="002940F0">
          <w:rPr>
            <w:rStyle w:val="ab"/>
            <w:rFonts w:ascii="宋体" w:hAnsi="宋体" w:hint="eastAsia"/>
            <w:noProof/>
            <w:sz w:val="24"/>
          </w:rPr>
          <w:t>八、基金资产净值计算和会计核算</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_Toc124325892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22</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3" w:history="1">
        <w:r w:rsidR="002940F0" w:rsidRPr="002940F0">
          <w:rPr>
            <w:rStyle w:val="ab"/>
            <w:rFonts w:ascii="宋体" w:hAnsi="宋体" w:hint="eastAsia"/>
            <w:noProof/>
            <w:sz w:val="24"/>
          </w:rPr>
          <w:t>九、基金收益分配</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_Toc124325893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26</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4" w:history="1">
        <w:r w:rsidR="002940F0" w:rsidRPr="002940F0">
          <w:rPr>
            <w:rStyle w:val="ab"/>
            <w:rFonts w:ascii="宋体" w:hAnsi="宋体" w:hint="eastAsia"/>
            <w:noProof/>
            <w:sz w:val="24"/>
          </w:rPr>
          <w:t>十、基金信息披露</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_Toc124325894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27</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5" w:history="1">
        <w:r w:rsidR="002940F0" w:rsidRPr="002940F0">
          <w:rPr>
            <w:rStyle w:val="ab"/>
            <w:rFonts w:ascii="宋体" w:hAnsi="宋体" w:hint="eastAsia"/>
            <w:noProof/>
            <w:sz w:val="24"/>
          </w:rPr>
          <w:t>十一、基金费用</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_Toc124325895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29</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6" w:history="1">
        <w:r w:rsidR="002940F0" w:rsidRPr="002940F0">
          <w:rPr>
            <w:rStyle w:val="ab"/>
            <w:rFonts w:ascii="宋体" w:hAnsi="宋体" w:hint="eastAsia"/>
            <w:noProof/>
            <w:sz w:val="24"/>
          </w:rPr>
          <w:t>十二、基金份额持有人名册的保管</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_Toc124325896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30</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7" w:history="1">
        <w:r w:rsidR="002940F0" w:rsidRPr="002940F0">
          <w:rPr>
            <w:rStyle w:val="ab"/>
            <w:rFonts w:ascii="宋体" w:hAnsi="宋体" w:hint="eastAsia"/>
            <w:noProof/>
            <w:sz w:val="24"/>
          </w:rPr>
          <w:t>十三、基金有关文件档案的保存</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_Toc124325897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30</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8" w:history="1">
        <w:r w:rsidR="002940F0" w:rsidRPr="002940F0">
          <w:rPr>
            <w:rStyle w:val="ab"/>
            <w:rFonts w:ascii="宋体" w:hAnsi="宋体" w:hint="eastAsia"/>
            <w:noProof/>
            <w:sz w:val="24"/>
          </w:rPr>
          <w:t>十四、基金管理人和基金托管人的更换</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_Toc124325898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31</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899" w:history="1">
        <w:r w:rsidR="002940F0" w:rsidRPr="002940F0">
          <w:rPr>
            <w:rStyle w:val="ab"/>
            <w:rFonts w:ascii="宋体" w:hAnsi="宋体" w:hint="eastAsia"/>
            <w:noProof/>
            <w:sz w:val="24"/>
          </w:rPr>
          <w:t>十五、禁止行为</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_Toc124325899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33</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900" w:history="1">
        <w:r w:rsidR="002940F0" w:rsidRPr="002940F0">
          <w:rPr>
            <w:rStyle w:val="ab"/>
            <w:rFonts w:ascii="宋体" w:hAnsi="宋体" w:hint="eastAsia"/>
            <w:noProof/>
            <w:sz w:val="24"/>
          </w:rPr>
          <w:t>十六、托管协议的变更、终止与基金财产的清算</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_Toc124325900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35</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901" w:history="1">
        <w:r w:rsidR="002940F0" w:rsidRPr="002940F0">
          <w:rPr>
            <w:rStyle w:val="ab"/>
            <w:rFonts w:ascii="宋体" w:hAnsi="宋体" w:hint="eastAsia"/>
            <w:noProof/>
            <w:sz w:val="24"/>
          </w:rPr>
          <w:t>十七、违约责任</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_Toc124325901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36</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902" w:history="1">
        <w:r w:rsidR="002940F0" w:rsidRPr="002940F0">
          <w:rPr>
            <w:rStyle w:val="ab"/>
            <w:rFonts w:ascii="宋体" w:hAnsi="宋体" w:hint="eastAsia"/>
            <w:noProof/>
            <w:sz w:val="24"/>
          </w:rPr>
          <w:t>十八、争议解决方式</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_Toc124325902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37</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903" w:history="1">
        <w:r w:rsidR="002940F0" w:rsidRPr="002940F0">
          <w:rPr>
            <w:rStyle w:val="ab"/>
            <w:rFonts w:ascii="宋体" w:hAnsi="宋体" w:hint="eastAsia"/>
            <w:noProof/>
            <w:sz w:val="24"/>
          </w:rPr>
          <w:t>十九、托管协议的效力</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_Toc124325903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38</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904" w:history="1">
        <w:r w:rsidR="002940F0" w:rsidRPr="002940F0">
          <w:rPr>
            <w:rStyle w:val="ab"/>
            <w:rFonts w:ascii="宋体" w:hAnsi="宋体" w:hint="eastAsia"/>
            <w:noProof/>
            <w:sz w:val="24"/>
          </w:rPr>
          <w:t>二十、其他事项</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_Toc124325904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38</w:t>
        </w:r>
        <w:r w:rsidR="002940F0" w:rsidRPr="002940F0">
          <w:rPr>
            <w:rFonts w:ascii="宋体" w:hAnsi="宋体" w:hint="eastAsia"/>
            <w:noProof/>
            <w:webHidden/>
            <w:sz w:val="24"/>
          </w:rPr>
          <w:fldChar w:fldCharType="end"/>
        </w:r>
      </w:hyperlink>
    </w:p>
    <w:p w:rsidR="002940F0" w:rsidRPr="002940F0" w:rsidRDefault="00256868" w:rsidP="002940F0">
      <w:pPr>
        <w:pStyle w:val="21"/>
        <w:tabs>
          <w:tab w:val="right" w:leader="dot" w:pos="8494"/>
        </w:tabs>
        <w:adjustRightInd w:val="0"/>
        <w:snapToGrid w:val="0"/>
        <w:spacing w:line="360" w:lineRule="auto"/>
        <w:rPr>
          <w:rFonts w:ascii="宋体" w:hAnsi="宋体"/>
          <w:noProof/>
          <w:sz w:val="24"/>
        </w:rPr>
      </w:pPr>
      <w:hyperlink w:anchor="_Toc124325905" w:history="1">
        <w:r w:rsidR="002940F0" w:rsidRPr="002940F0">
          <w:rPr>
            <w:rStyle w:val="ab"/>
            <w:rFonts w:ascii="宋体" w:hAnsi="宋体" w:hint="eastAsia"/>
            <w:noProof/>
            <w:sz w:val="24"/>
          </w:rPr>
          <w:t>二十一、托管协议的签订</w:t>
        </w:r>
        <w:r w:rsidR="002940F0" w:rsidRPr="002940F0">
          <w:rPr>
            <w:rFonts w:ascii="宋体" w:hAnsi="宋体" w:hint="eastAsia"/>
            <w:noProof/>
            <w:webHidden/>
            <w:sz w:val="24"/>
          </w:rPr>
          <w:tab/>
        </w:r>
        <w:r w:rsidR="002940F0" w:rsidRPr="002940F0">
          <w:rPr>
            <w:rFonts w:ascii="宋体" w:hAnsi="宋体" w:hint="eastAsia"/>
            <w:noProof/>
            <w:webHidden/>
            <w:sz w:val="24"/>
          </w:rPr>
          <w:fldChar w:fldCharType="begin"/>
        </w:r>
        <w:r w:rsidR="002940F0" w:rsidRPr="002940F0">
          <w:rPr>
            <w:rFonts w:ascii="宋体" w:hAnsi="宋体" w:hint="eastAsia"/>
            <w:noProof/>
            <w:webHidden/>
            <w:sz w:val="24"/>
          </w:rPr>
          <w:instrText xml:space="preserve"> PAGEREF _Toc124325905 \h </w:instrText>
        </w:r>
        <w:r w:rsidR="002940F0" w:rsidRPr="002940F0">
          <w:rPr>
            <w:rFonts w:ascii="宋体" w:hAnsi="宋体" w:hint="eastAsia"/>
            <w:noProof/>
            <w:webHidden/>
            <w:sz w:val="24"/>
          </w:rPr>
        </w:r>
        <w:r w:rsidR="002940F0" w:rsidRPr="002940F0">
          <w:rPr>
            <w:rFonts w:ascii="宋体" w:hAnsi="宋体" w:hint="eastAsia"/>
            <w:noProof/>
            <w:webHidden/>
            <w:sz w:val="24"/>
          </w:rPr>
          <w:fldChar w:fldCharType="separate"/>
        </w:r>
        <w:r w:rsidR="00D01994">
          <w:rPr>
            <w:rFonts w:ascii="宋体" w:hAnsi="宋体"/>
            <w:noProof/>
            <w:webHidden/>
            <w:sz w:val="24"/>
          </w:rPr>
          <w:t>38</w:t>
        </w:r>
        <w:r w:rsidR="002940F0" w:rsidRPr="002940F0">
          <w:rPr>
            <w:rFonts w:ascii="宋体" w:hAnsi="宋体" w:hint="eastAsia"/>
            <w:noProof/>
            <w:webHidden/>
            <w:sz w:val="24"/>
          </w:rPr>
          <w:fldChar w:fldCharType="end"/>
        </w:r>
      </w:hyperlink>
    </w:p>
    <w:p w:rsidR="002940F0" w:rsidRPr="002940F0" w:rsidRDefault="002940F0" w:rsidP="002940F0">
      <w:pPr>
        <w:adjustRightInd w:val="0"/>
        <w:snapToGrid w:val="0"/>
        <w:spacing w:line="360" w:lineRule="auto"/>
        <w:rPr>
          <w:rFonts w:ascii="宋体" w:hAnsi="宋体"/>
          <w:sz w:val="24"/>
        </w:rPr>
      </w:pPr>
      <w:r w:rsidRPr="002940F0">
        <w:rPr>
          <w:rFonts w:ascii="宋体" w:hAnsi="宋体" w:hint="eastAsia"/>
          <w:sz w:val="24"/>
        </w:rPr>
        <w:fldChar w:fldCharType="end"/>
      </w:r>
    </w:p>
    <w:p w:rsidR="002940F0" w:rsidRPr="002940F0" w:rsidRDefault="002940F0" w:rsidP="002940F0">
      <w:pPr>
        <w:widowControl/>
        <w:adjustRightInd w:val="0"/>
        <w:snapToGrid w:val="0"/>
        <w:spacing w:line="360" w:lineRule="auto"/>
        <w:ind w:firstLineChars="200" w:firstLine="480"/>
        <w:rPr>
          <w:rFonts w:ascii="宋体" w:hAnsi="宋体" w:cs="Arial"/>
          <w:kern w:val="0"/>
          <w:sz w:val="24"/>
        </w:rPr>
      </w:pPr>
      <w:r w:rsidRPr="002940F0">
        <w:rPr>
          <w:rFonts w:ascii="宋体" w:hAnsi="宋体" w:cs="Arial"/>
          <w:kern w:val="0"/>
          <w:sz w:val="24"/>
        </w:rPr>
        <w:br w:type="page"/>
      </w:r>
    </w:p>
    <w:p w:rsidR="002940F0" w:rsidRPr="002940F0" w:rsidRDefault="002940F0" w:rsidP="002940F0">
      <w:pPr>
        <w:widowControl/>
        <w:adjustRightInd w:val="0"/>
        <w:snapToGrid w:val="0"/>
        <w:spacing w:line="360" w:lineRule="auto"/>
        <w:ind w:firstLineChars="200" w:firstLine="480"/>
        <w:rPr>
          <w:rFonts w:ascii="宋体" w:hAnsi="宋体" w:cs="Arial"/>
          <w:kern w:val="0"/>
          <w:sz w:val="24"/>
        </w:rPr>
      </w:pPr>
      <w:r w:rsidRPr="002940F0">
        <w:rPr>
          <w:rFonts w:ascii="宋体" w:hAnsi="宋体" w:cs="Arial" w:hint="eastAsia"/>
          <w:kern w:val="0"/>
          <w:sz w:val="24"/>
        </w:rPr>
        <w:lastRenderedPageBreak/>
        <w:t>鉴于</w:t>
      </w:r>
      <w:r w:rsidRPr="002940F0">
        <w:rPr>
          <w:rFonts w:ascii="宋体" w:hAnsi="宋体" w:cs="Arial" w:hint="eastAsia"/>
          <w:sz w:val="24"/>
        </w:rPr>
        <w:t>富国</w:t>
      </w:r>
      <w:r w:rsidRPr="002940F0">
        <w:rPr>
          <w:rFonts w:ascii="宋体" w:hAnsi="宋体" w:cs="Arial" w:hint="eastAsia"/>
          <w:kern w:val="0"/>
          <w:sz w:val="24"/>
        </w:rPr>
        <w:t>基金管理有限公司系一家依照中国法律合法成立并有效存续的有限责任公司，按照相关法律法规的规定具备担任基金管理人的资格和能力，拟募集发行</w:t>
      </w:r>
      <w:r w:rsidRPr="002940F0">
        <w:rPr>
          <w:rFonts w:ascii="宋体" w:hAnsi="宋体" w:cs="Arial" w:hint="eastAsia"/>
          <w:sz w:val="24"/>
        </w:rPr>
        <w:t>富国产业升级混合型</w:t>
      </w:r>
      <w:r w:rsidRPr="002940F0">
        <w:rPr>
          <w:rFonts w:ascii="宋体" w:hAnsi="宋体" w:cs="Arial" w:hint="eastAsia"/>
          <w:kern w:val="0"/>
          <w:sz w:val="24"/>
        </w:rPr>
        <w:t>证券投资基金；</w:t>
      </w:r>
    </w:p>
    <w:p w:rsidR="002940F0" w:rsidRPr="002940F0" w:rsidRDefault="002940F0" w:rsidP="002940F0">
      <w:pPr>
        <w:widowControl/>
        <w:adjustRightInd w:val="0"/>
        <w:snapToGrid w:val="0"/>
        <w:spacing w:line="360" w:lineRule="auto"/>
        <w:ind w:firstLineChars="200" w:firstLine="480"/>
        <w:rPr>
          <w:rFonts w:ascii="宋体" w:hAnsi="宋体" w:cs="Arial"/>
          <w:kern w:val="0"/>
          <w:sz w:val="24"/>
        </w:rPr>
      </w:pPr>
      <w:r w:rsidRPr="002940F0">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rsidR="002940F0" w:rsidRPr="002940F0" w:rsidRDefault="002940F0" w:rsidP="002940F0">
      <w:pPr>
        <w:widowControl/>
        <w:adjustRightInd w:val="0"/>
        <w:snapToGrid w:val="0"/>
        <w:spacing w:line="360" w:lineRule="auto"/>
        <w:ind w:firstLineChars="200" w:firstLine="480"/>
        <w:rPr>
          <w:rFonts w:ascii="宋体" w:hAnsi="宋体" w:cs="Arial"/>
          <w:kern w:val="0"/>
          <w:sz w:val="24"/>
        </w:rPr>
      </w:pPr>
      <w:r w:rsidRPr="002940F0">
        <w:rPr>
          <w:rFonts w:ascii="宋体" w:hAnsi="宋体" w:cs="Arial" w:hint="eastAsia"/>
          <w:kern w:val="0"/>
          <w:sz w:val="24"/>
        </w:rPr>
        <w:t>鉴于富国基金管理有限公司拟担任</w:t>
      </w:r>
      <w:r w:rsidRPr="002940F0">
        <w:rPr>
          <w:rFonts w:ascii="宋体" w:hAnsi="宋体" w:cs="Arial" w:hint="eastAsia"/>
          <w:sz w:val="24"/>
        </w:rPr>
        <w:t>富国产业升级混合型</w:t>
      </w:r>
      <w:r w:rsidRPr="002940F0">
        <w:rPr>
          <w:rFonts w:ascii="宋体" w:hAnsi="宋体" w:cs="Arial" w:hint="eastAsia"/>
          <w:kern w:val="0"/>
          <w:sz w:val="24"/>
        </w:rPr>
        <w:t>证券投资基金的基金管理人，中国建设银行股份有限公司拟担任</w:t>
      </w:r>
      <w:r w:rsidRPr="002940F0">
        <w:rPr>
          <w:rFonts w:ascii="宋体" w:hAnsi="宋体" w:cs="Arial" w:hint="eastAsia"/>
          <w:sz w:val="24"/>
        </w:rPr>
        <w:t>富国产业升级混合型</w:t>
      </w:r>
      <w:r w:rsidRPr="002940F0">
        <w:rPr>
          <w:rFonts w:ascii="宋体" w:hAnsi="宋体" w:cs="Arial" w:hint="eastAsia"/>
          <w:kern w:val="0"/>
          <w:sz w:val="24"/>
        </w:rPr>
        <w:t>证券投资基金的基金托管人；</w:t>
      </w:r>
    </w:p>
    <w:p w:rsidR="002940F0" w:rsidRPr="002940F0" w:rsidRDefault="002940F0" w:rsidP="002940F0">
      <w:pPr>
        <w:widowControl/>
        <w:adjustRightInd w:val="0"/>
        <w:snapToGrid w:val="0"/>
        <w:spacing w:line="360" w:lineRule="auto"/>
        <w:ind w:firstLineChars="200" w:firstLine="480"/>
        <w:rPr>
          <w:rFonts w:ascii="宋体" w:hAnsi="宋体" w:cs="Arial"/>
          <w:kern w:val="0"/>
          <w:sz w:val="24"/>
        </w:rPr>
      </w:pPr>
      <w:r w:rsidRPr="002940F0">
        <w:rPr>
          <w:rFonts w:ascii="宋体" w:hAnsi="宋体" w:cs="Arial" w:hint="eastAsia"/>
          <w:kern w:val="0"/>
          <w:sz w:val="24"/>
        </w:rPr>
        <w:t>为明确</w:t>
      </w:r>
      <w:r w:rsidRPr="002940F0">
        <w:rPr>
          <w:rFonts w:ascii="宋体" w:hAnsi="宋体" w:cs="Arial" w:hint="eastAsia"/>
          <w:sz w:val="24"/>
        </w:rPr>
        <w:t>富国产业升级混合型</w:t>
      </w:r>
      <w:r w:rsidRPr="002940F0">
        <w:rPr>
          <w:rFonts w:ascii="宋体" w:hAnsi="宋体" w:cs="Arial" w:hint="eastAsia"/>
          <w:kern w:val="0"/>
          <w:sz w:val="24"/>
        </w:rPr>
        <w:t>证券投资基金的基金管理人和基金托管人之间的权利义务关系，特制订本托管协议；</w:t>
      </w:r>
    </w:p>
    <w:p w:rsidR="002940F0" w:rsidRPr="002940F0" w:rsidRDefault="002940F0" w:rsidP="002940F0">
      <w:pPr>
        <w:widowControl/>
        <w:adjustRightInd w:val="0"/>
        <w:snapToGrid w:val="0"/>
        <w:spacing w:line="360" w:lineRule="auto"/>
        <w:ind w:firstLineChars="200" w:firstLine="480"/>
        <w:rPr>
          <w:rFonts w:ascii="宋体" w:hAnsi="宋体" w:cs="Arial"/>
          <w:kern w:val="0"/>
          <w:sz w:val="24"/>
          <w:lang w:val="en-GB"/>
        </w:rPr>
      </w:pPr>
      <w:r w:rsidRPr="002940F0">
        <w:rPr>
          <w:rFonts w:ascii="宋体" w:hAnsi="宋体" w:cs="Arial" w:hint="eastAsia"/>
          <w:kern w:val="0"/>
          <w:sz w:val="24"/>
          <w:lang w:val="en-GB"/>
        </w:rPr>
        <w:t>除非另有约定，《</w:t>
      </w:r>
      <w:r w:rsidRPr="002940F0">
        <w:rPr>
          <w:rFonts w:ascii="宋体" w:hAnsi="宋体" w:cs="Arial" w:hint="eastAsia"/>
          <w:sz w:val="24"/>
        </w:rPr>
        <w:t>富国产业升级混合型</w:t>
      </w:r>
      <w:r w:rsidRPr="002940F0">
        <w:rPr>
          <w:rFonts w:ascii="宋体" w:hAnsi="宋体" w:cs="Arial" w:hint="eastAsia"/>
          <w:kern w:val="0"/>
          <w:sz w:val="24"/>
          <w:lang w:val="en-GB"/>
        </w:rPr>
        <w:t>证券投资基金基金合同》(以下简称“基金合同”)中定义的术语在用于本托管协议时应具有相同的含义；若有抵触应以《基金合同》为准，并依其</w:t>
      </w:r>
      <w:r w:rsidRPr="002940F0">
        <w:rPr>
          <w:rFonts w:ascii="宋体" w:hAnsi="宋体" w:cs="Arial" w:hint="eastAsia"/>
          <w:kern w:val="0"/>
          <w:sz w:val="24"/>
        </w:rPr>
        <w:t>条款</w:t>
      </w:r>
      <w:r w:rsidRPr="002940F0">
        <w:rPr>
          <w:rFonts w:ascii="宋体" w:hAnsi="宋体" w:cs="Arial" w:hint="eastAsia"/>
          <w:kern w:val="0"/>
          <w:sz w:val="24"/>
          <w:lang w:val="en-GB"/>
        </w:rPr>
        <w:t>解释。</w:t>
      </w:r>
    </w:p>
    <w:p w:rsidR="002940F0" w:rsidRPr="002940F0" w:rsidRDefault="002940F0" w:rsidP="002940F0">
      <w:pPr>
        <w:adjustRightInd w:val="0"/>
        <w:snapToGrid w:val="0"/>
        <w:spacing w:line="360" w:lineRule="auto"/>
        <w:rPr>
          <w:rFonts w:ascii="宋体" w:hAnsi="宋体"/>
          <w:sz w:val="24"/>
          <w:lang w:val="en-GB"/>
        </w:rPr>
      </w:pPr>
    </w:p>
    <w:p w:rsidR="002940F0" w:rsidRPr="002940F0" w:rsidRDefault="002940F0" w:rsidP="002940F0">
      <w:pPr>
        <w:pStyle w:val="2"/>
        <w:adjustRightInd w:val="0"/>
        <w:snapToGrid w:val="0"/>
        <w:spacing w:before="0" w:after="0" w:line="360" w:lineRule="auto"/>
        <w:jc w:val="center"/>
        <w:rPr>
          <w:rFonts w:ascii="宋体" w:eastAsia="宋体" w:hAnsi="宋体"/>
        </w:rPr>
      </w:pPr>
      <w:bookmarkStart w:id="1" w:name="_Toc124325885"/>
      <w:r w:rsidRPr="002940F0">
        <w:rPr>
          <w:rFonts w:ascii="宋体" w:eastAsia="宋体" w:hAnsi="宋体" w:hint="eastAsia"/>
        </w:rPr>
        <w:t>一、基金托管协议当事人</w:t>
      </w:r>
      <w:bookmarkEnd w:id="1"/>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（一）基金管理人</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名称：富国基金管理有限公司</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注册地址：上海市浦东新区世纪大道8号上海国金中心二期16、17楼</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办公地址：上海市浦东新区世纪大道8号上海国金中心二期16、17楼</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邮政编码：</w:t>
      </w:r>
      <w:r w:rsidRPr="002940F0">
        <w:rPr>
          <w:rFonts w:ascii="宋体" w:hAnsi="宋体" w:cs="Arial"/>
          <w:sz w:val="24"/>
        </w:rPr>
        <w:t>200120</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法定代表人：薛爱东</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成立日期：1999</w:t>
      </w:r>
      <w:r w:rsidRPr="002940F0">
        <w:rPr>
          <w:rStyle w:val="read"/>
          <w:rFonts w:ascii="宋体" w:hAnsi="宋体" w:cs="Arial" w:hint="eastAsia"/>
          <w:sz w:val="24"/>
        </w:rPr>
        <w:t>年4月13日</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批准设立机关及批准设立文号：中国证监会证监基金字</w:t>
      </w:r>
      <w:r w:rsidRPr="002940F0">
        <w:rPr>
          <w:rStyle w:val="read"/>
          <w:rFonts w:ascii="宋体" w:hAnsi="宋体" w:cs="Arial" w:hint="eastAsia"/>
          <w:sz w:val="24"/>
        </w:rPr>
        <w:t>[1999]11</w:t>
      </w:r>
      <w:r w:rsidRPr="002940F0">
        <w:rPr>
          <w:rFonts w:ascii="宋体" w:hAnsi="宋体" w:cs="Arial" w:hint="eastAsia"/>
          <w:sz w:val="24"/>
        </w:rPr>
        <w:t>号</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组织形式：有限责任公司</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注册资本：人民币1.8亿</w:t>
      </w:r>
      <w:r w:rsidRPr="002940F0">
        <w:rPr>
          <w:rStyle w:val="read"/>
          <w:rFonts w:ascii="宋体" w:hAnsi="宋体" w:cs="Arial" w:hint="eastAsia"/>
          <w:sz w:val="24"/>
        </w:rPr>
        <w:t>元</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存续期间：持续经营</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经营范围：基金募集、基金销售、资产管理、中国证监会许可的其他业务</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（二）基金托管人</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名称：中国建设银行股份有限公司(简称：中国建设银行)</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lastRenderedPageBreak/>
        <w:t>住所：北京市西城区金融大街25号</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办公地址：北京市西城区闹市口大街1号院1号楼</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邮政编码：100033</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法定代表人：王洪章</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940F0">
          <w:rPr>
            <w:rFonts w:ascii="宋体" w:hAnsi="宋体" w:cs="Arial" w:hint="eastAsia"/>
            <w:sz w:val="24"/>
          </w:rPr>
          <w:t>2004年09月17日</w:t>
        </w:r>
      </w:smartTag>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基金托管业务批准文号：中国证监会证监基字[1998</w:t>
      </w:r>
      <w:bookmarkStart w:id="2" w:name="OLE_LINK3"/>
      <w:r w:rsidRPr="002940F0">
        <w:rPr>
          <w:rFonts w:ascii="宋体" w:hAnsi="宋体" w:cs="Arial" w:hint="eastAsia"/>
          <w:sz w:val="24"/>
        </w:rPr>
        <w:t>]</w:t>
      </w:r>
      <w:bookmarkEnd w:id="2"/>
      <w:r w:rsidRPr="002940F0">
        <w:rPr>
          <w:rFonts w:ascii="宋体" w:hAnsi="宋体" w:cs="Arial" w:hint="eastAsia"/>
          <w:sz w:val="24"/>
        </w:rPr>
        <w:t>12号</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组织形式：股份有限公司</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注册资本：</w:t>
      </w:r>
      <w:r w:rsidRPr="002940F0">
        <w:rPr>
          <w:rFonts w:ascii="宋体" w:hAnsi="宋体" w:hint="eastAsia"/>
          <w:sz w:val="24"/>
        </w:rPr>
        <w:t>贰仟伍佰亿壹仟零玖拾柒万柒仟肆佰捌拾陆元整</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存续期间：持续经营</w:t>
      </w:r>
    </w:p>
    <w:p w:rsidR="002940F0" w:rsidRPr="002940F0" w:rsidRDefault="002940F0" w:rsidP="002940F0">
      <w:pPr>
        <w:tabs>
          <w:tab w:val="left" w:pos="540"/>
        </w:tabs>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940F0" w:rsidRPr="002940F0" w:rsidRDefault="002940F0" w:rsidP="002940F0">
      <w:pPr>
        <w:adjustRightInd w:val="0"/>
        <w:snapToGrid w:val="0"/>
        <w:spacing w:line="360" w:lineRule="auto"/>
        <w:rPr>
          <w:rFonts w:ascii="宋体" w:hAnsi="宋体"/>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3" w:name="_Toc124325886"/>
      <w:r w:rsidRPr="002940F0">
        <w:rPr>
          <w:rFonts w:ascii="宋体" w:eastAsia="宋体" w:hAnsi="宋体" w:hint="eastAsia"/>
          <w:sz w:val="30"/>
        </w:rPr>
        <w:t>二、基金托管协议的依据、目的和原则</w:t>
      </w:r>
      <w:bookmarkEnd w:id="3"/>
    </w:p>
    <w:p w:rsidR="002940F0" w:rsidRPr="002940F0" w:rsidRDefault="002940F0" w:rsidP="002940F0">
      <w:pPr>
        <w:adjustRightInd w:val="0"/>
        <w:snapToGrid w:val="0"/>
        <w:spacing w:line="360" w:lineRule="auto"/>
        <w:ind w:firstLineChars="200" w:firstLine="480"/>
        <w:rPr>
          <w:rFonts w:ascii="宋体" w:hAnsi="宋体"/>
          <w:sz w:val="24"/>
          <w:szCs w:val="30"/>
        </w:rPr>
      </w:pPr>
      <w:r w:rsidRPr="002940F0">
        <w:rPr>
          <w:rFonts w:ascii="宋体" w:hAnsi="宋体" w:cs="Arial" w:hint="eastAsia"/>
          <w:sz w:val="24"/>
        </w:rPr>
        <w:t>（一）订立托管协议的依据</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本协议依据《中华人民共和国证券投资基金法》(以下简称“《基金法》”)等有关法律法规、《基金合同》及其他有关规定制订。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（二）订立托管协议的目的</w:t>
      </w:r>
    </w:p>
    <w:p w:rsidR="002940F0" w:rsidRPr="002940F0" w:rsidRDefault="002940F0" w:rsidP="002940F0">
      <w:pPr>
        <w:adjustRightInd w:val="0"/>
        <w:snapToGrid w:val="0"/>
        <w:spacing w:line="360" w:lineRule="auto"/>
        <w:ind w:firstLineChars="200" w:firstLine="480"/>
        <w:rPr>
          <w:rFonts w:ascii="宋体" w:hAnsi="宋体"/>
          <w:sz w:val="24"/>
          <w:szCs w:val="30"/>
        </w:rPr>
      </w:pPr>
      <w:r w:rsidRPr="002940F0">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（三）订立托管协议的原则</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基金管理人和基金托管人本着平等自愿、诚实信用、充分保护基金份额持有人合法权益的原则，经协商一致，签订本协议。</w:t>
      </w:r>
    </w:p>
    <w:p w:rsidR="002940F0" w:rsidRPr="002940F0" w:rsidRDefault="002940F0" w:rsidP="002940F0">
      <w:pPr>
        <w:adjustRightInd w:val="0"/>
        <w:snapToGrid w:val="0"/>
        <w:spacing w:line="360" w:lineRule="auto"/>
        <w:rPr>
          <w:rFonts w:ascii="宋体" w:hAnsi="宋体"/>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szCs w:val="24"/>
        </w:rPr>
      </w:pPr>
      <w:bookmarkStart w:id="4" w:name="_Toc124325887"/>
      <w:r w:rsidRPr="002940F0">
        <w:rPr>
          <w:rFonts w:ascii="宋体" w:eastAsia="宋体" w:hAnsi="宋体" w:hint="eastAsia"/>
          <w:sz w:val="30"/>
        </w:rPr>
        <w:t>三、基金托管人对基金管理人的业务监督和核查</w:t>
      </w:r>
      <w:bookmarkEnd w:id="4"/>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（一）基金托管人根据有关法律法规的规定及《基金合同》的约定，对基金</w:t>
      </w:r>
      <w:r w:rsidRPr="002940F0">
        <w:rPr>
          <w:rFonts w:ascii="宋体"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940F0" w:rsidRPr="002940F0" w:rsidRDefault="002940F0" w:rsidP="002940F0">
      <w:pPr>
        <w:adjustRightInd w:val="0"/>
        <w:snapToGrid w:val="0"/>
        <w:spacing w:line="360" w:lineRule="auto"/>
        <w:ind w:firstLine="482"/>
        <w:rPr>
          <w:rFonts w:ascii="宋体" w:hAnsi="宋体" w:cs="Arial"/>
          <w:sz w:val="24"/>
        </w:rPr>
      </w:pPr>
      <w:r w:rsidRPr="002940F0">
        <w:rPr>
          <w:rFonts w:ascii="宋体" w:hAnsi="宋体" w:cs="Arial"/>
          <w:sz w:val="24"/>
        </w:rPr>
        <w:t xml:space="preserve"> 本基金的投资范围为具有良好流动性的金融工具，包括国内依法发行上市的股票</w:t>
      </w:r>
      <w:r w:rsidRPr="002940F0">
        <w:rPr>
          <w:rFonts w:ascii="宋体" w:hAnsi="宋体" w:cs="Arial" w:hint="eastAsia"/>
          <w:sz w:val="24"/>
        </w:rPr>
        <w:t>（包括中小板、创业板以及其他经中国证监会核准上市的股票）</w:t>
      </w:r>
      <w:r w:rsidRPr="002940F0">
        <w:rPr>
          <w:rFonts w:ascii="宋体" w:hAnsi="宋体" w:cs="Arial"/>
          <w:sz w:val="24"/>
        </w:rPr>
        <w:t>、</w:t>
      </w:r>
      <w:r w:rsidRPr="002940F0">
        <w:rPr>
          <w:rFonts w:ascii="宋体" w:hAnsi="宋体" w:cs="Arial" w:hint="eastAsia"/>
          <w:sz w:val="24"/>
        </w:rPr>
        <w:t>固定收益类资产（包括国债、金融债、企业债、公司债、次级债、可转换债券、分离交易可转债、央行票据、中期票据、短期融资券（含超短期融资券）、可交换债券、资产支持证券、债券回购、银行存款等经中国证监会允许投资的固定收益类资产）、衍生工具（权证、股指期货等）以及经中国证监会批准</w:t>
      </w:r>
      <w:r w:rsidRPr="002940F0">
        <w:rPr>
          <w:rFonts w:ascii="宋体" w:hAnsi="宋体" w:cs="Arial"/>
          <w:sz w:val="24"/>
        </w:rPr>
        <w:t>允许基金投资的其他金融工具(但</w:t>
      </w:r>
      <w:r w:rsidRPr="002940F0">
        <w:rPr>
          <w:rFonts w:ascii="宋体" w:hAnsi="宋体" w:cs="Arial" w:hint="eastAsia"/>
          <w:sz w:val="24"/>
        </w:rPr>
        <w:t>需</w:t>
      </w:r>
      <w:r w:rsidRPr="002940F0">
        <w:rPr>
          <w:rFonts w:ascii="宋体" w:hAnsi="宋体" w:cs="Arial"/>
          <w:sz w:val="24"/>
        </w:rPr>
        <w:t>符合中国证监会</w:t>
      </w:r>
      <w:r w:rsidRPr="002940F0">
        <w:rPr>
          <w:rFonts w:ascii="宋体" w:hAnsi="宋体" w:cs="Arial" w:hint="eastAsia"/>
          <w:sz w:val="24"/>
        </w:rPr>
        <w:t>的</w:t>
      </w:r>
      <w:r w:rsidRPr="002940F0">
        <w:rPr>
          <w:rFonts w:ascii="宋体" w:hAnsi="宋体" w:cs="Arial"/>
          <w:sz w:val="24"/>
        </w:rPr>
        <w:t>相关规定)。</w:t>
      </w:r>
    </w:p>
    <w:p w:rsidR="002940F0" w:rsidRPr="002940F0" w:rsidRDefault="002940F0" w:rsidP="002940F0">
      <w:pPr>
        <w:adjustRightInd w:val="0"/>
        <w:snapToGrid w:val="0"/>
        <w:spacing w:line="360" w:lineRule="auto"/>
        <w:ind w:firstLine="482"/>
        <w:rPr>
          <w:rFonts w:ascii="宋体" w:hAnsi="宋体" w:cs="Arial"/>
          <w:sz w:val="24"/>
        </w:rPr>
      </w:pPr>
      <w:r w:rsidRPr="002940F0">
        <w:rPr>
          <w:rFonts w:ascii="宋体" w:hAnsi="宋体" w:cs="Arial"/>
          <w:sz w:val="24"/>
        </w:rPr>
        <w:t>如法律法规或监管机构以后允许基金投资其他品种，基金管理人在履行适当程序后，可以将其纳入投资范围。</w:t>
      </w:r>
    </w:p>
    <w:p w:rsidR="002940F0" w:rsidRPr="002940F0" w:rsidRDefault="002940F0" w:rsidP="002940F0">
      <w:pPr>
        <w:adjustRightInd w:val="0"/>
        <w:snapToGrid w:val="0"/>
        <w:spacing w:line="360" w:lineRule="auto"/>
        <w:ind w:firstLine="482"/>
        <w:rPr>
          <w:rFonts w:ascii="宋体" w:hAnsi="宋体" w:cs="Arial"/>
          <w:sz w:val="24"/>
        </w:rPr>
      </w:pPr>
      <w:r w:rsidRPr="002940F0">
        <w:rPr>
          <w:rFonts w:ascii="宋体" w:hAnsi="宋体" w:cs="Arial"/>
          <w:sz w:val="24"/>
        </w:rPr>
        <w:t>基金的投资组合比例为：</w:t>
      </w:r>
      <w:r w:rsidRPr="002940F0">
        <w:rPr>
          <w:rFonts w:ascii="宋体" w:hAnsi="宋体" w:cs="Arial" w:hint="eastAsia"/>
          <w:sz w:val="24"/>
        </w:rPr>
        <w:t>股票投资占基金资产的比例为60</w:t>
      </w:r>
      <w:r w:rsidRPr="002940F0">
        <w:rPr>
          <w:rFonts w:ascii="宋体" w:hAnsi="宋体" w:cs="Arial"/>
          <w:sz w:val="24"/>
        </w:rPr>
        <w:t>%-95%</w:t>
      </w:r>
      <w:r w:rsidRPr="002940F0">
        <w:rPr>
          <w:rFonts w:ascii="宋体" w:hAnsi="宋体" w:cs="Arial" w:hint="eastAsia"/>
          <w:sz w:val="24"/>
        </w:rPr>
        <w:t>，其中投资于产业升级主题相关的股票不低于非现金基金资产的</w:t>
      </w:r>
      <w:r w:rsidRPr="002940F0">
        <w:rPr>
          <w:rFonts w:ascii="宋体" w:hAnsi="宋体" w:cs="Arial"/>
          <w:sz w:val="24"/>
        </w:rPr>
        <w:t>80%</w:t>
      </w:r>
      <w:r w:rsidRPr="002940F0">
        <w:rPr>
          <w:rFonts w:ascii="宋体" w:hAnsi="宋体" w:cs="Arial" w:hint="eastAsia"/>
          <w:sz w:val="24"/>
        </w:rPr>
        <w:t>；权证投资占基金资产净值的比例为</w:t>
      </w:r>
      <w:r w:rsidRPr="002940F0">
        <w:rPr>
          <w:rFonts w:ascii="宋体" w:hAnsi="宋体" w:cs="Arial"/>
          <w:sz w:val="24"/>
        </w:rPr>
        <w:t>0%-3%</w:t>
      </w:r>
      <w:r w:rsidRPr="002940F0">
        <w:rPr>
          <w:rFonts w:ascii="宋体" w:hAnsi="宋体" w:cs="Arial" w:hint="eastAsia"/>
          <w:sz w:val="24"/>
        </w:rPr>
        <w:t>，每个交易日日终在扣除股指期货合约需缴纳的交易保证金后，现金或者到期日在一年以内的政府债券不低于基金资产净值的5%</w:t>
      </w:r>
      <w:r w:rsidRPr="002940F0">
        <w:rPr>
          <w:rFonts w:ascii="宋体" w:hAnsi="宋体" w:cs="Arial"/>
          <w:sz w:val="24"/>
        </w:rPr>
        <w:t>。</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如果法律法规对该比例要求有变更的，以变更后的比例为准，本基金的投资范围会做相应调整。</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（二）基金托管人根据有关法律法规的规定及《基金合同》的约定，对基金投资、融资比例进行监督。基金托管人按下述比例和调整期限进行监督：</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sz w:val="24"/>
        </w:rPr>
        <w:t>1.</w:t>
      </w:r>
      <w:r w:rsidRPr="002940F0">
        <w:rPr>
          <w:rFonts w:ascii="宋体" w:hAnsi="宋体" w:hint="eastAsia"/>
          <w:sz w:val="24"/>
        </w:rPr>
        <w:t>本基金股票投资占基金资产的比例为6</w:t>
      </w:r>
      <w:r w:rsidRPr="002940F0">
        <w:rPr>
          <w:rFonts w:ascii="宋体" w:hAnsi="宋体"/>
          <w:sz w:val="24"/>
        </w:rPr>
        <w:t>0%-95%</w:t>
      </w:r>
      <w:r w:rsidRPr="002940F0">
        <w:rPr>
          <w:rFonts w:ascii="宋体" w:hAnsi="宋体" w:hint="eastAsia"/>
          <w:sz w:val="24"/>
        </w:rPr>
        <w:t>；投资于本基金定义的产业升级主题相关的股票不低于非现金基金资产的</w:t>
      </w:r>
      <w:r w:rsidRPr="002940F0">
        <w:rPr>
          <w:rFonts w:ascii="宋体" w:hAnsi="宋体"/>
          <w:sz w:val="24"/>
        </w:rPr>
        <w:t>80%</w:t>
      </w:r>
      <w:r w:rsidRPr="002940F0">
        <w:rPr>
          <w:rFonts w:ascii="宋体" w:hAnsi="宋体" w:hint="eastAsia"/>
          <w:sz w:val="24"/>
        </w:rPr>
        <w:t>；</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2. 每个交易日日终，在扣除股指期货合约需缴纳的交易保证金以后，保持不低于基金资产净值5％的现金或者到期日在一年以内的政府债券；</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3.本基金持有一家公司发行的证券，其市值不超过基金资产净值的10％；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4.</w:t>
      </w:r>
      <w:r w:rsidRPr="002940F0">
        <w:rPr>
          <w:rFonts w:ascii="宋体" w:hAnsi="宋体" w:hint="eastAsia"/>
        </w:rPr>
        <w:t xml:space="preserve"> </w:t>
      </w:r>
      <w:r w:rsidRPr="002940F0">
        <w:rPr>
          <w:rFonts w:ascii="宋体" w:hAnsi="宋体" w:hint="eastAsia"/>
          <w:sz w:val="24"/>
        </w:rPr>
        <w:t>本基金管理人管理的且由本托管人托管的全部基金持有一家公司发行的证券，不超过该证券的10％；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5.本基金持有的全部权证，其市值不得超过基金资产净值的3％；</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6.本基金管理人管理的且由本托管人托管的全部基金持有的同一权证，不得</w:t>
      </w:r>
      <w:r w:rsidRPr="002940F0">
        <w:rPr>
          <w:rFonts w:ascii="宋体" w:hAnsi="宋体" w:hint="eastAsia"/>
          <w:sz w:val="24"/>
        </w:rPr>
        <w:lastRenderedPageBreak/>
        <w:t>超过该权证的10%；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7.本基金在任何交易日买入权证的总金额，不得超过上一交易日基金资产净值的0.5％；</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8.本基金投资于同一原始权益人的各类资产支持证券的比例，不得超过基金资产净值的10％；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9.本基金持有的全部资产支持证券，其市值不得超过基金资产净值的20％；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10.本基金持有的同一(指同一信用级别)资产支持证券的比例，不得超过该资产支持证券规模的10％；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11.本基金管理人管理的且由本托管人托管的全部基金投资于同一原始权益人的各类资产支持证券，不得超过其各类资产支持证券合计规模的10%；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13.基金财产参与股票发行申购，本基金所申报的金额不超过本基金的总资产，本基金所申报的股票数量不超过拟发行股票公司本次发行股票的总量；</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14.本基金进入全国银行间同业市场进行债券回购的资金余额不得超过基金资产净值的40％；本基金在全国银行间同业市场中的债券回购最长期限为1年，债券回购到期后不得展期；</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15.本基金资产总值不得超过基金资产净值的140%；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16.</w:t>
      </w:r>
      <w:r w:rsidRPr="002940F0">
        <w:rPr>
          <w:rFonts w:ascii="宋体" w:hAnsi="宋体" w:hint="eastAsia"/>
        </w:rPr>
        <w:t xml:space="preserve"> </w:t>
      </w:r>
      <w:r w:rsidRPr="002940F0">
        <w:rPr>
          <w:rFonts w:ascii="宋体" w:hAnsi="宋体" w:hint="eastAsia"/>
          <w:sz w:val="24"/>
        </w:rPr>
        <w:t xml:space="preserve">本基金仅在参与股指期货投资时遵循本条投资组合限制： </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1）本基金在任何交易日日终，持有的买入股指期货合约价值，不得超过基金资产净值的10%；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3）本基金在任何交易日日终，持有的卖出股指期货合约价值不得超过本基金持有的股票总市值的20%；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4）本基金所持有的股票市值和买入、卖出股指期货合约价值，合计（轧差计算）应当符合基金合同关于股票投资比例的有关约定；</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lastRenderedPageBreak/>
        <w:t>5）本基金在任何交易日内交易（不包括平仓）的股指期货合约的成交金额不得超过上一交易日基金资产净值的20%；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本基金在开始进行股指期货投资之前，应与基金托管人、期货公司三方一同就股指期货开户、清算、估值、交收等事宜另行签署《期货投资托管操作三方备忘录》。</w:t>
      </w:r>
    </w:p>
    <w:p w:rsidR="002940F0" w:rsidRPr="002940F0" w:rsidRDefault="002940F0" w:rsidP="002940F0">
      <w:pPr>
        <w:adjustRightInd w:val="0"/>
        <w:snapToGrid w:val="0"/>
        <w:spacing w:line="360" w:lineRule="auto"/>
        <w:ind w:firstLineChars="200" w:firstLine="480"/>
        <w:rPr>
          <w:rFonts w:ascii="宋体" w:hAnsi="宋体"/>
          <w:bCs/>
          <w:sz w:val="24"/>
        </w:rPr>
      </w:pPr>
      <w:r w:rsidRPr="002940F0">
        <w:rPr>
          <w:rFonts w:ascii="宋体" w:hAnsi="宋体"/>
          <w:sz w:val="24"/>
        </w:rPr>
        <w:t>17.</w:t>
      </w:r>
      <w:r w:rsidRPr="002940F0">
        <w:rPr>
          <w:rFonts w:ascii="宋体" w:hAnsi="宋体" w:hint="eastAsia"/>
        </w:rPr>
        <w:t xml:space="preserve"> </w:t>
      </w:r>
      <w:r w:rsidRPr="002940F0">
        <w:rPr>
          <w:rFonts w:ascii="宋体" w:hAnsi="宋体" w:hint="eastAsia"/>
          <w:bCs/>
          <w:sz w:val="24"/>
        </w:rPr>
        <w:t>本基金持有的所有流通受限证券，其公允价值不得超过本基金资产净值的20%；本基金持有的同一流通受限证券，其公允价值不得超过本基金资产净值的10%。</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18.法律法规及中国证监会规定的和《基金合同》约定的其他投资限制。</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如果法律法规对上述投资组合比例限制进行变更的，以变更后的规定为准。法律法规或监管部门取消上述限制，如适用于本基金，则本基金投资不再受相关限制。不需要经基金份额持有人大会审议，但须提前公告。</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（三）基金托管人</w:t>
      </w:r>
      <w:bookmarkStart w:id="5" w:name="OLE_LINK1"/>
      <w:r w:rsidRPr="002940F0">
        <w:rPr>
          <w:rFonts w:ascii="宋体" w:hAnsi="宋体" w:cs="Arial" w:hint="eastAsia"/>
          <w:sz w:val="24"/>
        </w:rPr>
        <w:t>根据有关法律法规的规定及《基金合同》的约定，</w:t>
      </w:r>
      <w:bookmarkEnd w:id="5"/>
      <w:r w:rsidRPr="002940F0">
        <w:rPr>
          <w:rFonts w:ascii="宋体" w:hAnsi="宋体" w:cs="Arial" w:hint="eastAsia"/>
          <w:sz w:val="24"/>
        </w:rPr>
        <w:t>对本托管协议第十五条第十二款基金投资禁止行为通过事后监督方式进行监督。</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w:t>
      </w:r>
      <w:r w:rsidRPr="002940F0">
        <w:rPr>
          <w:rFonts w:ascii="宋体" w:hAnsi="宋体" w:cs="Arial"/>
          <w:sz w:val="24"/>
        </w:rPr>
        <w:t>。</w:t>
      </w:r>
      <w:r w:rsidRPr="002940F0">
        <w:rPr>
          <w:rFonts w:ascii="宋体" w:hAnsi="宋体" w:cs="Arial" w:hint="eastAsia"/>
          <w:sz w:val="24"/>
        </w:rPr>
        <w:t>相关交易必须事先得到基金托管人的同意，并</w:t>
      </w:r>
      <w:r w:rsidRPr="002940F0">
        <w:rPr>
          <w:rFonts w:ascii="宋体" w:hAnsi="宋体" w:cs="Arial"/>
          <w:sz w:val="24"/>
        </w:rPr>
        <w:t>按法律法规予以披露</w:t>
      </w:r>
      <w:r w:rsidRPr="002940F0">
        <w:rPr>
          <w:rFonts w:ascii="宋体" w:hAnsi="宋体" w:cs="Arial" w:hint="eastAsia"/>
          <w:sz w:val="24"/>
        </w:rPr>
        <w:t>。重大关联交易应提交基金管理人董事会审议，并经过三分之二以上的独立董事通过。</w:t>
      </w:r>
    </w:p>
    <w:p w:rsidR="002940F0" w:rsidRPr="002940F0" w:rsidRDefault="002940F0" w:rsidP="002940F0">
      <w:pPr>
        <w:adjustRightInd w:val="0"/>
        <w:snapToGrid w:val="0"/>
        <w:spacing w:line="360" w:lineRule="auto"/>
        <w:ind w:firstLineChars="200" w:firstLine="480"/>
        <w:rPr>
          <w:rFonts w:ascii="宋体" w:hAnsi="宋体" w:cs="Arial"/>
        </w:rPr>
      </w:pPr>
      <w:r w:rsidRPr="002940F0">
        <w:rPr>
          <w:rFonts w:ascii="宋体" w:hAnsi="宋体" w:cs="Arial" w:hint="eastAsia"/>
          <w:sz w:val="24"/>
        </w:rPr>
        <w:t>（四）基金托管人根据有关法律法规的规定及《基金合同》的约定，对基金</w:t>
      </w:r>
      <w:r w:rsidRPr="002940F0">
        <w:rPr>
          <w:rFonts w:ascii="宋体" w:hAnsi="宋体" w:cs="Arial" w:hint="eastAsia"/>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2940F0" w:rsidRPr="002940F0" w:rsidRDefault="002940F0" w:rsidP="002940F0">
      <w:pPr>
        <w:adjustRightInd w:val="0"/>
        <w:snapToGrid w:val="0"/>
        <w:spacing w:line="360" w:lineRule="auto"/>
        <w:ind w:firstLineChars="200" w:firstLine="480"/>
        <w:rPr>
          <w:rFonts w:ascii="宋体" w:hAnsi="宋体" w:cs="Arial"/>
        </w:rPr>
      </w:pPr>
      <w:r w:rsidRPr="002940F0">
        <w:rPr>
          <w:rFonts w:ascii="宋体" w:hAnsi="宋体" w:cs="Arial" w:hint="eastAsia"/>
          <w:color w:val="000000"/>
          <w:sz w:val="24"/>
        </w:rPr>
        <w:t>基金管理人负责对交易对手的资信控制，按银行间债券市场的交易规则进行</w:t>
      </w:r>
      <w:r w:rsidRPr="00B22B1F">
        <w:rPr>
          <w:rFonts w:ascii="宋体" w:hAnsi="宋体" w:hint="eastAsia"/>
          <w:sz w:val="24"/>
        </w:rPr>
        <w:t>交易，并</w:t>
      </w:r>
      <w:r w:rsidRPr="002940F0">
        <w:rPr>
          <w:rFonts w:ascii="宋体" w:hAnsi="宋体" w:hint="eastAsia"/>
          <w:sz w:val="24"/>
        </w:rPr>
        <w:t>负责解决因交易对手不履行合同而造成的纠纷及损失，基金托管人不承担由此造成的任何法律责任及损失。</w:t>
      </w:r>
      <w:r w:rsidRPr="00B22B1F">
        <w:rPr>
          <w:rFonts w:ascii="宋体" w:hAnsi="宋体" w:hint="eastAsia"/>
          <w:sz w:val="24"/>
        </w:rPr>
        <w:t>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w:t>
      </w:r>
      <w:r w:rsidRPr="002940F0">
        <w:rPr>
          <w:rFonts w:ascii="宋体" w:hAnsi="宋体" w:cs="Arial" w:hint="eastAsia"/>
          <w:color w:val="000000"/>
          <w:sz w:val="24"/>
        </w:rPr>
        <w:t>履行情况进行监督。如基金托管人事后发现基金管理人没有按照事先约定的交易对手或交易方式进行交易时，基金托管人应及时提醒基金管理人，基金托管人不承担由此造成的任何损失和责任。</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（五）基金托管人根据有关法律法规的规定及《基金合同》的约定，对基金管理人投资流通受限证券进行监督。</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hint="eastAsia"/>
          <w:sz w:val="24"/>
        </w:rPr>
        <w:t>基金管理人投资流通受限证券，应事先根据中国证监会相关规定，明确基金投资流通受限证券的比例，</w:t>
      </w:r>
      <w:r w:rsidRPr="002940F0">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cs="Arial" w:hint="eastAsia"/>
          <w:sz w:val="24"/>
        </w:rPr>
        <w:t>1.本基金</w:t>
      </w:r>
      <w:r w:rsidRPr="002940F0">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cs="Arial" w:hint="eastAsia"/>
          <w:sz w:val="24"/>
        </w:rPr>
        <w:t>本基金</w:t>
      </w:r>
      <w:r w:rsidRPr="002940F0">
        <w:rPr>
          <w:rFonts w:ascii="宋体" w:hAnsi="宋体" w:hint="eastAsia"/>
          <w:sz w:val="24"/>
        </w:rPr>
        <w:t>投资的流通受限证券限于可由中国证券登记结算有限责任公司或中央国债登记结算有限责任公司负责登记和存管，并可在证券交易所或全国银行间债</w:t>
      </w:r>
      <w:r w:rsidRPr="002940F0">
        <w:rPr>
          <w:rFonts w:ascii="宋体" w:hAnsi="宋体" w:hint="eastAsia"/>
          <w:sz w:val="24"/>
        </w:rPr>
        <w:lastRenderedPageBreak/>
        <w:t>券市场交易的证券。</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cs="Arial" w:hint="eastAsia"/>
          <w:sz w:val="24"/>
        </w:rPr>
        <w:t>本基金</w:t>
      </w:r>
      <w:r w:rsidRPr="002940F0">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cs="Arial" w:hint="eastAsia"/>
          <w:sz w:val="24"/>
        </w:rPr>
        <w:t>本基金</w:t>
      </w:r>
      <w:r w:rsidRPr="002940F0">
        <w:rPr>
          <w:rFonts w:ascii="宋体" w:hAnsi="宋体" w:hint="eastAsia"/>
          <w:sz w:val="24"/>
        </w:rPr>
        <w:t>投资流通受限证券，不得预付任何形式的保证金。</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cs="Arial" w:hint="eastAsia"/>
          <w:sz w:val="24"/>
        </w:rPr>
        <w:t>2.</w:t>
      </w:r>
      <w:r w:rsidRPr="002940F0">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940F0">
        <w:rPr>
          <w:rFonts w:ascii="宋体" w:hAnsi="宋体" w:cs="Arial" w:hint="eastAsia"/>
          <w:sz w:val="24"/>
        </w:rPr>
        <w:t>基金管理人应在首次投资流通受限证券前向基金托管人提供</w:t>
      </w:r>
      <w:r w:rsidRPr="002940F0">
        <w:rPr>
          <w:rFonts w:ascii="宋体" w:hAnsi="宋体" w:hint="eastAsia"/>
          <w:sz w:val="24"/>
        </w:rPr>
        <w:t>基金投资非公开发行股票相关流动性风险处置预案。</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w:t>
      </w:r>
      <w:r w:rsidRPr="00CD66D3">
        <w:rPr>
          <w:rFonts w:ascii="宋体" w:hAnsi="宋体" w:hint="eastAsia"/>
          <w:sz w:val="24"/>
        </w:rPr>
        <w:t>致基金现金周转困难时，基金管理人应保证提供足额现金确保基金的支付结算并承担所有损失。</w:t>
      </w:r>
      <w:r w:rsidRPr="002940F0">
        <w:rPr>
          <w:rFonts w:ascii="宋体" w:hAnsi="宋体" w:hint="eastAsia"/>
          <w:sz w:val="24"/>
        </w:rPr>
        <w:t>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cs="Arial" w:hint="eastAsia"/>
          <w:sz w:val="24"/>
        </w:rPr>
        <w:t>3.</w:t>
      </w:r>
      <w:r w:rsidRPr="002940F0">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（1）中国证监会批准发行非公开发行股票的批准文件。</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（2）非公开发行股票有关发行数量、发行价格、锁定期等发行资料。</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（3）非公开发行股票发行人与中国证券登记结算有限责任公司或中央国债登记结算有限责任公司签订的证券登记及服务协议。</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hint="eastAsia"/>
          <w:sz w:val="24"/>
        </w:rPr>
        <w:t>（4）基金拟认购的数量、价格、总成本、账面价值。</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cs="Arial" w:hint="eastAsia"/>
          <w:sz w:val="24"/>
        </w:rPr>
        <w:t>4.</w:t>
      </w:r>
      <w:r w:rsidRPr="002940F0">
        <w:rPr>
          <w:rFonts w:ascii="宋体" w:hAnsi="宋体" w:hint="eastAsia"/>
          <w:sz w:val="24"/>
        </w:rPr>
        <w:t>基金管理人应在本基金投资非公开发行股票后两个交易日内，在中国证监会指定媒介披露所投资非公开发行股票的名称、数量、总成本、账面价值，以及</w:t>
      </w:r>
      <w:r w:rsidRPr="002940F0">
        <w:rPr>
          <w:rFonts w:ascii="宋体" w:hAnsi="宋体" w:hint="eastAsia"/>
          <w:sz w:val="24"/>
        </w:rPr>
        <w:lastRenderedPageBreak/>
        <w:t>总成本和账面价值占基金资产净值的比例、锁定期等信息。</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本基金有关投资流通受限证券比例如违反有关限制规定，在合理期限内未能进行及时调整，基金管理人应在两个工作日内编制临时报告书，予以公告。</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cs="Arial" w:hint="eastAsia"/>
          <w:sz w:val="24"/>
        </w:rPr>
        <w:t>5.</w:t>
      </w:r>
      <w:r w:rsidRPr="002940F0">
        <w:rPr>
          <w:rFonts w:ascii="宋体" w:hAnsi="宋体" w:hint="eastAsia"/>
          <w:sz w:val="24"/>
        </w:rPr>
        <w:t>基金托管人根据有关规定有权对基金管理人进行以下事项监督：</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（1）本基金投资流通受限证券时的法律法规遵守情况。</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（2）在基金投资流通受限证券管理工作方面有关制度、流动性风险处置预案的建立与完善情况。</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（3）有关比例限制的执行情况。</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（4）信息披露情况。</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cs="Arial" w:hint="eastAsia"/>
          <w:sz w:val="24"/>
        </w:rPr>
        <w:t>6.</w:t>
      </w:r>
      <w:r w:rsidRPr="002940F0">
        <w:rPr>
          <w:rFonts w:ascii="宋体" w:hAnsi="宋体" w:hint="eastAsia"/>
          <w:sz w:val="24"/>
        </w:rPr>
        <w:t>相关法律法规对基金投资流通受限证券有新规定的，从其规定。</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940F0" w:rsidRPr="002940F0" w:rsidRDefault="002940F0" w:rsidP="002940F0">
      <w:pPr>
        <w:adjustRightInd w:val="0"/>
        <w:snapToGrid w:val="0"/>
        <w:spacing w:line="360" w:lineRule="auto"/>
        <w:rPr>
          <w:rFonts w:ascii="宋体" w:hAnsi="宋体"/>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940F0">
        <w:rPr>
          <w:rFonts w:ascii="宋体" w:eastAsia="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940F0" w:rsidRPr="002940F0" w:rsidRDefault="002940F0" w:rsidP="002940F0">
      <w:pPr>
        <w:adjustRightInd w:val="0"/>
        <w:snapToGrid w:val="0"/>
        <w:spacing w:line="360" w:lineRule="auto"/>
        <w:rPr>
          <w:rFonts w:ascii="宋体" w:hAnsi="宋体"/>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2940F0">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（一）基金财产保管的原则</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1.基金财产应独立于基金管理人、基金托管人的固有财产。</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lastRenderedPageBreak/>
        <w:t>2.基金托管人应安全保管基金财产。</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3.基金托管人按照规定开设基金财产的资金账户、证券账户等投资所需账户。</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4.基金托管人对所托管的不同基金财产分别设置账户，确保基金财产的完整与独立。</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5.基金托管人按照《基金合同》和本协议的约定保管基金财产，如有特殊情况双方可另行协商解决。基金</w:t>
      </w:r>
      <w:r w:rsidRPr="002940F0">
        <w:rPr>
          <w:rFonts w:ascii="宋体" w:hAnsi="宋体"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7.除依据法律法规和《基金合同》的规定外，基金托管人不得委托第三人托管基金财产。</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（二）基金募集期间及募集资金的验资</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1.基金募集期间募集的资金应存于基金管理人在基金托管人的营业机构开立的“基金募集专户”。该账户由基金管理人开立并管理。</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3.若基金募集期限届满，未能达到《基金合同》生效的条件，由基金管理人按规定办理退款等事宜。</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（三）基金银行账户的开立和管理</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1.基金托管人应以本基金的名义在其营业机构开立基金的银行账户，并根据基金管理人合法合规的指令办理资金收付。本基金的银行预留印鉴由基金托管人保管和使用。</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3.基金银行账户的开立和管理应符合银行业监督管理机构的有关规定。</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4.在符合法律法规规定的条件下，基金托管人可以通过基金托管人专用账户办理基金资产的支付。</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（四）基金证券账户和结算备付金账户的开立和管理</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1.基金托管人在中国证券登记结算有限责任公司上海分公司、深圳分公司为基金开立基金托管人与基金联名的证券账户。</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3.基金证券账户的开立和证券账户卡的保管由基金托管人负责，账户资产的管理和运用由基金管理人负责。</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证券账户开户费</w:t>
      </w:r>
      <w:r w:rsidRPr="002940F0">
        <w:rPr>
          <w:rFonts w:ascii="宋体" w:hAnsi="宋体"/>
          <w:sz w:val="24"/>
        </w:rPr>
        <w:t>由</w:t>
      </w:r>
      <w:r w:rsidRPr="002940F0">
        <w:rPr>
          <w:rFonts w:ascii="宋体" w:hAnsi="宋体" w:hint="eastAsia"/>
          <w:sz w:val="24"/>
        </w:rPr>
        <w:t>基金管理人先行垫付</w:t>
      </w:r>
      <w:r w:rsidRPr="002940F0">
        <w:rPr>
          <w:rFonts w:ascii="宋体" w:hAnsi="宋体"/>
          <w:sz w:val="24"/>
        </w:rPr>
        <w:t>,</w:t>
      </w:r>
      <w:r w:rsidRPr="002940F0">
        <w:rPr>
          <w:rFonts w:ascii="宋体" w:hAnsi="宋体" w:hint="eastAsia"/>
          <w:sz w:val="24"/>
        </w:rPr>
        <w:t>待托管产品启始运营后</w:t>
      </w:r>
      <w:r w:rsidRPr="002940F0">
        <w:rPr>
          <w:rFonts w:ascii="宋体" w:hAnsi="宋体"/>
          <w:sz w:val="24"/>
        </w:rPr>
        <w:t>,</w:t>
      </w:r>
      <w:r w:rsidRPr="002940F0">
        <w:rPr>
          <w:rFonts w:ascii="宋体" w:hAnsi="宋体" w:hint="eastAsia"/>
          <w:sz w:val="24"/>
        </w:rPr>
        <w:t>基金</w:t>
      </w:r>
      <w:r w:rsidRPr="002940F0">
        <w:rPr>
          <w:rFonts w:ascii="宋体" w:hAnsi="宋体"/>
          <w:sz w:val="24"/>
        </w:rPr>
        <w:t>管理人可向</w:t>
      </w:r>
      <w:r w:rsidRPr="002940F0">
        <w:rPr>
          <w:rFonts w:ascii="宋体" w:hAnsi="宋体" w:hint="eastAsia"/>
          <w:sz w:val="24"/>
        </w:rPr>
        <w:t>基金</w:t>
      </w:r>
      <w:r w:rsidRPr="002940F0">
        <w:rPr>
          <w:rFonts w:ascii="宋体" w:hAnsi="宋体"/>
          <w:sz w:val="24"/>
        </w:rPr>
        <w:t>托管人发送划款指令,将代垫开户费从本</w:t>
      </w:r>
      <w:r w:rsidRPr="002940F0">
        <w:rPr>
          <w:rFonts w:ascii="宋体" w:hAnsi="宋体" w:hint="eastAsia"/>
          <w:sz w:val="24"/>
        </w:rPr>
        <w:t>基金托管资金</w:t>
      </w:r>
      <w:r w:rsidRPr="002940F0">
        <w:rPr>
          <w:rFonts w:ascii="宋体" w:hAnsi="宋体"/>
          <w:sz w:val="24"/>
        </w:rPr>
        <w:t>账户中</w:t>
      </w:r>
      <w:r w:rsidRPr="002940F0">
        <w:rPr>
          <w:rFonts w:ascii="宋体" w:hAnsi="宋体" w:hint="eastAsia"/>
          <w:sz w:val="24"/>
        </w:rPr>
        <w:t>扣还基金管理人。</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（五）债券托管专户的开设和管理</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w:t>
      </w:r>
      <w:r w:rsidRPr="002940F0">
        <w:rPr>
          <w:rFonts w:ascii="宋体" w:hAnsi="宋体" w:cs="Arial" w:hint="eastAsia"/>
          <w:sz w:val="24"/>
        </w:rPr>
        <w:lastRenderedPageBreak/>
        <w:t>间市场债券的结算。基金管理人和基金托管人共同代表基金签订全国银行间债券市场债券回购主协议。</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（六）其他账户的开立和管理</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2.法律法规等有关规定对相关账户的开立和管理另有规定的，从其规定办理。</w:t>
      </w:r>
    </w:p>
    <w:p w:rsidR="002940F0" w:rsidRPr="002940F0" w:rsidRDefault="002940F0" w:rsidP="002940F0">
      <w:pPr>
        <w:adjustRightInd w:val="0"/>
        <w:snapToGrid w:val="0"/>
        <w:spacing w:line="360" w:lineRule="auto"/>
        <w:ind w:firstLine="480"/>
        <w:rPr>
          <w:rFonts w:ascii="宋体" w:hAnsi="宋体" w:cs="Arial"/>
          <w:sz w:val="24"/>
        </w:rPr>
      </w:pPr>
      <w:r w:rsidRPr="002940F0">
        <w:rPr>
          <w:rFonts w:ascii="宋体" w:hAnsi="宋体" w:cs="Arial" w:hint="eastAsia"/>
          <w:sz w:val="24"/>
        </w:rPr>
        <w:t>（七）基金财产投资的有关有价凭证等的保管</w:t>
      </w:r>
    </w:p>
    <w:p w:rsidR="002940F0" w:rsidRPr="002940F0" w:rsidRDefault="002940F0" w:rsidP="002940F0">
      <w:pPr>
        <w:adjustRightInd w:val="0"/>
        <w:snapToGrid w:val="0"/>
        <w:spacing w:line="360" w:lineRule="auto"/>
        <w:ind w:firstLineChars="200" w:firstLine="480"/>
        <w:rPr>
          <w:rFonts w:ascii="宋体" w:hAnsi="宋体" w:cs="Arial"/>
        </w:rPr>
      </w:pPr>
      <w:r w:rsidRPr="002940F0">
        <w:rPr>
          <w:rFonts w:ascii="宋体" w:hAnsi="宋体" w:cs="Arial" w:hint="eastAsia"/>
          <w:sz w:val="24"/>
        </w:rPr>
        <w:t>基金财产投资的有关实物证券、银行</w:t>
      </w:r>
      <w:r w:rsidRPr="002940F0">
        <w:rPr>
          <w:rFonts w:ascii="宋体" w:hAnsi="宋体" w:hint="eastAsia"/>
          <w:sz w:val="24"/>
        </w:rPr>
        <w:t>存款开户证实书</w:t>
      </w:r>
      <w:r w:rsidRPr="002940F0">
        <w:rPr>
          <w:rFonts w:ascii="宋体" w:hAnsi="宋体" w:cs="Arial" w:hint="eastAsia"/>
          <w:sz w:val="24"/>
        </w:rPr>
        <w:t>等有价凭证由基金托管人存放于基金托管人的保管库，也可存入中央国债登记结算有限责任公司、中国证券登记结算有限责任公司上海分公司/深圳分公司、银行间市场清算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（八）与基金财产有关的重大合同的保管</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2940F0" w:rsidRPr="002940F0" w:rsidRDefault="002940F0" w:rsidP="002940F0">
      <w:pPr>
        <w:adjustRightInd w:val="0"/>
        <w:snapToGrid w:val="0"/>
        <w:spacing w:line="360" w:lineRule="auto"/>
        <w:ind w:firstLineChars="200" w:firstLine="480"/>
        <w:rPr>
          <w:rFonts w:ascii="宋体" w:hAnsi="宋体"/>
          <w:sz w:val="30"/>
          <w:szCs w:val="30"/>
        </w:rPr>
      </w:pPr>
      <w:r w:rsidRPr="002940F0">
        <w:rPr>
          <w:rFonts w:ascii="宋体" w:hAnsi="宋体" w:cs="Arial" w:hint="eastAsia"/>
          <w:sz w:val="24"/>
        </w:rPr>
        <w:t>对于无法取得二份以上的正本的，基金管理人应向基金托管人提供加盖公章的合同传真件，未经双方协商一致，合同原件不得转移。</w:t>
      </w:r>
    </w:p>
    <w:p w:rsidR="002940F0" w:rsidRPr="002940F0" w:rsidRDefault="002940F0" w:rsidP="002940F0">
      <w:pPr>
        <w:adjustRightInd w:val="0"/>
        <w:snapToGrid w:val="0"/>
        <w:spacing w:line="360" w:lineRule="auto"/>
        <w:rPr>
          <w:rFonts w:ascii="宋体" w:hAnsi="宋体"/>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940F0">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lastRenderedPageBreak/>
        <w:t>（一）基金管理人对发送指令人员的书面授权</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1.基金管理人应指定专人向基金托管人发送指令。</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2.基金管理人应向基金托管人提供书面授权文件，内容包括被授权人名单、预留印鉴及被授权人签字样本，授权文件应注明被授权人相应的权限。</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（二）指令的内容</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1.指令包括付款指令以及其他资金划拨指令等。</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2.基金管理人发给基金托管人的指令应写明款项事由、支付时间、到账时间、金额、账户等，加盖预留印鉴并由被授权人签字。</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（三）指令的发送、确认及执行的时间和程序</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1.指令的发送</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基金管理人发送指令应采用加密传真方式或双方协商一致的其他方式。</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指令发出后，基金管理人应及时以电话方式向基金托管人确认。</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hint="eastAsia"/>
          <w:sz w:val="24"/>
        </w:rPr>
        <w:t>基金管理人应在银行间交易成交后，及时</w:t>
      </w:r>
      <w:r w:rsidRPr="00124ADB">
        <w:rPr>
          <w:rFonts w:ascii="宋体" w:hAnsi="宋体" w:hint="cs"/>
          <w:sz w:val="24"/>
        </w:rPr>
        <w:t> </w:t>
      </w:r>
      <w:r w:rsidRPr="00124ADB">
        <w:rPr>
          <w:rFonts w:ascii="宋体" w:hAnsi="宋体" w:hint="eastAsia"/>
          <w:sz w:val="24"/>
        </w:rPr>
        <w:t>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2.指令的确认</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基金托管人应指定专人接收基金管理人的指令，预先通知基金管理人其名单，</w:t>
      </w:r>
      <w:r w:rsidRPr="00124ADB">
        <w:rPr>
          <w:rFonts w:ascii="宋体" w:hAnsi="宋体" w:cs="Arial" w:hint="eastAsia"/>
          <w:sz w:val="24"/>
        </w:rPr>
        <w:lastRenderedPageBreak/>
        <w:t>并与基金管理人商定指令发送和接收方式。指令到达基金托管人后，基金托管人应指定专人立即审慎验证</w:t>
      </w:r>
      <w:r w:rsidRPr="00124ADB">
        <w:rPr>
          <w:rFonts w:ascii="宋体" w:hAnsi="宋体" w:hint="eastAsia"/>
          <w:sz w:val="24"/>
        </w:rPr>
        <w:t>指令的要素是否齐全，并将指令所载签字和印鉴与授权通知进行表面真实性及权限范围核对，复核无误后应在规定期限内执行，不得延误。</w:t>
      </w:r>
      <w:r w:rsidRPr="00124ADB">
        <w:rPr>
          <w:rFonts w:ascii="宋体" w:hAnsi="宋体" w:cs="Arial" w:hint="eastAsia"/>
          <w:sz w:val="24"/>
        </w:rPr>
        <w:t>如有疑问必须及时通知基金管理人。</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3.指令的时间和执行</w:t>
      </w:r>
    </w:p>
    <w:p w:rsidR="002940F0" w:rsidRPr="00124ADB" w:rsidRDefault="002940F0" w:rsidP="002940F0">
      <w:pPr>
        <w:pStyle w:val="ad"/>
        <w:spacing w:line="360" w:lineRule="auto"/>
        <w:ind w:firstLineChars="0"/>
        <w:rPr>
          <w:rFonts w:ascii="宋体" w:eastAsia="宋体" w:hAnsi="宋体" w:cs="Arial"/>
          <w:szCs w:val="24"/>
          <w:shd w:val="pct15" w:color="auto" w:fill="FFFFFF"/>
        </w:rPr>
      </w:pPr>
      <w:r w:rsidRPr="00124ADB">
        <w:rPr>
          <w:rFonts w:ascii="宋体" w:eastAsia="宋体" w:hAnsi="宋体" w:cs="Arial" w:hint="eastAsia"/>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w:t>
      </w:r>
      <w:r w:rsidRPr="00124ADB">
        <w:rPr>
          <w:rFonts w:ascii="宋体" w:eastAsia="宋体" w:hAnsi="宋体" w:hint="eastAsia"/>
          <w:szCs w:val="24"/>
        </w:rPr>
        <w:t>赔偿在该交易市场引起其他托管客户交易失败、</w:t>
      </w:r>
      <w:r w:rsidRPr="00124ADB">
        <w:rPr>
          <w:rFonts w:ascii="宋体" w:eastAsia="宋体" w:hAnsi="宋体" w:cs="Arial" w:hint="eastAsia"/>
          <w:szCs w:val="24"/>
        </w:rPr>
        <w:t>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2940F0" w:rsidRPr="00124ADB" w:rsidRDefault="002940F0" w:rsidP="002940F0">
      <w:pPr>
        <w:pStyle w:val="ad"/>
        <w:spacing w:line="360" w:lineRule="auto"/>
        <w:ind w:firstLineChars="0"/>
        <w:rPr>
          <w:rFonts w:ascii="宋体" w:eastAsia="宋体" w:hAnsi="宋体" w:cs="Arial"/>
          <w:szCs w:val="24"/>
        </w:rPr>
      </w:pPr>
      <w:r w:rsidRPr="00124ADB">
        <w:rPr>
          <w:rFonts w:ascii="宋体" w:eastAsia="宋体" w:hAnsi="宋体" w:cs="Arial" w:hint="eastAsia"/>
          <w:szCs w:val="24"/>
        </w:rPr>
        <w:t>（四）基金管理人发送错误指令的情形和处理程序</w:t>
      </w:r>
    </w:p>
    <w:p w:rsidR="002940F0" w:rsidRPr="00124ADB" w:rsidRDefault="002940F0" w:rsidP="002940F0">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基金管理人发送错误指令的情形包括指令违反法律法规和《基金合同》，指令发送人员无权或超越权限发送指令。</w:t>
      </w:r>
    </w:p>
    <w:p w:rsidR="002940F0" w:rsidRPr="00124ADB" w:rsidRDefault="002940F0" w:rsidP="002940F0">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2940F0" w:rsidRPr="00124ADB" w:rsidRDefault="002940F0" w:rsidP="002940F0">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（五）基金托管人依照法律法规暂缓、拒绝执行指令的情形和处理程序</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若基金托管人发现基金管理人的指令违反法律法规，或者违反《基金合同》约定的，有权视情况暂缓或拒绝执行，并立即通知基金管理人。</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（六）基金托管人未按照基金管理人指令执行的处理方法</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基金托管人由于自身原因，未按照基金管理人发送的指令执行并对基金财产造成的直接损失，由基金托管人</w:t>
      </w:r>
      <w:r w:rsidRPr="00124ADB">
        <w:rPr>
          <w:rFonts w:ascii="宋体" w:hAnsi="宋体" w:hint="eastAsia"/>
          <w:sz w:val="24"/>
        </w:rPr>
        <w:t>赔偿由此造成的直接损失。</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lastRenderedPageBreak/>
        <w:t>（七）更换被授权人员的程序</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应及时通知基金管理人</w:t>
      </w:r>
      <w:r w:rsidRPr="00124ADB">
        <w:rPr>
          <w:rFonts w:ascii="宋体" w:hAnsi="宋体" w:hint="eastAsia"/>
          <w:sz w:val="24"/>
        </w:rPr>
        <w:t>。</w:t>
      </w:r>
      <w:r w:rsidRPr="00124ADB">
        <w:rPr>
          <w:rFonts w:ascii="宋体" w:hAnsi="宋体" w:cs="Arial" w:hint="eastAsia"/>
          <w:sz w:val="24"/>
        </w:rPr>
        <w:t>基金托管人更换接受基金管理人指令的人员，应提前通过录音电话通知基金管理人。</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（八）其他事项</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有效指令对基金财产造成的损失不承担赔偿责任。</w:t>
      </w:r>
    </w:p>
    <w:p w:rsidR="002940F0" w:rsidRPr="00124ADB" w:rsidRDefault="002940F0" w:rsidP="002940F0">
      <w:pPr>
        <w:adjustRightInd w:val="0"/>
        <w:snapToGrid w:val="0"/>
        <w:spacing w:line="360" w:lineRule="auto"/>
        <w:ind w:firstLine="480"/>
        <w:rPr>
          <w:rFonts w:ascii="宋体" w:hAnsi="宋体" w:cs="Arial"/>
          <w:sz w:val="24"/>
        </w:rPr>
      </w:pPr>
      <w:r w:rsidRPr="00124ADB">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2940F0" w:rsidRPr="002940F0" w:rsidRDefault="002940F0" w:rsidP="002940F0">
      <w:pPr>
        <w:adjustRightInd w:val="0"/>
        <w:snapToGrid w:val="0"/>
        <w:spacing w:line="360" w:lineRule="auto"/>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2940F0">
        <w:rPr>
          <w:rFonts w:ascii="宋体" w:eastAsia="宋体" w:hAnsi="宋体"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（一）选择证券/期货买卖的证券/期货经营机构</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按法规要求予以披露，并将该等情况及基金交易单元号、佣金费率等基本信息以及变更情况及时以书面形式通知基金托管人。</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基金管理人负责选择为本基金提供期货交易服务的期货经纪公司，并与其签订期货经纪合同。基金管理人、基金托管人和期货公司等可就基金参与股指期货交易的具体事项另行签订协议约定。</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（二）基金投资证券后的清算交收安排</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lastRenderedPageBreak/>
        <w:t>1.清算与交割</w:t>
      </w:r>
    </w:p>
    <w:p w:rsidR="002940F0" w:rsidRPr="00124ADB" w:rsidRDefault="002940F0" w:rsidP="00124ADB">
      <w:pPr>
        <w:adjustRightInd w:val="0"/>
        <w:snapToGrid w:val="0"/>
        <w:spacing w:line="360" w:lineRule="auto"/>
        <w:ind w:firstLine="480"/>
        <w:rPr>
          <w:rFonts w:ascii="宋体" w:hAnsi="宋体"/>
          <w:sz w:val="24"/>
        </w:rPr>
      </w:pPr>
      <w:r w:rsidRPr="00124ADB">
        <w:rPr>
          <w:rFonts w:ascii="宋体" w:hAnsi="宋体" w:hint="eastAsia"/>
          <w:sz w:val="24"/>
        </w:rPr>
        <w:t>基金管理人与基金托管人应根据有关法律法规及相关业务规则，签订《托管银行证券资金结算协议》，用以具体明确基金管理人与基金托管人在证券交易资金结算业务中的责任。</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w:t>
      </w:r>
      <w:r w:rsidRPr="00124ADB">
        <w:rPr>
          <w:rFonts w:ascii="宋体" w:hAnsi="宋体" w:hint="eastAsia"/>
          <w:sz w:val="24"/>
        </w:rPr>
        <w:t>基金和基金托管人托管的其他</w:t>
      </w:r>
      <w:r w:rsidRPr="00124ADB">
        <w:rPr>
          <w:rFonts w:ascii="宋体" w:hAnsi="宋体" w:cs="Arial" w:hint="eastAsia"/>
          <w:sz w:val="24"/>
        </w:rPr>
        <w:t>资产造成的直接损失由基金管理人承担。</w:t>
      </w:r>
    </w:p>
    <w:p w:rsidR="002940F0" w:rsidRPr="00124ADB" w:rsidRDefault="002940F0" w:rsidP="00124ADB">
      <w:pPr>
        <w:adjustRightInd w:val="0"/>
        <w:snapToGrid w:val="0"/>
        <w:spacing w:line="360" w:lineRule="auto"/>
        <w:ind w:firstLine="480"/>
        <w:rPr>
          <w:rFonts w:ascii="宋体" w:hAnsi="宋体" w:cs="宋体"/>
          <w:color w:val="000000"/>
          <w:kern w:val="0"/>
          <w:sz w:val="24"/>
        </w:rPr>
      </w:pPr>
      <w:r w:rsidRPr="00124ADB">
        <w:rPr>
          <w:rFonts w:ascii="宋体" w:hAnsi="宋体" w:cs="宋体" w:hint="eastAsia"/>
          <w:color w:val="000000"/>
          <w:kern w:val="0"/>
          <w:sz w:val="24"/>
        </w:rPr>
        <w:t>基金管理人应采取合理、必要措施，确保T日日终有足够的资金头寸完成 T+1日</w:t>
      </w:r>
      <w:r w:rsidRPr="00124ADB">
        <w:rPr>
          <w:rFonts w:ascii="宋体" w:hAnsi="宋体" w:hint="eastAsia"/>
          <w:sz w:val="24"/>
        </w:rPr>
        <w:t>的</w:t>
      </w:r>
      <w:r w:rsidRPr="00124ADB">
        <w:rPr>
          <w:rFonts w:ascii="宋体" w:hAnsi="宋体" w:cs="宋体" w:hint="eastAsia"/>
          <w:color w:val="000000"/>
          <w:kern w:val="0"/>
          <w:sz w:val="24"/>
        </w:rPr>
        <w:t>投资交易</w:t>
      </w:r>
      <w:r w:rsidRPr="00124ADB">
        <w:rPr>
          <w:rFonts w:ascii="宋体" w:hAnsi="宋体" w:hint="eastAsia"/>
          <w:sz w:val="24"/>
        </w:rPr>
        <w:t>资金结算</w:t>
      </w:r>
      <w:r w:rsidRPr="00124ADB">
        <w:rPr>
          <w:rFonts w:ascii="宋体"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sidRPr="00124ADB">
        <w:rPr>
          <w:rFonts w:ascii="宋体" w:hAnsi="宋体" w:hint="eastAsia"/>
          <w:sz w:val="24"/>
        </w:rPr>
        <w:t>和基金托管人托管的其他资产</w:t>
      </w:r>
      <w:r w:rsidRPr="00124ADB">
        <w:rPr>
          <w:rFonts w:ascii="宋体" w:hAnsi="宋体" w:cs="宋体" w:hint="eastAsia"/>
          <w:color w:val="000000"/>
          <w:kern w:val="0"/>
          <w:sz w:val="24"/>
        </w:rPr>
        <w:t>造成的直接损失由基金管理人负责。</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w:t>
      </w:r>
      <w:r w:rsidRPr="00124ADB">
        <w:rPr>
          <w:rFonts w:ascii="宋体" w:hAnsi="宋体" w:cs="宋体" w:hint="eastAsia"/>
          <w:color w:val="000000"/>
          <w:kern w:val="0"/>
          <w:sz w:val="24"/>
        </w:rPr>
        <w:lastRenderedPageBreak/>
        <w:t>金管理人原因造成债券回购交收违约或因折算率变化造成质押欠库，导致中国证券登记结算有限责任公司欠库扣款或对质押券进行处置造成的投资风险和损失由基金管理人承担。</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实行场内T+0交收的资金清算按照基金托管人的相关规定流程执行。</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2.交易记录、资金和证券账目核对的时间和方式</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（1）交易记录的核对</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（2）资金账目的核对</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资金账目由基金管理人与基金托管人按日核实。</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（3）证券账目的核对</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基金管理人和基金托管人每个交易日结束后核对基金证券账目，确保双方账目相符。基金管理人和基金托管人每月月末核对实物证券账目。</w:t>
      </w:r>
    </w:p>
    <w:p w:rsidR="002940F0" w:rsidRPr="00124ADB" w:rsidRDefault="002940F0" w:rsidP="00124ADB">
      <w:pPr>
        <w:adjustRightInd w:val="0"/>
        <w:snapToGrid w:val="0"/>
        <w:spacing w:line="360" w:lineRule="auto"/>
        <w:ind w:firstLine="480"/>
        <w:outlineLvl w:val="0"/>
        <w:rPr>
          <w:rFonts w:ascii="宋体" w:hAnsi="宋体" w:cs="Arial"/>
          <w:sz w:val="24"/>
        </w:rPr>
      </w:pPr>
      <w:r w:rsidRPr="00124ADB">
        <w:rPr>
          <w:rFonts w:ascii="宋体" w:hAnsi="宋体" w:cs="Arial" w:hint="eastAsia"/>
          <w:sz w:val="24"/>
        </w:rPr>
        <w:t>（三）基金申购和赎回业务处理的基本规定</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1.基金份额申购、赎回的确认、清算由基金管理人或其委托的登记机构负责。</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5.如基金管理人委托其他机构办理本基金的登记业务，应保证上述相关事宜按时进行。否则，由基金管理人承担相应的责任。</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lastRenderedPageBreak/>
        <w:t>6.关于清算专用账户的设立和管理</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为满足申购、赎回及分红资金汇划的需要，由基金管理人开立资金清算的专用账户，该账户由登记机构管理。</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8.赎回和分红资金划拨规定</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9.资金指令</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资金指令的格式、内容、发送、接收和确认方式等与投资指令相同。</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（四）申赎净额结算</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2940F0" w:rsidRPr="00124ADB" w:rsidRDefault="002940F0" w:rsidP="00124ADB">
      <w:pPr>
        <w:adjustRightInd w:val="0"/>
        <w:snapToGrid w:val="0"/>
        <w:spacing w:line="360" w:lineRule="auto"/>
        <w:ind w:firstLine="480"/>
        <w:outlineLvl w:val="0"/>
        <w:rPr>
          <w:rFonts w:ascii="宋体" w:hAnsi="宋体" w:cs="Arial"/>
          <w:sz w:val="24"/>
        </w:rPr>
      </w:pPr>
      <w:r w:rsidRPr="00124ADB">
        <w:rPr>
          <w:rFonts w:ascii="宋体" w:hAnsi="宋体" w:cs="Arial" w:hint="eastAsia"/>
          <w:sz w:val="24"/>
        </w:rPr>
        <w:t>（五）基金转换</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1.在本基金与基金管理人管理的其它基金开展转换业务之前，基金管理人应函告基金托管人并就相关事宜进行协商。</w:t>
      </w:r>
    </w:p>
    <w:p w:rsidR="002940F0" w:rsidRPr="00124ADB" w:rsidRDefault="002940F0" w:rsidP="00124ADB">
      <w:pPr>
        <w:adjustRightInd w:val="0"/>
        <w:snapToGrid w:val="0"/>
        <w:spacing w:line="360" w:lineRule="auto"/>
        <w:ind w:firstLine="480"/>
        <w:outlineLvl w:val="0"/>
        <w:rPr>
          <w:rFonts w:ascii="宋体" w:hAnsi="宋体" w:cs="Arial"/>
          <w:sz w:val="24"/>
        </w:rPr>
      </w:pPr>
      <w:r w:rsidRPr="00124ADB">
        <w:rPr>
          <w:rFonts w:ascii="宋体" w:hAnsi="宋体" w:cs="Arial" w:hint="eastAsia"/>
          <w:sz w:val="24"/>
        </w:rPr>
        <w:t>2.基金托管人将根据基金管理人传送的基金转换数据进行账务处理，具体资金清算和数据传递的时间、程序及托管协议当事人承担的权责按基金管理人届时</w:t>
      </w:r>
      <w:r w:rsidRPr="00124ADB">
        <w:rPr>
          <w:rFonts w:ascii="宋体" w:hAnsi="宋体" w:cs="Arial" w:hint="eastAsia"/>
          <w:sz w:val="24"/>
        </w:rPr>
        <w:lastRenderedPageBreak/>
        <w:t>的公告执行。</w:t>
      </w:r>
    </w:p>
    <w:p w:rsidR="002940F0" w:rsidRPr="00124ADB" w:rsidRDefault="002940F0" w:rsidP="00124ADB">
      <w:pPr>
        <w:adjustRightInd w:val="0"/>
        <w:snapToGrid w:val="0"/>
        <w:spacing w:line="360" w:lineRule="auto"/>
        <w:ind w:firstLine="480"/>
        <w:outlineLvl w:val="0"/>
        <w:rPr>
          <w:rFonts w:ascii="宋体" w:hAnsi="宋体" w:cs="Arial"/>
          <w:sz w:val="24"/>
        </w:rPr>
      </w:pPr>
      <w:r w:rsidRPr="00124ADB">
        <w:rPr>
          <w:rFonts w:ascii="宋体" w:hAnsi="宋体" w:cs="Arial" w:hint="eastAsia"/>
          <w:sz w:val="24"/>
        </w:rPr>
        <w:t>3.本基金开展基金转换业务应按相关法律法规规定及《基金合同》的约定进行公告。</w:t>
      </w:r>
    </w:p>
    <w:p w:rsidR="002940F0" w:rsidRPr="00124ADB" w:rsidRDefault="002940F0" w:rsidP="00124ADB">
      <w:pPr>
        <w:adjustRightInd w:val="0"/>
        <w:snapToGrid w:val="0"/>
        <w:spacing w:line="360" w:lineRule="auto"/>
        <w:ind w:firstLine="480"/>
        <w:outlineLvl w:val="0"/>
        <w:rPr>
          <w:rFonts w:ascii="宋体" w:hAnsi="宋体" w:cs="Arial"/>
          <w:sz w:val="24"/>
        </w:rPr>
      </w:pPr>
      <w:r w:rsidRPr="00124ADB">
        <w:rPr>
          <w:rFonts w:ascii="宋体" w:hAnsi="宋体" w:cs="Arial" w:hint="eastAsia"/>
          <w:sz w:val="24"/>
        </w:rPr>
        <w:t>（六）基金现金分红</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1.基金管理人确定分红方案通知基金托管人，双方核定后</w:t>
      </w:r>
      <w:r w:rsidRPr="00124ADB">
        <w:rPr>
          <w:rFonts w:ascii="宋体" w:hAnsi="宋体" w:hint="eastAsia"/>
          <w:sz w:val="24"/>
        </w:rPr>
        <w:t>依照《信息披露办法》的有关规定在中国证监会指定媒介上公告并报中国证监会备案</w:t>
      </w:r>
      <w:r w:rsidRPr="00124ADB">
        <w:rPr>
          <w:rFonts w:ascii="宋体" w:hAnsi="宋体" w:cs="Arial" w:hint="eastAsia"/>
          <w:sz w:val="24"/>
        </w:rPr>
        <w:t>。</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3.基金管理人在下达指令时，应给基金托管人留出必需的划款时间。</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（七）投资银行存款的特别约定</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1.本基金投资银行存款前，基金管理人应与存款银行签订具体存款协议，包括但不限于以下内容：。</w:t>
      </w:r>
    </w:p>
    <w:p w:rsidR="002940F0" w:rsidRPr="00124ADB" w:rsidRDefault="002940F0" w:rsidP="00124ADB">
      <w:pPr>
        <w:adjustRightInd w:val="0"/>
        <w:snapToGrid w:val="0"/>
        <w:spacing w:line="360" w:lineRule="auto"/>
        <w:ind w:firstLine="480"/>
        <w:rPr>
          <w:rFonts w:ascii="宋体" w:hAnsi="宋体"/>
          <w:bCs/>
          <w:sz w:val="24"/>
        </w:rPr>
      </w:pPr>
      <w:r w:rsidRPr="00124ADB">
        <w:rPr>
          <w:rFonts w:ascii="宋体" w:hAnsi="宋体" w:cs="Arial" w:hint="eastAsia"/>
          <w:sz w:val="24"/>
        </w:rPr>
        <w:t>（1）</w:t>
      </w:r>
      <w:r w:rsidRPr="00124ADB">
        <w:rPr>
          <w:rFonts w:ascii="宋体" w:hAnsi="宋体" w:hint="eastAsia"/>
          <w:bCs/>
          <w:sz w:val="24"/>
        </w:rPr>
        <w:t>存款账户必须以本基金名义开立,并将基金托管人为本</w:t>
      </w:r>
      <w:r w:rsidRPr="00124ADB">
        <w:rPr>
          <w:rFonts w:ascii="宋体" w:hAnsi="宋体" w:cs="Arial" w:hint="eastAsia"/>
          <w:sz w:val="24"/>
        </w:rPr>
        <w:t>基金开立的基金银行账户</w:t>
      </w:r>
      <w:r w:rsidRPr="00124ADB">
        <w:rPr>
          <w:rFonts w:ascii="宋体" w:hAnsi="宋体" w:hint="eastAsia"/>
          <w:bCs/>
          <w:sz w:val="24"/>
        </w:rPr>
        <w:t>指定为唯一回款账户，</w:t>
      </w:r>
      <w:r w:rsidRPr="00124ADB">
        <w:rPr>
          <w:rFonts w:ascii="宋体" w:hAnsi="宋体" w:hint="eastAsia"/>
          <w:sz w:val="24"/>
        </w:rPr>
        <w:t>任何情况下，存款银行都不得将存款投资本息划往任何其他账户。</w:t>
      </w:r>
    </w:p>
    <w:p w:rsidR="002940F0" w:rsidRPr="00124ADB" w:rsidRDefault="002940F0" w:rsidP="00124ADB">
      <w:pPr>
        <w:adjustRightInd w:val="0"/>
        <w:snapToGrid w:val="0"/>
        <w:spacing w:line="360" w:lineRule="auto"/>
        <w:ind w:firstLine="480"/>
        <w:rPr>
          <w:rFonts w:ascii="宋体" w:hAnsi="宋体"/>
          <w:sz w:val="24"/>
        </w:rPr>
      </w:pPr>
      <w:r w:rsidRPr="00124ADB">
        <w:rPr>
          <w:rFonts w:ascii="宋体" w:hAnsi="宋体" w:hint="eastAsia"/>
          <w:bCs/>
          <w:sz w:val="24"/>
        </w:rPr>
        <w:t>（2）</w:t>
      </w:r>
      <w:r w:rsidRPr="00124ADB">
        <w:rPr>
          <w:rFonts w:ascii="宋体" w:hAnsi="宋体" w:hint="eastAsia"/>
          <w:sz w:val="24"/>
        </w:rPr>
        <w:t>存款银行不得接受基金管理人或基金托管人任何一方单方面提出的对存款进行更名、转让、挂失、质押、担保、撤销、变更印鉴及回款账户信息等可能导致财产转移的操作申请。</w:t>
      </w:r>
    </w:p>
    <w:p w:rsidR="002940F0" w:rsidRPr="00124ADB" w:rsidRDefault="002940F0" w:rsidP="00124ADB">
      <w:pPr>
        <w:adjustRightInd w:val="0"/>
        <w:snapToGrid w:val="0"/>
        <w:spacing w:line="360" w:lineRule="auto"/>
        <w:ind w:firstLine="480"/>
        <w:rPr>
          <w:rFonts w:ascii="宋体" w:hAnsi="宋体"/>
          <w:sz w:val="24"/>
        </w:rPr>
      </w:pPr>
      <w:r w:rsidRPr="00124ADB">
        <w:rPr>
          <w:rFonts w:ascii="宋体" w:hAnsi="宋体" w:hint="eastAsia"/>
          <w:sz w:val="24"/>
        </w:rPr>
        <w:t>（3）约定存款证实书的具体传递交接方式及交接期限。（4）资金划转过程中需要使用存款银行过渡账户的，存款银行须保证资金在过渡账户中不出现滞留，不被挪用。</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2.本基金投资银行存款，必须采用双方认可的方式办理。</w:t>
      </w:r>
      <w:r w:rsidRPr="00124ADB">
        <w:rPr>
          <w:rFonts w:ascii="宋体" w:hAnsi="宋体" w:hint="eastAsia"/>
          <w:bCs/>
          <w:sz w:val="24"/>
        </w:rPr>
        <w:t>托管人负责依据管理人提供的银行存款投资合同/协议、投资指令、支取通知等有关文件办理资金的支付以及存款证实书的接收、保管与交付，切实履行托管职责。托管人负责对存款开户证实书进行保管，</w:t>
      </w:r>
      <w:r w:rsidRPr="00124ADB">
        <w:rPr>
          <w:rFonts w:ascii="宋体" w:hAnsi="宋体" w:hint="eastAsia"/>
          <w:sz w:val="24"/>
        </w:rPr>
        <w:t>不负责对存款开户证实书真伪的辨别，不承担存款开户证实书对应存款的本金及收益的安全</w:t>
      </w:r>
      <w:r w:rsidRPr="00124ADB">
        <w:rPr>
          <w:rFonts w:ascii="宋体" w:hAnsi="宋体" w:hint="eastAsia"/>
          <w:bCs/>
          <w:sz w:val="24"/>
        </w:rPr>
        <w:t>。</w:t>
      </w:r>
      <w:r w:rsidRPr="00124ADB">
        <w:rPr>
          <w:rFonts w:ascii="宋体" w:hAnsi="宋体" w:cs="Arial" w:hint="eastAsia"/>
          <w:sz w:val="24"/>
        </w:rPr>
        <w:t xml:space="preserve">  </w:t>
      </w:r>
    </w:p>
    <w:p w:rsidR="002940F0" w:rsidRPr="00124ADB" w:rsidRDefault="002940F0" w:rsidP="00124ADB">
      <w:pPr>
        <w:adjustRightInd w:val="0"/>
        <w:snapToGrid w:val="0"/>
        <w:spacing w:line="360" w:lineRule="auto"/>
        <w:rPr>
          <w:rFonts w:ascii="宋体" w:hAnsi="宋体" w:cs="Arial"/>
          <w:sz w:val="24"/>
        </w:rPr>
      </w:pPr>
      <w:r w:rsidRPr="00124ADB">
        <w:rPr>
          <w:rFonts w:ascii="宋体" w:hAnsi="宋体" w:cs="Arial" w:hint="eastAsia"/>
          <w:sz w:val="24"/>
        </w:rPr>
        <w:t xml:space="preserve">  3.</w:t>
      </w:r>
      <w:r w:rsidRPr="00124ADB">
        <w:rPr>
          <w:rFonts w:ascii="宋体" w:hAnsi="宋体" w:hint="eastAsia"/>
          <w:sz w:val="24"/>
        </w:rPr>
        <w:t xml:space="preserve"> </w:t>
      </w:r>
      <w:r w:rsidRPr="00124ADB">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86" w:name="_Toc124325892"/>
      <w:r w:rsidRPr="002940F0">
        <w:rPr>
          <w:rFonts w:ascii="宋体" w:eastAsia="宋体" w:hAnsi="宋体" w:hint="eastAsia"/>
          <w:sz w:val="30"/>
        </w:rPr>
        <w:lastRenderedPageBreak/>
        <w:t xml:space="preserve"> 八、基金资产净值计算和会计核算</w:t>
      </w:r>
      <w:bookmarkEnd w:id="86"/>
    </w:p>
    <w:p w:rsidR="002940F0" w:rsidRPr="00124ADB" w:rsidRDefault="002940F0" w:rsidP="00124ADB">
      <w:pPr>
        <w:adjustRightInd w:val="0"/>
        <w:snapToGrid w:val="0"/>
        <w:spacing w:line="360" w:lineRule="auto"/>
        <w:ind w:firstLineChars="200" w:firstLine="480"/>
        <w:outlineLvl w:val="0"/>
        <w:rPr>
          <w:rFonts w:ascii="宋体" w:hAnsi="宋体" w:cs="Arial"/>
          <w:sz w:val="24"/>
        </w:rPr>
      </w:pPr>
      <w:r w:rsidRPr="00124ADB">
        <w:rPr>
          <w:rFonts w:ascii="宋体" w:hAnsi="宋体" w:cs="Arial" w:hint="eastAsia"/>
          <w:sz w:val="24"/>
        </w:rPr>
        <w:t>（一）基金资产净值的计算、复核与完成的时间及程序</w:t>
      </w:r>
    </w:p>
    <w:p w:rsidR="002940F0"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1.基金资产净值是指基金资产总值减去基金负债后的价值。基金份额净值是按照每个工作日闭市后，基金资产净值除以当日基金份额的余额数量计算，精确到0.00</w:t>
      </w:r>
      <w:r w:rsidR="00F35275">
        <w:rPr>
          <w:rFonts w:ascii="宋体" w:hAnsi="宋体" w:cs="Arial" w:hint="eastAsia"/>
          <w:sz w:val="24"/>
        </w:rPr>
        <w:t>0</w:t>
      </w:r>
      <w:r w:rsidRPr="00124ADB">
        <w:rPr>
          <w:rFonts w:ascii="宋体" w:hAnsi="宋体" w:cs="Arial" w:hint="eastAsia"/>
          <w:sz w:val="24"/>
        </w:rPr>
        <w:t>1元，小数点后第</w:t>
      </w:r>
      <w:r w:rsidR="00F35275" w:rsidRPr="00F35275">
        <w:rPr>
          <w:rFonts w:ascii="宋体" w:hAnsi="宋体" w:cs="Arial" w:hint="eastAsia"/>
          <w:sz w:val="24"/>
        </w:rPr>
        <w:t>五</w:t>
      </w:r>
      <w:r w:rsidRPr="00124ADB">
        <w:rPr>
          <w:rFonts w:ascii="宋体" w:hAnsi="宋体" w:cs="Arial" w:hint="eastAsia"/>
          <w:sz w:val="24"/>
        </w:rPr>
        <w:t>位四舍五入。</w:t>
      </w:r>
      <w:r w:rsidR="00F35275" w:rsidRPr="00F35275">
        <w:rPr>
          <w:rFonts w:ascii="宋体" w:hAnsi="宋体" w:cs="Arial" w:hint="eastAsia"/>
          <w:sz w:val="24"/>
        </w:rPr>
        <w:t>法律法规、监管机构、基金合同</w:t>
      </w:r>
      <w:r w:rsidRPr="00124ADB">
        <w:rPr>
          <w:rFonts w:ascii="宋体" w:hAnsi="宋体" w:cs="Arial" w:hint="eastAsia"/>
          <w:sz w:val="24"/>
        </w:rPr>
        <w:t>另有规定的，从其规定。</w:t>
      </w:r>
    </w:p>
    <w:p w:rsidR="00F35275" w:rsidRPr="00124ADB" w:rsidRDefault="00F35275" w:rsidP="00124ADB">
      <w:pPr>
        <w:adjustRightInd w:val="0"/>
        <w:snapToGrid w:val="0"/>
        <w:spacing w:line="360" w:lineRule="auto"/>
        <w:ind w:firstLineChars="200" w:firstLine="480"/>
        <w:rPr>
          <w:rFonts w:ascii="宋体" w:hAnsi="宋体" w:cs="Arial"/>
          <w:sz w:val="24"/>
        </w:rPr>
      </w:pPr>
      <w:r w:rsidRPr="00754A91">
        <w:rPr>
          <w:rFonts w:hint="eastAsia"/>
          <w:bCs/>
          <w:sz w:val="24"/>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基金管理人于每个工作日计算基金资产净值及基金份额净值，并按规定公告。</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（二）基金资产估值方法和特殊情形的处理</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1.估值对象</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基金所拥有的股票、权证、股指期货合约、债券和银行存款本息、应收款项、其它投资等资产及负债。</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2.估值方法</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（1）证券交易所上市的非固定收益品种的估值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（2）交易所上市的固定收益品种的估值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1）对在交易所上市交易或挂牌转让的固定收益品种（另有规定的除外），选取第三方估值机构提供的相应品种当日的估值净价估值；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lastRenderedPageBreak/>
        <w:t>2）对在交易所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3）对在交易所市场挂牌转让的资产支持证券和私募证券，采用估值技术确定其公允价值。在估值技术难以可靠计量公允价值的情况下，按成本估值。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（3）银行间市场交易的固定收益品种，选取第三方估值机构提供的相应品种当日的估值净价进行估值。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（4）同一债券同时在两个或两个以上市场交易的，按债券所处的市场分别估值。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（5）处于未上市期间的有价证券应区分如下情况处理：</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1）送股、转增股、配股和公开增发的新股，按估值日在证券交易所挂牌的同一股票的估值方法估值；该日无交易的，以最近一日的市价（收盘价）估值；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2）首次公开发行未上市的股票和权证，采用估值技术确定公允价值，在估值技术难以可靠计量公允价值的情况下，按成本估值；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4）对在交易所市场发行未上市或未挂牌转让的债券，采用估值技术确定公允价值，在估值技术难以可靠计量公允价值的情况下，按成本估值；</w:t>
      </w:r>
      <w:r w:rsidRPr="00124ADB" w:rsidDel="0057765F">
        <w:rPr>
          <w:rFonts w:ascii="宋体" w:hAnsi="宋体" w:cs="Arial" w:hint="eastAsia"/>
          <w:sz w:val="24"/>
        </w:rPr>
        <w:t xml:space="preserve"> </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5）对银行间市场未上市，且第三方估值机构未提供估值价格的债券，按成本估值。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（6）本基金投资股指期货合约，一般以估值当日结算价进行估值，估值当日无结算价的，且最近交易日后经济环境未发生重大变化的，采用最近交易日结算价估值。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（7）如有确凿证据表明按上述方法进行估值不能客观反映其公允价值的，基金管理人可根据具体情况与基金托管人商定后，按最能反映公允价值的价格估值。</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（8）相关法律法规以及监管部门有强制规定的，从其规定。如有新增事项，</w:t>
      </w:r>
      <w:r w:rsidRPr="00124ADB">
        <w:rPr>
          <w:rFonts w:ascii="宋体" w:hAnsi="宋体" w:cs="Arial" w:hint="eastAsia"/>
          <w:sz w:val="24"/>
        </w:rPr>
        <w:lastRenderedPageBreak/>
        <w:t>按国家最新规定估值。</w:t>
      </w:r>
    </w:p>
    <w:p w:rsidR="002940F0" w:rsidRPr="00124ADB" w:rsidRDefault="002940F0" w:rsidP="00124ADB">
      <w:pPr>
        <w:adjustRightInd w:val="0"/>
        <w:snapToGrid w:val="0"/>
        <w:spacing w:line="360" w:lineRule="auto"/>
        <w:ind w:firstLine="480"/>
        <w:rPr>
          <w:rFonts w:ascii="宋体" w:hAnsi="宋体" w:cs="Arial"/>
          <w:sz w:val="24"/>
        </w:rPr>
      </w:pPr>
      <w:r w:rsidRPr="00124ADB">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940F0" w:rsidRPr="00124ADB" w:rsidRDefault="002940F0" w:rsidP="00124ADB">
      <w:pPr>
        <w:adjustRightInd w:val="0"/>
        <w:snapToGrid w:val="0"/>
        <w:spacing w:line="360" w:lineRule="auto"/>
        <w:ind w:firstLine="480"/>
        <w:rPr>
          <w:rFonts w:ascii="宋体" w:hAnsi="宋体"/>
          <w:sz w:val="24"/>
        </w:rPr>
      </w:pPr>
      <w:r w:rsidRPr="00124ADB">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940F0" w:rsidRPr="00124ADB" w:rsidRDefault="002940F0" w:rsidP="00124ADB">
      <w:pPr>
        <w:adjustRightInd w:val="0"/>
        <w:snapToGrid w:val="0"/>
        <w:spacing w:line="360" w:lineRule="auto"/>
        <w:ind w:firstLine="480"/>
        <w:rPr>
          <w:rStyle w:val="read"/>
          <w:rFonts w:ascii="宋体" w:hAnsi="宋体" w:cs="Arial"/>
          <w:sz w:val="24"/>
        </w:rPr>
      </w:pPr>
      <w:r w:rsidRPr="00124ADB">
        <w:rPr>
          <w:rStyle w:val="read"/>
          <w:rFonts w:ascii="宋体" w:hAnsi="宋体" w:cs="Arial" w:hint="eastAsia"/>
          <w:sz w:val="24"/>
        </w:rPr>
        <w:t>3.特殊情形的处理</w:t>
      </w:r>
    </w:p>
    <w:p w:rsidR="002940F0" w:rsidRPr="00124ADB" w:rsidRDefault="002940F0" w:rsidP="00124ADB">
      <w:pPr>
        <w:adjustRightInd w:val="0"/>
        <w:snapToGrid w:val="0"/>
        <w:spacing w:line="360" w:lineRule="auto"/>
        <w:ind w:firstLineChars="200" w:firstLine="480"/>
        <w:rPr>
          <w:rStyle w:val="read"/>
          <w:rFonts w:ascii="宋体" w:hAnsi="宋体"/>
          <w:sz w:val="24"/>
        </w:rPr>
      </w:pPr>
      <w:r w:rsidRPr="00124ADB">
        <w:rPr>
          <w:rStyle w:val="read"/>
          <w:rFonts w:ascii="宋体" w:hAnsi="宋体" w:cs="Arial" w:hint="eastAsia"/>
          <w:sz w:val="24"/>
        </w:rPr>
        <w:t>基金管理人、基金托管人按估值方法的第(7)项进行估值时，所造成的误差不作为基金资产估值</w:t>
      </w:r>
      <w:r w:rsidRPr="00124ADB">
        <w:rPr>
          <w:rStyle w:val="read"/>
          <w:rFonts w:ascii="宋体" w:hAnsi="宋体" w:hint="eastAsia"/>
          <w:sz w:val="24"/>
        </w:rPr>
        <w:t>错误处理。</w:t>
      </w:r>
    </w:p>
    <w:p w:rsidR="002940F0" w:rsidRPr="00124ADB" w:rsidRDefault="002940F0" w:rsidP="00124ADB">
      <w:pPr>
        <w:adjustRightInd w:val="0"/>
        <w:snapToGrid w:val="0"/>
        <w:spacing w:line="360" w:lineRule="auto"/>
        <w:ind w:firstLineChars="200" w:firstLine="480"/>
        <w:rPr>
          <w:rStyle w:val="read"/>
          <w:rFonts w:ascii="宋体" w:hAnsi="宋体"/>
          <w:sz w:val="24"/>
        </w:rPr>
      </w:pPr>
      <w:r w:rsidRPr="00124ADB">
        <w:rPr>
          <w:rStyle w:val="read"/>
          <w:rFonts w:ascii="宋体" w:hAnsi="宋体" w:hint="eastAsia"/>
          <w:sz w:val="24"/>
        </w:rPr>
        <w:t>（三）基金份额净值错误的处理方式</w:t>
      </w:r>
    </w:p>
    <w:p w:rsidR="002940F0" w:rsidRPr="00124ADB" w:rsidRDefault="002940F0" w:rsidP="00124ADB">
      <w:pPr>
        <w:adjustRightInd w:val="0"/>
        <w:snapToGrid w:val="0"/>
        <w:spacing w:line="360" w:lineRule="auto"/>
        <w:ind w:firstLineChars="200" w:firstLine="480"/>
        <w:rPr>
          <w:rStyle w:val="read"/>
          <w:rFonts w:ascii="宋体" w:hAnsi="宋体"/>
          <w:sz w:val="24"/>
        </w:rPr>
      </w:pPr>
      <w:r w:rsidRPr="00124ADB">
        <w:rPr>
          <w:rStyle w:val="read"/>
          <w:rFonts w:ascii="宋体" w:hAnsi="宋体" w:hint="eastAsia"/>
          <w:sz w:val="24"/>
        </w:rPr>
        <w:t>1.当基金份额净值小数点后</w:t>
      </w:r>
      <w:r w:rsidR="00C52BCC">
        <w:rPr>
          <w:rStyle w:val="read"/>
          <w:rFonts w:ascii="宋体" w:hAnsi="宋体" w:hint="eastAsia"/>
          <w:sz w:val="24"/>
        </w:rPr>
        <w:t>4</w:t>
      </w:r>
      <w:r w:rsidRPr="00124ADB">
        <w:rPr>
          <w:rStyle w:val="read"/>
          <w:rFonts w:ascii="宋体" w:hAnsi="宋体" w:hint="eastAsia"/>
          <w:sz w:val="24"/>
        </w:rPr>
        <w:t>位以内(含第</w:t>
      </w:r>
      <w:r w:rsidR="00C52BCC">
        <w:rPr>
          <w:rStyle w:val="read"/>
          <w:rFonts w:ascii="宋体" w:hAnsi="宋体" w:hint="eastAsia"/>
          <w:sz w:val="24"/>
        </w:rPr>
        <w:t>4</w:t>
      </w:r>
      <w:r w:rsidRPr="00124ADB">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124ADB">
        <w:rPr>
          <w:rFonts w:ascii="宋体" w:hAnsi="宋体" w:cs="Arial" w:hint="eastAsia"/>
          <w:sz w:val="24"/>
        </w:rPr>
        <w:t>；错误偏差达到基金份额净值的</w:t>
      </w:r>
      <w:r w:rsidRPr="00124ADB">
        <w:rPr>
          <w:rFonts w:ascii="宋体" w:hAnsi="宋体" w:hint="eastAsia"/>
          <w:sz w:val="24"/>
        </w:rPr>
        <w:t>0.5%时，基金管理人应当公告</w:t>
      </w:r>
      <w:r w:rsidRPr="00124ADB">
        <w:rPr>
          <w:rStyle w:val="read"/>
          <w:rFonts w:ascii="宋体" w:hAnsi="宋体" w:hint="eastAsia"/>
          <w:sz w:val="24"/>
        </w:rPr>
        <w:t>；当发生净值计算错误时，由基金管理人负责处理</w:t>
      </w:r>
      <w:r w:rsidRPr="00124ADB">
        <w:rPr>
          <w:rFonts w:ascii="宋体" w:hAnsi="宋体" w:hint="eastAsia"/>
          <w:sz w:val="24"/>
        </w:rPr>
        <w:t>，由此给基金份额持有人和基金造成损失的，应由基金管理人先行赔付，基金管理人按差错情形，有权向其他当事人追偿</w:t>
      </w:r>
      <w:r w:rsidRPr="00124ADB">
        <w:rPr>
          <w:rStyle w:val="read"/>
          <w:rFonts w:ascii="宋体" w:hAnsi="宋体" w:hint="eastAsia"/>
          <w:sz w:val="24"/>
        </w:rPr>
        <w:t>。</w:t>
      </w:r>
    </w:p>
    <w:p w:rsidR="002940F0" w:rsidRPr="00124ADB" w:rsidRDefault="002940F0" w:rsidP="00124ADB">
      <w:pPr>
        <w:adjustRightInd w:val="0"/>
        <w:snapToGrid w:val="0"/>
        <w:spacing w:line="360" w:lineRule="auto"/>
        <w:ind w:firstLineChars="200" w:firstLine="480"/>
        <w:rPr>
          <w:rStyle w:val="read"/>
          <w:rFonts w:ascii="宋体" w:hAnsi="宋体"/>
          <w:sz w:val="24"/>
        </w:rPr>
      </w:pPr>
      <w:r w:rsidRPr="00124ADB">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124ADB">
        <w:rPr>
          <w:rFonts w:ascii="宋体" w:hAnsi="宋体" w:cs="Arial" w:hint="eastAsia"/>
          <w:sz w:val="24"/>
        </w:rPr>
        <w:t>损失，由基金管理人负责赔付。</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(2)</w:t>
      </w:r>
      <w:r w:rsidRPr="00124ADB">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(4)</w:t>
      </w:r>
      <w:r w:rsidRPr="00124ADB">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3.由于证券/期货交易所及登记结算公司发送的数据错误，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4.基金管理人和基金托管人由于各自技术系统设置而产生的净值计算尾差，以基金管理人计算结果为准。</w:t>
      </w:r>
    </w:p>
    <w:p w:rsidR="002940F0"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rsidR="002940F0" w:rsidRPr="00124ADB" w:rsidRDefault="002940F0" w:rsidP="00E15497">
      <w:pPr>
        <w:adjustRightInd w:val="0"/>
        <w:snapToGrid w:val="0"/>
        <w:spacing w:line="300" w:lineRule="auto"/>
        <w:ind w:firstLineChars="200" w:firstLine="480"/>
        <w:outlineLvl w:val="0"/>
        <w:rPr>
          <w:rFonts w:ascii="宋体" w:hAnsi="宋体" w:cs="Arial"/>
          <w:sz w:val="24"/>
        </w:rPr>
      </w:pPr>
      <w:r w:rsidRPr="00124ADB">
        <w:rPr>
          <w:rFonts w:ascii="宋体" w:hAnsi="宋体" w:cs="Arial" w:hint="eastAsia"/>
          <w:sz w:val="24"/>
        </w:rPr>
        <w:t>（四）暂停估值与公告基金份额净值的情形</w:t>
      </w:r>
    </w:p>
    <w:p w:rsidR="002940F0" w:rsidRPr="00124ADB" w:rsidRDefault="002940F0" w:rsidP="00E15497">
      <w:pPr>
        <w:adjustRightInd w:val="0"/>
        <w:snapToGrid w:val="0"/>
        <w:spacing w:line="300" w:lineRule="auto"/>
        <w:ind w:firstLineChars="200" w:firstLine="480"/>
        <w:outlineLvl w:val="0"/>
        <w:rPr>
          <w:rFonts w:ascii="宋体" w:hAnsi="宋体" w:cs="Arial"/>
          <w:sz w:val="24"/>
        </w:rPr>
      </w:pPr>
      <w:r w:rsidRPr="00124ADB">
        <w:rPr>
          <w:rFonts w:ascii="宋体" w:hAnsi="宋体" w:cs="Arial" w:hint="eastAsia"/>
          <w:sz w:val="24"/>
        </w:rPr>
        <w:t>1.基金投资所涉及的证券/期货交易市场遇法定节假日或因其他原因暂停营业时；</w:t>
      </w:r>
    </w:p>
    <w:p w:rsidR="002940F0" w:rsidRPr="00124ADB" w:rsidRDefault="002940F0" w:rsidP="00E15497">
      <w:pPr>
        <w:adjustRightInd w:val="0"/>
        <w:snapToGrid w:val="0"/>
        <w:spacing w:line="300" w:lineRule="auto"/>
        <w:ind w:firstLineChars="200" w:firstLine="480"/>
        <w:outlineLvl w:val="0"/>
        <w:rPr>
          <w:rFonts w:ascii="宋体" w:hAnsi="宋体" w:cs="Arial"/>
          <w:sz w:val="24"/>
        </w:rPr>
      </w:pPr>
      <w:r w:rsidRPr="00124ADB">
        <w:rPr>
          <w:rFonts w:ascii="宋体" w:hAnsi="宋体" w:cs="Arial" w:hint="eastAsia"/>
          <w:sz w:val="24"/>
        </w:rPr>
        <w:t>2.因不可抗力致使基金管理人、基金托管人无法准确评估基金资产价值时；</w:t>
      </w:r>
    </w:p>
    <w:p w:rsidR="002940F0" w:rsidRDefault="002940F0" w:rsidP="00E15497">
      <w:pPr>
        <w:adjustRightInd w:val="0"/>
        <w:snapToGrid w:val="0"/>
        <w:spacing w:line="300" w:lineRule="auto"/>
        <w:ind w:firstLineChars="200" w:firstLine="480"/>
        <w:outlineLvl w:val="0"/>
        <w:rPr>
          <w:rFonts w:ascii="宋体" w:hAnsi="宋体" w:cs="Arial"/>
          <w:sz w:val="24"/>
        </w:rPr>
      </w:pPr>
      <w:r w:rsidRPr="00124ADB">
        <w:rPr>
          <w:rFonts w:ascii="宋体" w:hAnsi="宋体" w:cs="Arial" w:hint="eastAsia"/>
          <w:sz w:val="24"/>
        </w:rPr>
        <w:t>3.中国证监会和基金合同认定的其他情形。</w:t>
      </w:r>
    </w:p>
    <w:p w:rsidR="002940F0" w:rsidRPr="00124ADB" w:rsidRDefault="002940F0" w:rsidP="00124ADB">
      <w:pPr>
        <w:adjustRightInd w:val="0"/>
        <w:snapToGrid w:val="0"/>
        <w:spacing w:line="360" w:lineRule="auto"/>
        <w:ind w:firstLineChars="200" w:firstLine="480"/>
        <w:outlineLvl w:val="0"/>
        <w:rPr>
          <w:rFonts w:ascii="宋体" w:hAnsi="宋体" w:cs="Arial"/>
          <w:sz w:val="24"/>
        </w:rPr>
      </w:pPr>
      <w:r w:rsidRPr="00124ADB">
        <w:rPr>
          <w:rFonts w:ascii="宋体" w:hAnsi="宋体" w:cs="Arial" w:hint="eastAsia"/>
          <w:sz w:val="24"/>
        </w:rPr>
        <w:t>（五）基金会计制度</w:t>
      </w:r>
    </w:p>
    <w:p w:rsidR="002940F0"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按国家有关部门规定的会计制度执行。</w:t>
      </w:r>
    </w:p>
    <w:p w:rsidR="002940F0" w:rsidRPr="00124ADB" w:rsidRDefault="002940F0" w:rsidP="00124ADB">
      <w:pPr>
        <w:adjustRightInd w:val="0"/>
        <w:snapToGrid w:val="0"/>
        <w:spacing w:line="360" w:lineRule="auto"/>
        <w:ind w:firstLineChars="200" w:firstLine="480"/>
        <w:outlineLvl w:val="0"/>
        <w:rPr>
          <w:rFonts w:ascii="宋体" w:hAnsi="宋体" w:cs="Arial"/>
          <w:sz w:val="24"/>
        </w:rPr>
      </w:pPr>
      <w:r w:rsidRPr="00124ADB">
        <w:rPr>
          <w:rFonts w:ascii="宋体" w:hAnsi="宋体" w:cs="Arial" w:hint="eastAsia"/>
          <w:sz w:val="24"/>
        </w:rPr>
        <w:t>（六）基金账册的建立</w:t>
      </w:r>
    </w:p>
    <w:p w:rsidR="002940F0"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2940F0" w:rsidRPr="00124ADB" w:rsidRDefault="002940F0" w:rsidP="00124ADB">
      <w:pPr>
        <w:adjustRightInd w:val="0"/>
        <w:snapToGrid w:val="0"/>
        <w:spacing w:line="360" w:lineRule="auto"/>
        <w:ind w:firstLineChars="200" w:firstLine="480"/>
        <w:outlineLvl w:val="0"/>
        <w:rPr>
          <w:rFonts w:ascii="宋体" w:hAnsi="宋体" w:cs="Arial"/>
          <w:sz w:val="24"/>
        </w:rPr>
      </w:pPr>
      <w:r w:rsidRPr="00124ADB">
        <w:rPr>
          <w:rFonts w:ascii="宋体" w:hAnsi="宋体" w:cs="Arial" w:hint="eastAsia"/>
          <w:sz w:val="24"/>
        </w:rPr>
        <w:t>（七）基金财务报表与报告的编制和复核</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1.财务报表的编制</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lastRenderedPageBreak/>
        <w:t>基金财务报表由基金管理人编制，基金托管人复核。</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2.报表复核</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3.财务报表的编制与复核时间安排</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(1)报表的编制</w:t>
      </w:r>
    </w:p>
    <w:p w:rsidR="002940F0" w:rsidRPr="00124ADB" w:rsidRDefault="002940F0" w:rsidP="00124ADB">
      <w:pPr>
        <w:adjustRightInd w:val="0"/>
        <w:snapToGrid w:val="0"/>
        <w:spacing w:line="360" w:lineRule="auto"/>
        <w:ind w:firstLineChars="200" w:firstLine="480"/>
        <w:rPr>
          <w:rFonts w:ascii="宋体" w:hAnsi="宋体" w:cs="Arial"/>
          <w:sz w:val="24"/>
        </w:rPr>
      </w:pPr>
      <w:r w:rsidRPr="00124ADB">
        <w:rPr>
          <w:rFonts w:ascii="宋体"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2940F0" w:rsidRPr="00124ADB" w:rsidRDefault="002940F0" w:rsidP="00124ADB">
      <w:pPr>
        <w:pStyle w:val="ac"/>
        <w:adjustRightInd w:val="0"/>
        <w:snapToGrid w:val="0"/>
        <w:spacing w:line="360" w:lineRule="auto"/>
        <w:ind w:firstLine="480"/>
        <w:rPr>
          <w:rFonts w:ascii="宋体" w:hAnsi="宋体" w:cs="Arial"/>
          <w:sz w:val="24"/>
        </w:rPr>
      </w:pPr>
      <w:r w:rsidRPr="00124ADB">
        <w:rPr>
          <w:rFonts w:ascii="宋体" w:hAnsi="宋体" w:cs="Arial" w:hint="eastAsia"/>
          <w:sz w:val="24"/>
        </w:rPr>
        <w:t>(2)报表的复核</w:t>
      </w:r>
    </w:p>
    <w:p w:rsidR="002940F0" w:rsidRPr="00124ADB" w:rsidRDefault="002940F0" w:rsidP="00124ADB">
      <w:pPr>
        <w:pStyle w:val="ac"/>
        <w:adjustRightInd w:val="0"/>
        <w:snapToGrid w:val="0"/>
        <w:spacing w:line="360" w:lineRule="auto"/>
        <w:ind w:firstLine="480"/>
        <w:rPr>
          <w:rFonts w:ascii="宋体" w:hAnsi="宋体" w:cs="Arial"/>
          <w:sz w:val="24"/>
        </w:rPr>
      </w:pPr>
      <w:r w:rsidRPr="00124ADB">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940F0" w:rsidRPr="00124ADB" w:rsidRDefault="002940F0" w:rsidP="00124ADB">
      <w:pPr>
        <w:pStyle w:val="ac"/>
        <w:adjustRightInd w:val="0"/>
        <w:snapToGrid w:val="0"/>
        <w:spacing w:line="360" w:lineRule="auto"/>
        <w:ind w:firstLine="480"/>
        <w:rPr>
          <w:rFonts w:ascii="宋体" w:hAnsi="宋体" w:cs="Arial"/>
          <w:sz w:val="24"/>
        </w:rPr>
      </w:pPr>
      <w:r w:rsidRPr="00124ADB">
        <w:rPr>
          <w:rFonts w:ascii="宋体" w:hAnsi="宋体" w:cs="Arial" w:hint="eastAsia"/>
          <w:sz w:val="24"/>
        </w:rPr>
        <w:t>基金管理人应留足充分的时间，便于基金托管人复核相关报表及报告。</w:t>
      </w:r>
    </w:p>
    <w:p w:rsidR="002940F0" w:rsidRPr="00124ADB" w:rsidRDefault="002940F0" w:rsidP="00124ADB">
      <w:pPr>
        <w:pStyle w:val="ac"/>
        <w:adjustRightInd w:val="0"/>
        <w:snapToGrid w:val="0"/>
        <w:spacing w:line="360" w:lineRule="auto"/>
        <w:ind w:firstLine="480"/>
        <w:rPr>
          <w:rFonts w:ascii="宋体" w:hAnsi="宋体" w:cs="Arial"/>
          <w:sz w:val="24"/>
        </w:rPr>
      </w:pPr>
      <w:r w:rsidRPr="00124ADB">
        <w:rPr>
          <w:rFonts w:ascii="宋体" w:hAnsi="宋体" w:cs="Arial" w:hint="eastAsia"/>
          <w:sz w:val="24"/>
        </w:rPr>
        <w:t>（八）基金管理人应在编制季度报告、半年度报告或者年度报告之前及时向基金托管人提供基金业绩比较基准的基础数据和编制结果。</w:t>
      </w:r>
    </w:p>
    <w:p w:rsidR="002940F0" w:rsidRPr="002940F0" w:rsidRDefault="002940F0" w:rsidP="002940F0">
      <w:pPr>
        <w:pStyle w:val="ac"/>
        <w:adjustRightInd w:val="0"/>
        <w:snapToGrid w:val="0"/>
        <w:spacing w:line="360" w:lineRule="auto"/>
        <w:ind w:firstLineChars="0" w:firstLine="0"/>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87" w:name="_Toc124325893"/>
      <w:r w:rsidRPr="002940F0">
        <w:rPr>
          <w:rFonts w:ascii="宋体" w:eastAsia="宋体" w:hAnsi="宋体" w:hint="eastAsia"/>
          <w:sz w:val="30"/>
        </w:rPr>
        <w:t>九、基金收益分配</w:t>
      </w:r>
      <w:bookmarkEnd w:id="87"/>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基金收益分配是指按规定将基金的可分配收益按基金份额进行比例分配。</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（一）基金收益分配的原则</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基金收益分配应遵循下列原则：</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1.</w:t>
      </w:r>
      <w:r w:rsidRPr="002940F0">
        <w:rPr>
          <w:rFonts w:ascii="宋体" w:hAnsi="宋体"/>
          <w:bCs/>
          <w:sz w:val="24"/>
        </w:rPr>
        <w:t xml:space="preserve"> 本基金收益分配方式分两种：现金分红与红利再投资，投资者可选择现金红利或将现金红利自动转为基金份额进行再投资；若投资者不选择，本基金默认的收益分配方式是现金分红</w:t>
      </w:r>
      <w:r w:rsidRPr="002940F0">
        <w:rPr>
          <w:rFonts w:ascii="宋体" w:hAnsi="宋体" w:hint="eastAsia"/>
          <w:bCs/>
          <w:sz w:val="24"/>
        </w:rPr>
        <w:t>；</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2.基金收益分配后基金份额净值不能低于面值；即基金收益分配基准日的基金份额净值减去每单位基金份额收益分配金额后不能低于面值；</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3.每一基金份额享有同等分配权；如本基金在未来条件成熟时，增减基金份</w:t>
      </w:r>
      <w:r w:rsidRPr="002940F0">
        <w:rPr>
          <w:rFonts w:ascii="宋体" w:hAnsi="宋体" w:cs="Arial" w:hint="eastAsia"/>
          <w:sz w:val="24"/>
        </w:rPr>
        <w:lastRenderedPageBreak/>
        <w:t>额类别，则同一类别内每一基金份额享有同等分配权；</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4.法律法规或监管机构另有规定的，从其规定。</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在对基金份额持有人利益无实质不利影响的前提下，基金管理人可对基金收益分配原则进行调整，不需召开基金份额持有人大会。</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本基金每次收益分配比例详见届时基金管理人发布的公告。</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（二）基金收益分配的时间和程序</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本基金收益分配方案由基金管理人拟订，并由基金托管人复核，在2日内在指定媒介公告并报中国证监会备案。</w:t>
      </w:r>
      <w:r w:rsidRPr="002940F0">
        <w:rPr>
          <w:rFonts w:ascii="宋体" w:hAnsi="宋体" w:hint="eastAsia"/>
          <w:sz w:val="24"/>
        </w:rPr>
        <w:t>基金红利发放日距离收益分配基准日（即可供分配利润计算截止日）的时间不得超过15个工作日。</w:t>
      </w:r>
      <w:r w:rsidRPr="002940F0">
        <w:rPr>
          <w:rFonts w:ascii="宋体"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2940F0" w:rsidRPr="002940F0" w:rsidRDefault="002940F0" w:rsidP="002940F0">
      <w:pPr>
        <w:adjustRightInd w:val="0"/>
        <w:snapToGrid w:val="0"/>
        <w:spacing w:line="360" w:lineRule="auto"/>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88" w:name="_Toc124325894"/>
      <w:r w:rsidRPr="002940F0">
        <w:rPr>
          <w:rFonts w:ascii="宋体" w:eastAsia="宋体" w:hAnsi="宋体" w:hint="eastAsia"/>
          <w:sz w:val="30"/>
        </w:rPr>
        <w:t>十、基金信息披露</w:t>
      </w:r>
      <w:bookmarkEnd w:id="88"/>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（一）保密义务</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1.非因基金管理人和基金托管人的原因导致保密信息被披露、泄露或公开；</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2.基金管理人和基金托管人为遵守和服从法院判决或裁定、仲裁裁决或中国证监会等监管机构的命令、决定所做出的信息披露或公开。</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（二）信息披露的内容</w:t>
      </w:r>
    </w:p>
    <w:p w:rsid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的信息披露内容主要包括基金招募说明书、《基金合同》、托管协议、基金份额发售公告、基金募集情况、《基金合同》生效公告、基金资产净值、基金份额净值、基金份额累计净值、基金份额申购、赎回价格、基金定期报告（包括基</w:t>
      </w:r>
      <w:r w:rsidRPr="002940F0">
        <w:rPr>
          <w:rFonts w:ascii="宋体" w:hAnsi="宋体" w:cs="Arial" w:hint="eastAsia"/>
          <w:sz w:val="24"/>
        </w:rPr>
        <w:lastRenderedPageBreak/>
        <w:t>金年度报告、基金半年度报告和基金季度报告）、临时报告、澄清公告、基金份额持有人大会决议、投资股指期货及资产支持证券的信息、中国证监会规定的其他信息。基金年度报告需经具有从事证券相关业务资格的会计师事务所审计后，方可披露。</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（三）基金托管人和基金管理人在信息披露中的职责和信息披露程序</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1.职责</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对于不需要基金托管人复核的信息，基金管理人在公告前应告知基金托管人。</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基金管理人和基金托管人应积极配合、互相监督，保证其履行按照法定方式和限时披露的义务。</w:t>
      </w:r>
    </w:p>
    <w:p w:rsid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当出现下述情况时，基金管理人和基金托管人可暂停或延迟披露基金相关信息：</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(1)不可抗力或其他情形致使基金管理人、基金托管人无法准确评估基金资产价值时；</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(2)基金投资所涉及的证券/期货交易市场遇法定节假日或因其他原因暂停营业时；</w:t>
      </w:r>
    </w:p>
    <w:p w:rsidR="002940F0" w:rsidRDefault="002940F0" w:rsidP="008D4457">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(3)法律法规、《基金合同》或中国证监会规定的情况。</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2.程序</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3.信息文本的存放</w:t>
      </w:r>
    </w:p>
    <w:p w:rsidR="002940F0" w:rsidRPr="002940F0" w:rsidRDefault="002940F0" w:rsidP="002940F0">
      <w:pPr>
        <w:pStyle w:val="ac"/>
        <w:adjustRightInd w:val="0"/>
        <w:snapToGrid w:val="0"/>
        <w:spacing w:line="360" w:lineRule="auto"/>
        <w:ind w:firstLine="480"/>
        <w:rPr>
          <w:rFonts w:ascii="宋体" w:hAnsi="宋体" w:cs="Arial"/>
          <w:sz w:val="24"/>
        </w:rPr>
      </w:pPr>
      <w:r w:rsidRPr="002940F0">
        <w:rPr>
          <w:rFonts w:ascii="宋体" w:hAnsi="宋体" w:cs="Arial" w:hint="eastAsia"/>
          <w:sz w:val="24"/>
        </w:rPr>
        <w:t>予以披露的信息文本，存放在基金管理人/基金托管人处，投资者可以免费查</w:t>
      </w:r>
      <w:r w:rsidRPr="002940F0">
        <w:rPr>
          <w:rFonts w:ascii="宋体" w:hAnsi="宋体" w:cs="Arial" w:hint="eastAsia"/>
          <w:sz w:val="24"/>
        </w:rPr>
        <w:lastRenderedPageBreak/>
        <w:t>阅。在支付工本费后可在合理时间获得上述文件的复制件或复印件。基金管理人和基金托管人应保证文本的内容与所公告的内容完全一致。</w:t>
      </w:r>
    </w:p>
    <w:p w:rsidR="002940F0" w:rsidRPr="002940F0" w:rsidRDefault="002940F0" w:rsidP="002940F0">
      <w:pPr>
        <w:pStyle w:val="ac"/>
        <w:adjustRightInd w:val="0"/>
        <w:snapToGrid w:val="0"/>
        <w:spacing w:line="360" w:lineRule="auto"/>
        <w:ind w:firstLineChars="0" w:firstLine="0"/>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89" w:name="_Toc124325895"/>
      <w:r w:rsidRPr="002940F0">
        <w:rPr>
          <w:rFonts w:ascii="宋体" w:eastAsia="宋体" w:hAnsi="宋体" w:hint="eastAsia"/>
          <w:sz w:val="30"/>
        </w:rPr>
        <w:t>十一、基金费用</w:t>
      </w:r>
      <w:bookmarkEnd w:id="89"/>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（一）基金管理费的计提比例和计提方法</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本基金的管理费按前一日基金资产净值的1.5%年费率计提。管理费的计算方法如下：</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H＝E×年管理费率÷当年天数</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H为每日应计提的基金管理费</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E为前一日的基金资产净值</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（二）基金托管费的计提比例和计提方法</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本基金的托管费按前一日基金资产净值的0.25%年费率计提。托管费的计算方法如下：</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H＝E×年托管费率÷当年天数</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H为每日应计提的基金托管费</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E为前一日的基金资产净值</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三）证券/期货账户开户费用、证券/期货交易费用、基金财产划拨支付的银行费用、账户维护费、《基金合同》生效后与基金有关的信息披露费用、基金份额持有人大会费用、《基金合同》生效后与基金有关的会计师费、律师费、诉讼费和仲裁费等根据有关法律法规、《基金合同》及相应协议的规定，列入当期基金费用。</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（四）不列入基金费用的项目</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（五）基金管理费和基金托管费的调整</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基金管理人和基金托管人可协商酌情调整基金管理费和基金托管费，此项调整需要基金份额持有人大会决议通过。基金管理人必须最迟于新的费率实施日2日前在指定媒介上刊登公告。</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（六）基金管理费和基金托管费的复核程序、支付方式和时间</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lastRenderedPageBreak/>
        <w:t>1.复核程序</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基金托管人对基金管理人计提的基金管理费和基金托管费等，根据本托管协议和《基金合同》的有关规定进行复核。</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2.支付方式和时间</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管理费、基金托管费每日计提，按月支付。由基金托管人根据与基金管理人核对一致的财务数据，自动在次月前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在首期支付基金管理费前，基金管理人应向基金托管人出具正式函件指定基金管理费的收款账户。基金管理人如需要变更此账户，应提前5个工作日向托管人出具书面的收款账户变更通知。</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（七）违规处理方式</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2940F0" w:rsidRPr="002940F0" w:rsidRDefault="002940F0" w:rsidP="002940F0">
      <w:pPr>
        <w:adjustRightInd w:val="0"/>
        <w:snapToGrid w:val="0"/>
        <w:spacing w:line="360" w:lineRule="auto"/>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90" w:name="_Toc124325896"/>
      <w:r w:rsidRPr="002940F0">
        <w:rPr>
          <w:rFonts w:ascii="宋体" w:eastAsia="宋体" w:hAnsi="宋体" w:hint="eastAsia"/>
          <w:sz w:val="30"/>
        </w:rPr>
        <w:t>十二、基金份额持有人名册的保管</w:t>
      </w:r>
      <w:bookmarkEnd w:id="90"/>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份额持有人名册至少应包括基金份额持有人的名称和持有的基金份额。基金份额持有人名册由基金登记机构根据基金管理人的指令编制和保管，保存期不少于20年。基金管理人和基金托管人应分别保管基金份额持有人名册，保存期不少于15年。如不能妥善保管，则按相关法规承担责任。</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在基金托管人要求或编制半年报和年报前，基金管理人应将有关资料送交基金托管人，不得无故拒绝或延误提供，并保证其真实性、准确性和完整性。</w:t>
      </w:r>
      <w:r w:rsidRPr="002940F0">
        <w:rPr>
          <w:rFonts w:ascii="宋体" w:hAnsi="宋体" w:hint="eastAsia"/>
          <w:kern w:val="0"/>
          <w:sz w:val="24"/>
        </w:rPr>
        <w:t>基金托管人不得将所保管的基金份额持有人名册用于基金托管业务以外的其他用途，并应遵守保密义务，法律法规另有规定或有关机关另有要求的除外。</w:t>
      </w:r>
    </w:p>
    <w:p w:rsidR="002940F0" w:rsidRPr="002940F0" w:rsidRDefault="002940F0" w:rsidP="002940F0">
      <w:pPr>
        <w:adjustRightInd w:val="0"/>
        <w:snapToGrid w:val="0"/>
        <w:spacing w:line="360" w:lineRule="auto"/>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91" w:name="_Toc124325897"/>
      <w:r w:rsidRPr="002940F0">
        <w:rPr>
          <w:rFonts w:ascii="宋体" w:eastAsia="宋体" w:hAnsi="宋体" w:hint="eastAsia"/>
          <w:sz w:val="30"/>
        </w:rPr>
        <w:t>十三、基金有关文件档案的保存</w:t>
      </w:r>
      <w:bookmarkEnd w:id="91"/>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（一）档案保存</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（二）合同档案的建立</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1.基金管理人签署重大合同文本后，应及时将合同文本正本或加盖基金管理人公章的复印件送达基金托管人处。</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2.基金管理人应及时将与本基金账务处理、资金划拨等有关的合同、协议传真基金托管人。</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（三）变更与协助</w:t>
      </w:r>
    </w:p>
    <w:p w:rsidR="002940F0" w:rsidRPr="002940F0" w:rsidRDefault="002940F0" w:rsidP="002940F0">
      <w:pPr>
        <w:adjustRightInd w:val="0"/>
        <w:snapToGrid w:val="0"/>
        <w:spacing w:line="360" w:lineRule="auto"/>
        <w:ind w:firstLineChars="200" w:firstLine="480"/>
        <w:rPr>
          <w:rFonts w:ascii="宋体" w:hAnsi="宋体"/>
          <w:b/>
          <w:bCs/>
          <w:sz w:val="30"/>
          <w:szCs w:val="30"/>
        </w:rPr>
      </w:pPr>
      <w:r w:rsidRPr="002940F0">
        <w:rPr>
          <w:rFonts w:ascii="宋体" w:hAnsi="宋体" w:cs="Arial" w:hint="eastAsia"/>
          <w:sz w:val="24"/>
        </w:rPr>
        <w:t>若基金管理人/基金托管人发生变更，未变更的一方有义务协助变更后的接任人接收相应文件。</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（四）基金管理人和基金托管人应按各自职责完整保存原始凭证、记账凭证、基金账册、交易记录和重要合同等，承担保密义务并保存至少十五年，</w:t>
      </w:r>
      <w:r w:rsidRPr="002940F0">
        <w:rPr>
          <w:rFonts w:ascii="宋体" w:hAnsi="宋体" w:hint="eastAsia"/>
          <w:kern w:val="0"/>
          <w:sz w:val="24"/>
        </w:rPr>
        <w:t>法律法规另有规定或有关机关另有要求的除外</w:t>
      </w:r>
      <w:r w:rsidRPr="002940F0">
        <w:rPr>
          <w:rFonts w:ascii="宋体" w:hAnsi="宋体" w:cs="Arial" w:hint="eastAsia"/>
          <w:sz w:val="24"/>
        </w:rPr>
        <w:t>。</w:t>
      </w:r>
    </w:p>
    <w:p w:rsidR="002940F0" w:rsidRPr="002940F0" w:rsidRDefault="002940F0" w:rsidP="002940F0">
      <w:pPr>
        <w:adjustRightInd w:val="0"/>
        <w:snapToGrid w:val="0"/>
        <w:spacing w:line="360" w:lineRule="auto"/>
        <w:rPr>
          <w:rFonts w:ascii="宋体" w:hAnsi="宋体"/>
          <w:sz w:val="30"/>
          <w:szCs w:val="30"/>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92" w:name="_Toc124325898"/>
      <w:r w:rsidRPr="002940F0">
        <w:rPr>
          <w:rFonts w:ascii="宋体" w:eastAsia="宋体" w:hAnsi="宋体" w:hint="eastAsia"/>
          <w:sz w:val="30"/>
        </w:rPr>
        <w:t>十四、基金管理人和基金托管人的更换</w:t>
      </w:r>
      <w:bookmarkEnd w:id="92"/>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（一）基金管理人职责终止的情形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1.基金管理人职责终止的情形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有下列情形之一的，基金管理人职责终止：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(1)被依法取消基金管理资格；</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(2)依法解散、被依法撤销或被依法宣告破产；</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(3)被基金份额持有人大会解任；</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(4)法律法规及中国证监会规定的和《基金合同》约定的其他情形。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2.基金管理人的更换程序</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更换基金管理人必须依照如下程序进行：</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(1)提名：新任基金管理人由基金托管人</w:t>
      </w:r>
      <w:r w:rsidRPr="002940F0">
        <w:rPr>
          <w:rFonts w:ascii="宋体" w:hAnsi="宋体" w:hint="eastAsia"/>
          <w:sz w:val="24"/>
        </w:rPr>
        <w:t>或由单独或合计持有10%以上(含10%)基金份额的基金份额持有人</w:t>
      </w:r>
      <w:r w:rsidRPr="002940F0">
        <w:rPr>
          <w:rFonts w:ascii="宋体" w:hAnsi="宋体" w:cs="Arial" w:hint="eastAsia"/>
          <w:sz w:val="24"/>
        </w:rPr>
        <w:t>提名；</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(2)决议：基金份额持有人大会在基金管理人职责终止后6个月内对被提名的基金管理人形成决议，该决议需经参加大会的基金份额持有人所持表决权的三分</w:t>
      </w:r>
      <w:r w:rsidRPr="002940F0">
        <w:rPr>
          <w:rFonts w:ascii="宋体" w:hAnsi="宋体" w:cs="Arial" w:hint="eastAsia"/>
          <w:sz w:val="24"/>
        </w:rPr>
        <w:lastRenderedPageBreak/>
        <w:t>之二以上(含三分之二)表决通过</w:t>
      </w:r>
      <w:r w:rsidRPr="002940F0">
        <w:rPr>
          <w:rFonts w:ascii="宋体" w:hAnsi="宋体" w:cs="Arial" w:hint="eastAsia"/>
          <w:bCs/>
          <w:sz w:val="24"/>
        </w:rPr>
        <w:t>，并自表决通过之日起生效</w:t>
      </w:r>
      <w:r w:rsidRPr="002940F0">
        <w:rPr>
          <w:rFonts w:ascii="宋体" w:hAnsi="宋体" w:cs="Arial" w:hint="eastAsia"/>
          <w:sz w:val="24"/>
        </w:rPr>
        <w:t>；</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(3)临时基金管理人：新任基金管理人产生之前，由中国证监会指定临时基金管理人；</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(4)备案：基金份额持有人大会选任基金管理人的决议须报中国证监会备案；</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(5)公告：基金管理人更换后，由基金托管人在更换基金管理人的基金份额持有人大会决议生效后2日内在指定媒介公告；</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2940F0" w:rsidRPr="002940F0" w:rsidRDefault="002940F0" w:rsidP="002940F0">
      <w:pPr>
        <w:adjustRightInd w:val="0"/>
        <w:snapToGrid w:val="0"/>
        <w:spacing w:line="360" w:lineRule="auto"/>
        <w:ind w:firstLineChars="200" w:firstLine="480"/>
        <w:rPr>
          <w:rFonts w:ascii="宋体" w:hAnsi="宋体"/>
          <w:sz w:val="30"/>
          <w:szCs w:val="30"/>
        </w:rPr>
      </w:pPr>
      <w:r w:rsidRPr="002940F0">
        <w:rPr>
          <w:rFonts w:ascii="宋体" w:hAnsi="宋体" w:cs="Arial" w:hint="eastAsia"/>
          <w:sz w:val="24"/>
        </w:rPr>
        <w:t>(8)基金名称变更：基金管理人更换后，如果原任或新任基金管理人要求，应按其要求替换或删除基金名称中与原基金管理人有关的名称字样。</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（二）基金托管人职责终止的情形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1.基金托管人职责终止的情形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有下列情形之一的，基金托管人职责终止：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(1)被依法取消基金托管资格；</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(2)依法解散、被依法撤销或被依法宣告破产；</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(3)被基金份额持有人大会解任；</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(4)法律法规及中国证监会规定的和《基金合同》约定的其他情形。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2.基金托管人的更换程序</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(1)提名：新任基金托管人由基金管理人</w:t>
      </w:r>
      <w:r w:rsidRPr="002940F0">
        <w:rPr>
          <w:rFonts w:ascii="宋体" w:hAnsi="宋体" w:hint="eastAsia"/>
          <w:sz w:val="24"/>
        </w:rPr>
        <w:t>或由单独或合计持有10%以上(含10%)基金份额的基金份额持有人</w:t>
      </w:r>
      <w:r w:rsidRPr="002940F0">
        <w:rPr>
          <w:rFonts w:ascii="宋体" w:hAnsi="宋体" w:cs="Arial" w:hint="eastAsia"/>
          <w:sz w:val="24"/>
        </w:rPr>
        <w:t>提名；</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2940F0">
        <w:rPr>
          <w:rFonts w:ascii="宋体" w:hAnsi="宋体" w:cs="Arial" w:hint="eastAsia"/>
          <w:bCs/>
          <w:sz w:val="24"/>
        </w:rPr>
        <w:t>，并自表决通过之日起生效</w:t>
      </w:r>
      <w:r w:rsidRPr="002940F0">
        <w:rPr>
          <w:rFonts w:ascii="宋体" w:hAnsi="宋体" w:cs="Arial" w:hint="eastAsia"/>
          <w:sz w:val="24"/>
        </w:rPr>
        <w:t>；</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(3)临时基金托管人：新任基金托管人产生之前，由中国证监会指定临时基金托管人；</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lastRenderedPageBreak/>
        <w:t>(4)备案：基金份额持有人大会选任基金托管人的决议须报中国证监会备案；</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(5)公告：基金托管人更换后，由基金管理人在更换基金托管人的基金份额持有人大会决议生效后 2日内在指定媒介公告；</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（三）基金管理人与基金托管人同时更换的条件和程序</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1.提名：如果基金管理人和基金托管人同时更换，由单独或合计持有基金总份额10%以上(含10%)的基金份额持有人提名新的基金管理人和基金托管人；</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2.基金管理人和基金托管人的更换分别按上述程序进行；</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3.公告：新任基金管理人和新任基金托管人应在更换基金管理人和基金托管人的基金份额持有人大会决议生效后2日内在指定媒介上联合公告。</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四）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基金合同》的规定收取基金管理费或基金托管费。</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2940F0" w:rsidRPr="002940F0" w:rsidRDefault="002940F0" w:rsidP="002940F0">
      <w:pPr>
        <w:adjustRightInd w:val="0"/>
        <w:snapToGrid w:val="0"/>
        <w:spacing w:line="360" w:lineRule="auto"/>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93" w:name="_Toc124325899"/>
      <w:r w:rsidRPr="002940F0">
        <w:rPr>
          <w:rFonts w:ascii="宋体" w:eastAsia="宋体" w:hAnsi="宋体" w:hint="eastAsia"/>
          <w:sz w:val="30"/>
        </w:rPr>
        <w:t>十五、禁止行为</w:t>
      </w:r>
      <w:bookmarkEnd w:id="93"/>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本协议当事人及其董事、监事、高级管理人员和其他从业人员禁止从事的行为，包括但不限于：</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（一）基金管理人、基金托管人将其固有财产或者他人财产混同于基金财产</w:t>
      </w:r>
      <w:r w:rsidRPr="002940F0">
        <w:rPr>
          <w:rFonts w:ascii="宋体" w:hAnsi="宋体" w:hint="eastAsia"/>
          <w:sz w:val="24"/>
        </w:rPr>
        <w:lastRenderedPageBreak/>
        <w:t>从事证券/期货投资。</w:t>
      </w:r>
    </w:p>
    <w:p w:rsidR="002940F0" w:rsidRPr="002940F0" w:rsidRDefault="002940F0" w:rsidP="002940F0">
      <w:pPr>
        <w:adjustRightInd w:val="0"/>
        <w:snapToGrid w:val="0"/>
        <w:spacing w:line="360" w:lineRule="auto"/>
        <w:ind w:firstLineChars="200" w:firstLine="480"/>
        <w:rPr>
          <w:rFonts w:ascii="宋体" w:hAnsi="宋体"/>
        </w:rPr>
      </w:pPr>
      <w:r w:rsidRPr="002940F0">
        <w:rPr>
          <w:rFonts w:ascii="宋体" w:hAnsi="宋体" w:hint="eastAsia"/>
          <w:sz w:val="24"/>
        </w:rPr>
        <w:t>（二）基金管理人不公平地对待其管理的不同基金财产，基金托管人不公平地对待其托管的不同基金财产。</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（三）基金管理人、基金托管人</w:t>
      </w:r>
      <w:r w:rsidRPr="002940F0">
        <w:rPr>
          <w:rFonts w:ascii="宋体" w:hAnsi="宋体" w:cs="Arial" w:hint="eastAsia"/>
          <w:sz w:val="24"/>
        </w:rPr>
        <w:t>及其董事、监事、高级管理人员和其他从业人员</w:t>
      </w:r>
      <w:r w:rsidRPr="002940F0">
        <w:rPr>
          <w:rFonts w:ascii="宋体" w:hAnsi="宋体" w:hint="eastAsia"/>
          <w:sz w:val="24"/>
        </w:rPr>
        <w:t>利用基金财产</w:t>
      </w:r>
      <w:r w:rsidRPr="002940F0">
        <w:rPr>
          <w:rFonts w:ascii="宋体" w:hAnsi="宋体" w:cs="Arial" w:hint="eastAsia"/>
          <w:sz w:val="24"/>
        </w:rPr>
        <w:t>或职务之便</w:t>
      </w:r>
      <w:r w:rsidRPr="002940F0">
        <w:rPr>
          <w:rFonts w:ascii="宋体" w:hAnsi="宋体" w:hint="eastAsia"/>
          <w:sz w:val="24"/>
        </w:rPr>
        <w:t>为基金份额持有人以外的第三人牟取利益。</w:t>
      </w:r>
    </w:p>
    <w:p w:rsidR="002940F0" w:rsidRPr="002940F0" w:rsidRDefault="002940F0" w:rsidP="002940F0">
      <w:pPr>
        <w:adjustRightInd w:val="0"/>
        <w:snapToGrid w:val="0"/>
        <w:spacing w:line="360" w:lineRule="auto"/>
        <w:ind w:firstLineChars="200" w:firstLine="480"/>
        <w:rPr>
          <w:rFonts w:ascii="宋体" w:hAnsi="宋体"/>
          <w:sz w:val="24"/>
        </w:rPr>
      </w:pPr>
      <w:r w:rsidRPr="002940F0">
        <w:rPr>
          <w:rFonts w:ascii="宋体" w:hAnsi="宋体" w:hint="eastAsia"/>
          <w:sz w:val="24"/>
        </w:rPr>
        <w:t>（四）基金管理人、基金托管人向基金份额持有人违规承诺收益或者承担损失。</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（五）基金管理人、基金托管人对他人泄漏基金运作和管理过程中任何尚未按法律法规规定的方式公开披露的信息。</w:t>
      </w:r>
    </w:p>
    <w:p w:rsidR="002940F0" w:rsidRPr="002940F0" w:rsidRDefault="002940F0" w:rsidP="002940F0">
      <w:pPr>
        <w:pStyle w:val="ad"/>
        <w:spacing w:line="360" w:lineRule="auto"/>
        <w:outlineLvl w:val="0"/>
        <w:rPr>
          <w:rFonts w:ascii="宋体" w:eastAsia="宋体" w:hAnsi="宋体" w:cs="Arial"/>
          <w:szCs w:val="24"/>
        </w:rPr>
      </w:pPr>
      <w:r w:rsidRPr="002940F0">
        <w:rPr>
          <w:rFonts w:ascii="宋体" w:eastAsia="宋体" w:hAnsi="宋体" w:cs="Arial" w:hint="eastAsia"/>
          <w:szCs w:val="24"/>
        </w:rPr>
        <w:t>（六）基金管理人在没有充足资金的情况下向基金托管人发出投资指令和赎回、分红资金的划拨指令，或违规向基金托管人发出指令。</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（七）基金管理人、基金托管人在行政上、财务上不独立, 其高级管理人员和其他从业人员相互兼职。</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（八）基金管理人、基金托管人及其董事、监事、高级管理人员和其他从业人员侵占、挪用基金财产。</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（九）基金管理人、基金托管人及其董事、监事、高级管理人员和其他从业人员泄露因职务便利获取的未公开信息、利用该信息从事或者明示、暗示他人从事相关的交易活动。</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（十）基金管理人、基金托管人及其董事、监事、高级管理人员和其他从业人员玩忽职守，不按照规定履行职责。</w:t>
      </w:r>
    </w:p>
    <w:p w:rsidR="002940F0" w:rsidRPr="002940F0" w:rsidRDefault="002940F0" w:rsidP="00ED363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（十一）基金托管人私自动用或处分基金财产，根据基金管理人的合法指令、《基金合同》或托管协议的规定进行处分的除外。</w:t>
      </w:r>
    </w:p>
    <w:p w:rsidR="002940F0" w:rsidRPr="002940F0" w:rsidRDefault="002940F0" w:rsidP="00ED3630">
      <w:pPr>
        <w:adjustRightInd w:val="0"/>
        <w:snapToGrid w:val="0"/>
        <w:spacing w:line="360" w:lineRule="auto"/>
        <w:ind w:firstLineChars="200" w:firstLine="480"/>
        <w:rPr>
          <w:rFonts w:ascii="宋体" w:hAnsi="宋体"/>
          <w:sz w:val="24"/>
        </w:rPr>
      </w:pPr>
      <w:r w:rsidRPr="002940F0">
        <w:rPr>
          <w:rFonts w:ascii="宋体" w:hAnsi="宋体" w:hint="eastAsia"/>
          <w:sz w:val="24"/>
        </w:rPr>
        <w:t>（</w:t>
      </w:r>
      <w:r w:rsidRPr="002940F0">
        <w:rPr>
          <w:rFonts w:ascii="宋体" w:hAnsi="宋体" w:cs="Arial" w:hint="eastAsia"/>
          <w:sz w:val="24"/>
        </w:rPr>
        <w:t>十二</w:t>
      </w:r>
      <w:r w:rsidRPr="002940F0">
        <w:rPr>
          <w:rFonts w:ascii="宋体" w:hAnsi="宋体" w:hint="eastAsia"/>
          <w:sz w:val="24"/>
        </w:rPr>
        <w:t>）</w:t>
      </w:r>
      <w:r w:rsidRPr="002940F0">
        <w:rPr>
          <w:rFonts w:ascii="宋体" w:hAnsi="宋体" w:cs="Arial" w:hint="eastAsia"/>
          <w:sz w:val="24"/>
        </w:rPr>
        <w:t>基金财产</w:t>
      </w:r>
      <w:r w:rsidRPr="002940F0">
        <w:rPr>
          <w:rFonts w:ascii="宋体" w:hAnsi="宋体" w:hint="eastAsia"/>
          <w:sz w:val="24"/>
        </w:rPr>
        <w:t>用于下列投资或者活动：1.承销证券；2.违反规定向他人贷款或者提供担保；3.从事承担无限责任的投资；4.</w:t>
      </w:r>
      <w:r w:rsidR="005854C9" w:rsidRPr="005854C9">
        <w:rPr>
          <w:rFonts w:hint="eastAsia"/>
        </w:rPr>
        <w:t xml:space="preserve"> </w:t>
      </w:r>
      <w:r w:rsidR="005854C9" w:rsidRPr="005854C9">
        <w:rPr>
          <w:rFonts w:ascii="宋体" w:hAnsi="宋体" w:hint="eastAsia"/>
          <w:sz w:val="24"/>
        </w:rPr>
        <w:t>买卖其他基金份额，但是中国证监会另有规定的除外</w:t>
      </w:r>
      <w:r w:rsidR="005854C9">
        <w:rPr>
          <w:rFonts w:ascii="宋体" w:hAnsi="宋体" w:hint="eastAsia"/>
          <w:sz w:val="24"/>
        </w:rPr>
        <w:t>；5.</w:t>
      </w:r>
      <w:r w:rsidRPr="002940F0">
        <w:rPr>
          <w:rFonts w:ascii="宋体" w:hAnsi="宋体" w:hint="eastAsia"/>
          <w:sz w:val="24"/>
        </w:rPr>
        <w:t>向其基金管理人、基金托管人出资；</w:t>
      </w:r>
      <w:r w:rsidR="005854C9">
        <w:rPr>
          <w:rFonts w:ascii="宋体" w:hAnsi="宋体" w:hint="eastAsia"/>
          <w:sz w:val="24"/>
        </w:rPr>
        <w:t>6</w:t>
      </w:r>
      <w:r w:rsidRPr="002940F0">
        <w:rPr>
          <w:rFonts w:ascii="宋体" w:hAnsi="宋体" w:hint="eastAsia"/>
          <w:sz w:val="24"/>
        </w:rPr>
        <w:t>.从事内幕交易、操纵证券交易价格及其他不正当的证券交易活动；</w:t>
      </w:r>
      <w:r w:rsidR="005854C9">
        <w:rPr>
          <w:rFonts w:ascii="宋体" w:hAnsi="宋体" w:hint="eastAsia"/>
          <w:sz w:val="24"/>
        </w:rPr>
        <w:t>7</w:t>
      </w:r>
      <w:r w:rsidRPr="002940F0">
        <w:rPr>
          <w:rFonts w:ascii="宋体" w:hAnsi="宋体" w:hint="eastAsia"/>
          <w:sz w:val="24"/>
        </w:rPr>
        <w:t>.法律、行政法规和中国证监会规定禁止的其他活动。</w:t>
      </w:r>
      <w:r w:rsidRPr="002940F0">
        <w:rPr>
          <w:rFonts w:ascii="宋体" w:hAnsi="宋体" w:cs="Arial" w:hint="eastAsia"/>
          <w:sz w:val="24"/>
        </w:rPr>
        <w:t>法律法规或监管部门取消上述限制，如适用于本基金，则本基金投资不再受相关限制</w:t>
      </w:r>
      <w:r w:rsidRPr="002940F0">
        <w:rPr>
          <w:rFonts w:ascii="宋体" w:hAnsi="宋体" w:hint="eastAsia"/>
          <w:sz w:val="24"/>
        </w:rPr>
        <w:t>。</w:t>
      </w:r>
    </w:p>
    <w:p w:rsidR="002940F0" w:rsidRPr="002940F0" w:rsidRDefault="002940F0" w:rsidP="00ED363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基金管理人可以运用基金财产买卖基金管理人、基金托管人及其控股股东、实际控制人或者与其有重大利害关系的公司发行的证券或者承销期内承销的证券，</w:t>
      </w:r>
      <w:r w:rsidRPr="002940F0">
        <w:rPr>
          <w:rFonts w:ascii="宋体" w:hAnsi="宋体" w:cs="Arial" w:hint="eastAsia"/>
          <w:sz w:val="24"/>
        </w:rPr>
        <w:lastRenderedPageBreak/>
        <w:t>或者从事其他重大关联交易，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如法律、行政法规或监管部门取消或调整上述禁止性规定，基金管理人在履行适当程序后，本基金可不受上述规定的限制或按调整后的规定执行。</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（十三）法律法规和《基金合同》禁止的其他行为，以及</w:t>
      </w:r>
      <w:r w:rsidRPr="002940F0">
        <w:rPr>
          <w:rFonts w:ascii="宋体" w:hAnsi="宋体" w:hint="eastAsia"/>
          <w:sz w:val="24"/>
        </w:rPr>
        <w:t>法律、行政法规和中国证监会规定禁止基金管理人、基金托管人从事的其他行为。</w:t>
      </w:r>
    </w:p>
    <w:p w:rsidR="002940F0" w:rsidRPr="002940F0" w:rsidRDefault="002940F0" w:rsidP="002940F0">
      <w:pPr>
        <w:adjustRightInd w:val="0"/>
        <w:snapToGrid w:val="0"/>
        <w:spacing w:line="360" w:lineRule="auto"/>
        <w:rPr>
          <w:rFonts w:ascii="宋体" w:hAnsi="宋体"/>
          <w:sz w:val="30"/>
          <w:szCs w:val="30"/>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94" w:name="_Toc124325900"/>
      <w:r w:rsidRPr="002940F0">
        <w:rPr>
          <w:rFonts w:ascii="宋体" w:eastAsia="宋体" w:hAnsi="宋体" w:hint="eastAsia"/>
          <w:sz w:val="30"/>
        </w:rPr>
        <w:t>十六、托管协议的变更、终止与基金财产的清算</w:t>
      </w:r>
      <w:bookmarkEnd w:id="94"/>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（一）托管协议的变更程序</w:t>
      </w:r>
    </w:p>
    <w:p w:rsidR="002940F0" w:rsidRPr="002940F0" w:rsidRDefault="002940F0" w:rsidP="002940F0">
      <w:pPr>
        <w:adjustRightInd w:val="0"/>
        <w:snapToGrid w:val="0"/>
        <w:spacing w:line="360" w:lineRule="auto"/>
        <w:ind w:firstLineChars="200" w:firstLine="480"/>
        <w:rPr>
          <w:rFonts w:ascii="宋体" w:hAnsi="宋体"/>
          <w:sz w:val="30"/>
          <w:szCs w:val="30"/>
        </w:rPr>
      </w:pPr>
      <w:r w:rsidRPr="002940F0">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（二）基金托管协议终止出现的情形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1.《基金合同》终止；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2.基金托管人解散、依法被撤销、破产或由其他基金托管人接管基金资产；</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3.基金管理人解散、依法被撤销、破产或由其他基金管理人接管基金管理权；</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4.发生法律法规、中国证监会或《基金合同》规定的终止事项。</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（三）基金财产的清算</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3.基金财产清算小组职责：基金财产清算小组负责基金财产的保管、清理、估价、变现和分配。基金财产清算小组可以依法进行必要的民事活动。</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lastRenderedPageBreak/>
        <w:t>4.基金财产清算程序：</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(1)《基金合同》终止情形出现时，由基金财产清算小组统一接管基金；</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(2)对基金财产和债权债务进行清理和确认；</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(3)对基金财产进行估值和变现；</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(4)制作清算报告；</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(5)聘请会计师事务所对清算报告进行外部审计，聘请律师事务所对清算报告出具法律意见书；</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(6)将清算结果报中国证监会备案并公告；</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(7)对基金剩余财产进行分配。</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5.基金财产清算的期限为</w:t>
      </w:r>
      <w:r w:rsidRPr="002940F0">
        <w:rPr>
          <w:rFonts w:ascii="宋体" w:hAnsi="宋体" w:cs="Arial"/>
          <w:sz w:val="24"/>
        </w:rPr>
        <w:t>6</w:t>
      </w:r>
      <w:r w:rsidRPr="002940F0">
        <w:rPr>
          <w:rFonts w:ascii="宋体" w:hAnsi="宋体" w:cs="Arial" w:hint="eastAsia"/>
          <w:sz w:val="24"/>
        </w:rPr>
        <w:t>个月。</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6.清算费用</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清算费用是指基金财产清算小组在进行基金清算过程中发生的所有合理费用，清算费用由基金财产清算小组优先从基金财产中支付。</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7.基金财产清算剩余资产的分配：</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8.基金财产清算的公告</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940F0">
        <w:rPr>
          <w:rFonts w:ascii="宋体" w:hAnsi="宋体" w:cs="Arial"/>
          <w:sz w:val="24"/>
        </w:rPr>
        <w:t>5</w:t>
      </w:r>
      <w:r w:rsidRPr="002940F0">
        <w:rPr>
          <w:rFonts w:ascii="宋体" w:hAnsi="宋体" w:cs="Arial" w:hint="eastAsia"/>
          <w:sz w:val="24"/>
        </w:rPr>
        <w:t>个工作日内由基金财产清算小组进行公告。</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9.基金财产清算账册及文件的保存</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基金财产清算账册及有关文件由基金托管人保存15年以上。</w:t>
      </w:r>
    </w:p>
    <w:p w:rsidR="002940F0" w:rsidRPr="002940F0" w:rsidRDefault="002940F0" w:rsidP="002940F0">
      <w:pPr>
        <w:adjustRightInd w:val="0"/>
        <w:snapToGrid w:val="0"/>
        <w:spacing w:line="360" w:lineRule="auto"/>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95" w:name="_Toc124325901"/>
      <w:r w:rsidRPr="002940F0">
        <w:rPr>
          <w:rFonts w:ascii="宋体" w:eastAsia="宋体" w:hAnsi="宋体" w:hint="eastAsia"/>
          <w:sz w:val="30"/>
        </w:rPr>
        <w:t>十七、违约责任</w:t>
      </w:r>
      <w:bookmarkEnd w:id="95"/>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（一）基金管理人、基金托管人不履行本协议或履行本协议不符合约定的，应当承担违约责任。</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（二）基金管理人、基金托管人在履行各自职责的过程中，违反《基金法》或者《基金合同》和本托管协议约定，给基金财产或者基金份额持有人造成损害</w:t>
      </w:r>
      <w:r w:rsidRPr="002940F0">
        <w:rPr>
          <w:rFonts w:ascii="宋体" w:hAnsi="宋体" w:cs="Arial" w:hint="eastAsia"/>
          <w:sz w:val="24"/>
        </w:rPr>
        <w:lastRenderedPageBreak/>
        <w:t>的，应当分别对各自的行为依法承担赔偿责任；因共同行为给基金财产或者基金份额持有人造成损害的，应当承担连带赔偿责任。对损失的赔偿，仅限于直接损失。</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1.不可抗力；</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2.基金管理人、基金托管人按照当时有效的法律法规或中国证监会的规定作为或不作为而造成的损失等；</w:t>
      </w:r>
    </w:p>
    <w:p w:rsidR="002940F0" w:rsidRPr="002940F0" w:rsidRDefault="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3.基金管理人由于按照《基金合同》规定的投资原则投资或不投资造成的直接损失等。</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2940F0" w:rsidRP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rsidR="002940F0" w:rsidRDefault="002940F0" w:rsidP="002940F0">
      <w:pPr>
        <w:adjustRightInd w:val="0"/>
        <w:snapToGrid w:val="0"/>
        <w:spacing w:line="360" w:lineRule="auto"/>
        <w:ind w:firstLineChars="200" w:firstLine="480"/>
        <w:outlineLvl w:val="0"/>
        <w:rPr>
          <w:rFonts w:ascii="宋体" w:hAnsi="宋体" w:cs="Arial"/>
          <w:sz w:val="24"/>
        </w:rPr>
      </w:pPr>
      <w:r w:rsidRPr="002940F0">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55B2D" w:rsidRPr="002940F0" w:rsidRDefault="00055B2D" w:rsidP="002940F0">
      <w:pPr>
        <w:adjustRightInd w:val="0"/>
        <w:snapToGrid w:val="0"/>
        <w:spacing w:line="360" w:lineRule="auto"/>
        <w:ind w:firstLineChars="200" w:firstLine="480"/>
        <w:outlineLvl w:val="0"/>
        <w:rPr>
          <w:rFonts w:ascii="宋体" w:hAnsi="宋体" w:cs="Arial"/>
          <w:sz w:val="24"/>
        </w:rPr>
      </w:pPr>
    </w:p>
    <w:p w:rsidR="002940F0" w:rsidRPr="002940F0" w:rsidRDefault="002940F0" w:rsidP="002940F0">
      <w:pPr>
        <w:adjustRightInd w:val="0"/>
        <w:snapToGrid w:val="0"/>
        <w:spacing w:line="360" w:lineRule="auto"/>
        <w:outlineLvl w:val="0"/>
        <w:rPr>
          <w:rFonts w:ascii="宋体" w:hAnsi="宋体" w:cs="Arial"/>
          <w:sz w:val="24"/>
        </w:rPr>
      </w:pPr>
    </w:p>
    <w:p w:rsidR="002940F0" w:rsidRDefault="002940F0" w:rsidP="002940F0">
      <w:pPr>
        <w:pStyle w:val="2"/>
        <w:adjustRightInd w:val="0"/>
        <w:snapToGrid w:val="0"/>
        <w:spacing w:before="0" w:after="0" w:line="360" w:lineRule="auto"/>
        <w:jc w:val="center"/>
        <w:rPr>
          <w:rFonts w:ascii="宋体" w:eastAsia="宋体" w:hAnsi="宋体"/>
          <w:sz w:val="30"/>
        </w:rPr>
      </w:pPr>
      <w:bookmarkStart w:id="96" w:name="_Toc124325902"/>
      <w:r w:rsidRPr="002940F0">
        <w:rPr>
          <w:rFonts w:ascii="宋体" w:eastAsia="宋体" w:hAnsi="宋体" w:hint="eastAsia"/>
          <w:sz w:val="30"/>
        </w:rPr>
        <w:t>十八、争议解决方式</w:t>
      </w:r>
      <w:bookmarkEnd w:id="96"/>
    </w:p>
    <w:p w:rsidR="00055B2D" w:rsidRPr="00101934" w:rsidRDefault="00055B2D" w:rsidP="00101934"/>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各方当事人同意，因本协议而产生的或本协议有关的一切争议，如经友好协商未能解决的，均应提交中国国际经济贸易仲裁委员会按照申请仲裁时该会届时有效的仲裁规则进行仲裁，仲裁地点为北京市。仲裁裁决是终局的，并对当事人均有约束力，仲裁费用由败诉方承担。</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争议处理期间，双方当事人应恪守基金管理人和基金托管人职责，各自继续</w:t>
      </w:r>
      <w:r w:rsidRPr="002940F0">
        <w:rPr>
          <w:rFonts w:ascii="宋体" w:hAnsi="宋体" w:cs="Arial" w:hint="eastAsia"/>
          <w:sz w:val="24"/>
        </w:rPr>
        <w:lastRenderedPageBreak/>
        <w:t>忠实、勤勉、尽责地履行基金合同和本托管协议规定的义务，维护基金份额持有人的合法权益。</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本协议受中国法律管辖。</w:t>
      </w:r>
    </w:p>
    <w:p w:rsidR="002940F0" w:rsidRPr="002940F0" w:rsidRDefault="002940F0" w:rsidP="002940F0">
      <w:pPr>
        <w:adjustRightInd w:val="0"/>
        <w:snapToGrid w:val="0"/>
        <w:spacing w:line="360" w:lineRule="auto"/>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97" w:name="_Toc124325903"/>
      <w:r w:rsidRPr="002940F0">
        <w:rPr>
          <w:rFonts w:ascii="宋体" w:eastAsia="宋体" w:hAnsi="宋体" w:hint="eastAsia"/>
          <w:sz w:val="30"/>
        </w:rPr>
        <w:t>十九、托管协议的效力</w:t>
      </w:r>
      <w:bookmarkEnd w:id="97"/>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双方对托管协议的效力约定如下：</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（三）托管协议自生效之日起对托管协议当事人具有同等的法律约束力。</w:t>
      </w:r>
    </w:p>
    <w:p w:rsidR="002940F0" w:rsidRPr="002940F0" w:rsidRDefault="002940F0" w:rsidP="002940F0">
      <w:pPr>
        <w:adjustRightInd w:val="0"/>
        <w:snapToGrid w:val="0"/>
        <w:spacing w:line="360" w:lineRule="auto"/>
        <w:ind w:firstLineChars="200" w:firstLine="480"/>
        <w:rPr>
          <w:rFonts w:ascii="宋体" w:hAnsi="宋体"/>
          <w:sz w:val="30"/>
          <w:szCs w:val="30"/>
        </w:rPr>
      </w:pPr>
      <w:r w:rsidRPr="002940F0">
        <w:rPr>
          <w:rFonts w:ascii="宋体" w:hAnsi="宋体" w:cs="Arial" w:hint="eastAsia"/>
          <w:sz w:val="24"/>
        </w:rPr>
        <w:t>（四）本协议一式六份，协议双方各持二份，上报监管机构二份，每份具有同等的法律效力。</w:t>
      </w:r>
    </w:p>
    <w:p w:rsidR="002940F0" w:rsidRPr="002940F0" w:rsidRDefault="002940F0" w:rsidP="002940F0">
      <w:pPr>
        <w:adjustRightInd w:val="0"/>
        <w:snapToGrid w:val="0"/>
        <w:spacing w:line="360" w:lineRule="auto"/>
        <w:rPr>
          <w:rFonts w:ascii="宋体" w:hAnsi="宋体" w:cs="Arial"/>
          <w:sz w:val="24"/>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98" w:name="_Toc124325904"/>
      <w:r w:rsidRPr="002940F0">
        <w:rPr>
          <w:rFonts w:ascii="宋体" w:eastAsia="宋体" w:hAnsi="宋体" w:hint="eastAsia"/>
          <w:sz w:val="30"/>
        </w:rPr>
        <w:t>二十、其他事项</w:t>
      </w:r>
      <w:bookmarkEnd w:id="98"/>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如发生有权司法机关依法冻结基金份额持有人的基金份额时，基金管理人应予以配合，承担司法协助义务。</w:t>
      </w:r>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除本协议有明确定义外，本协议的用语定义适用《基金合同》的约定。本协议未尽事宜，当事人依据《基金合同》、有关法律法规等规定协商办理。</w:t>
      </w:r>
    </w:p>
    <w:p w:rsidR="002940F0" w:rsidRPr="002940F0" w:rsidRDefault="002940F0" w:rsidP="002940F0">
      <w:pPr>
        <w:adjustRightInd w:val="0"/>
        <w:snapToGrid w:val="0"/>
        <w:spacing w:line="360" w:lineRule="auto"/>
        <w:rPr>
          <w:rFonts w:ascii="宋体" w:hAnsi="宋体"/>
          <w:b/>
          <w:bCs/>
        </w:rPr>
      </w:pPr>
    </w:p>
    <w:p w:rsidR="002940F0" w:rsidRPr="002940F0" w:rsidRDefault="002940F0" w:rsidP="002940F0">
      <w:pPr>
        <w:pStyle w:val="2"/>
        <w:adjustRightInd w:val="0"/>
        <w:snapToGrid w:val="0"/>
        <w:spacing w:before="0" w:after="0" w:line="360" w:lineRule="auto"/>
        <w:jc w:val="center"/>
        <w:rPr>
          <w:rFonts w:ascii="宋体" w:eastAsia="宋体" w:hAnsi="宋体"/>
          <w:sz w:val="30"/>
        </w:rPr>
      </w:pPr>
      <w:bookmarkStart w:id="99" w:name="_Toc124325905"/>
      <w:r w:rsidRPr="002940F0">
        <w:rPr>
          <w:rFonts w:ascii="宋体" w:eastAsia="宋体" w:hAnsi="宋体" w:hint="eastAsia"/>
          <w:sz w:val="30"/>
        </w:rPr>
        <w:t>二十一、托管协议的签订</w:t>
      </w:r>
      <w:bookmarkEnd w:id="99"/>
    </w:p>
    <w:p w:rsidR="002940F0" w:rsidRPr="002940F0" w:rsidRDefault="002940F0" w:rsidP="002940F0">
      <w:pPr>
        <w:adjustRightInd w:val="0"/>
        <w:snapToGrid w:val="0"/>
        <w:spacing w:line="360" w:lineRule="auto"/>
        <w:ind w:firstLineChars="200" w:firstLine="480"/>
        <w:rPr>
          <w:rFonts w:ascii="宋体" w:hAnsi="宋体" w:cs="Arial"/>
          <w:sz w:val="24"/>
        </w:rPr>
      </w:pPr>
      <w:r w:rsidRPr="002940F0">
        <w:rPr>
          <w:rFonts w:ascii="宋体" w:hAnsi="宋体" w:cs="Arial" w:hint="eastAsia"/>
          <w:sz w:val="24"/>
        </w:rPr>
        <w:t>本协议双方法定代表人或授权代表签章、签订地、签订日</w:t>
      </w:r>
    </w:p>
    <w:p w:rsidR="002940F0" w:rsidRPr="002940F0" w:rsidRDefault="002940F0" w:rsidP="002940F0">
      <w:pPr>
        <w:adjustRightInd w:val="0"/>
        <w:snapToGrid w:val="0"/>
        <w:spacing w:line="360" w:lineRule="auto"/>
        <w:ind w:firstLineChars="200" w:firstLine="480"/>
        <w:rPr>
          <w:rFonts w:ascii="宋体" w:hAnsi="宋体" w:cs="Arial"/>
          <w:sz w:val="24"/>
        </w:rPr>
        <w:sectPr w:rsidR="002940F0" w:rsidRPr="002940F0">
          <w:headerReference w:type="default" r:id="rId11"/>
          <w:pgSz w:w="11906" w:h="16838" w:code="9"/>
          <w:pgMar w:top="1418" w:right="1701" w:bottom="1418" w:left="1701" w:header="851" w:footer="992" w:gutter="0"/>
          <w:cols w:space="425"/>
          <w:docGrid w:type="lines" w:linePitch="312"/>
        </w:sectPr>
      </w:pPr>
    </w:p>
    <w:p w:rsidR="002940F0" w:rsidRPr="002940F0" w:rsidRDefault="002940F0" w:rsidP="002940F0">
      <w:pPr>
        <w:spacing w:line="360" w:lineRule="auto"/>
        <w:ind w:right="26"/>
        <w:rPr>
          <w:rFonts w:ascii="宋体" w:hAnsi="宋体"/>
          <w:sz w:val="24"/>
        </w:rPr>
      </w:pPr>
      <w:r w:rsidRPr="002940F0">
        <w:rPr>
          <w:rFonts w:ascii="宋体" w:hAnsi="宋体" w:hint="eastAsia"/>
          <w:sz w:val="24"/>
        </w:rPr>
        <w:lastRenderedPageBreak/>
        <w:t>本页无正文，为《富国产业升级混合型证券投资基金托管协议》的签字盖章页。</w:t>
      </w:r>
    </w:p>
    <w:p w:rsidR="002940F0" w:rsidRPr="002940F0" w:rsidRDefault="002940F0" w:rsidP="002940F0">
      <w:pPr>
        <w:spacing w:line="360" w:lineRule="auto"/>
        <w:rPr>
          <w:rFonts w:ascii="宋体" w:hAnsi="宋体"/>
          <w:sz w:val="24"/>
        </w:rPr>
      </w:pPr>
    </w:p>
    <w:p w:rsidR="002940F0" w:rsidRPr="002940F0" w:rsidRDefault="002940F0" w:rsidP="002940F0">
      <w:pPr>
        <w:spacing w:line="360" w:lineRule="auto"/>
        <w:rPr>
          <w:rFonts w:ascii="宋体" w:hAnsi="宋体"/>
          <w:sz w:val="24"/>
        </w:rPr>
      </w:pPr>
    </w:p>
    <w:p w:rsidR="002940F0" w:rsidRPr="002940F0" w:rsidRDefault="002940F0" w:rsidP="002940F0">
      <w:pPr>
        <w:spacing w:line="360" w:lineRule="auto"/>
        <w:rPr>
          <w:rFonts w:ascii="宋体" w:hAnsi="宋体"/>
          <w:sz w:val="24"/>
        </w:rPr>
      </w:pPr>
    </w:p>
    <w:p w:rsidR="002940F0" w:rsidRPr="002940F0" w:rsidRDefault="002940F0" w:rsidP="002940F0">
      <w:pPr>
        <w:spacing w:line="360" w:lineRule="auto"/>
        <w:ind w:right="26"/>
        <w:rPr>
          <w:rFonts w:ascii="宋体" w:hAnsi="宋体"/>
          <w:sz w:val="24"/>
        </w:rPr>
      </w:pPr>
      <w:r w:rsidRPr="002940F0">
        <w:rPr>
          <w:rFonts w:ascii="宋体" w:hAnsi="宋体" w:hint="eastAsia"/>
          <w:sz w:val="24"/>
        </w:rPr>
        <w:t>基金管理人：富国基金管理有限公司（盖章）</w:t>
      </w: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r w:rsidRPr="002940F0">
        <w:rPr>
          <w:rFonts w:ascii="宋体" w:hAnsi="宋体" w:hint="eastAsia"/>
          <w:sz w:val="24"/>
        </w:rPr>
        <w:t xml:space="preserve">法定代表人或授权代表：                   </w:t>
      </w: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r w:rsidRPr="002940F0">
        <w:rPr>
          <w:rFonts w:ascii="宋体" w:hAnsi="宋体" w:hint="eastAsia"/>
          <w:sz w:val="24"/>
        </w:rPr>
        <w:t>基金托管人：中国建设银行股份有限公司（盖章）</w:t>
      </w: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p>
    <w:p w:rsidR="002940F0" w:rsidRPr="002940F0" w:rsidRDefault="002940F0" w:rsidP="002940F0">
      <w:pPr>
        <w:spacing w:line="360" w:lineRule="auto"/>
        <w:ind w:right="26"/>
        <w:rPr>
          <w:rFonts w:ascii="宋体" w:hAnsi="宋体"/>
          <w:sz w:val="24"/>
        </w:rPr>
      </w:pPr>
      <w:r w:rsidRPr="002940F0">
        <w:rPr>
          <w:rFonts w:ascii="宋体" w:hAnsi="宋体" w:hint="eastAsia"/>
          <w:sz w:val="24"/>
        </w:rPr>
        <w:t xml:space="preserve">法定代表人或授权代表：                   </w:t>
      </w:r>
    </w:p>
    <w:p w:rsidR="002940F0" w:rsidRPr="002940F0" w:rsidRDefault="002940F0" w:rsidP="002940F0">
      <w:pPr>
        <w:spacing w:line="360" w:lineRule="auto"/>
        <w:ind w:right="26"/>
        <w:rPr>
          <w:rFonts w:ascii="宋体" w:hAnsi="宋体"/>
          <w:b/>
          <w:sz w:val="24"/>
          <w:szCs w:val="28"/>
        </w:rPr>
      </w:pPr>
    </w:p>
    <w:p w:rsidR="002940F0" w:rsidRPr="002940F0" w:rsidRDefault="002940F0" w:rsidP="002940F0">
      <w:pPr>
        <w:spacing w:line="360" w:lineRule="auto"/>
        <w:ind w:right="26"/>
        <w:rPr>
          <w:rFonts w:ascii="宋体" w:hAnsi="宋体"/>
          <w:b/>
          <w:sz w:val="24"/>
          <w:szCs w:val="28"/>
        </w:rPr>
      </w:pPr>
    </w:p>
    <w:p w:rsidR="002940F0" w:rsidRPr="002940F0" w:rsidRDefault="002940F0" w:rsidP="002940F0">
      <w:pPr>
        <w:spacing w:line="360" w:lineRule="auto"/>
        <w:ind w:right="26"/>
        <w:rPr>
          <w:rFonts w:ascii="宋体" w:hAnsi="宋体"/>
          <w:b/>
          <w:sz w:val="24"/>
          <w:szCs w:val="28"/>
        </w:rPr>
      </w:pPr>
    </w:p>
    <w:p w:rsidR="002940F0" w:rsidRPr="002940F0" w:rsidRDefault="002940F0" w:rsidP="002940F0">
      <w:pPr>
        <w:spacing w:line="360" w:lineRule="auto"/>
        <w:ind w:right="26"/>
        <w:rPr>
          <w:rFonts w:ascii="宋体" w:hAnsi="宋体"/>
          <w:b/>
          <w:sz w:val="24"/>
          <w:szCs w:val="28"/>
        </w:rPr>
      </w:pPr>
    </w:p>
    <w:p w:rsidR="002940F0" w:rsidRPr="002940F0" w:rsidRDefault="002940F0" w:rsidP="002940F0">
      <w:pPr>
        <w:spacing w:line="360" w:lineRule="auto"/>
        <w:ind w:right="26"/>
        <w:rPr>
          <w:rFonts w:ascii="宋体" w:hAnsi="宋体"/>
          <w:b/>
          <w:sz w:val="24"/>
          <w:szCs w:val="28"/>
        </w:rPr>
      </w:pPr>
    </w:p>
    <w:p w:rsidR="002940F0" w:rsidRPr="002940F0" w:rsidRDefault="002940F0" w:rsidP="002940F0">
      <w:pPr>
        <w:spacing w:line="360" w:lineRule="auto"/>
        <w:ind w:right="26"/>
        <w:rPr>
          <w:rFonts w:ascii="宋体" w:hAnsi="宋体"/>
          <w:b/>
          <w:sz w:val="24"/>
          <w:szCs w:val="28"/>
        </w:rPr>
      </w:pPr>
      <w:r w:rsidRPr="002940F0">
        <w:rPr>
          <w:rFonts w:ascii="宋体" w:hAnsi="宋体" w:hint="eastAsia"/>
          <w:b/>
          <w:sz w:val="24"/>
          <w:szCs w:val="28"/>
        </w:rPr>
        <w:t>签订地点：北京</w:t>
      </w:r>
    </w:p>
    <w:p w:rsidR="002940F0" w:rsidRPr="002940F0" w:rsidRDefault="002940F0" w:rsidP="002940F0">
      <w:pPr>
        <w:spacing w:line="360" w:lineRule="auto"/>
        <w:ind w:right="26"/>
        <w:rPr>
          <w:rFonts w:ascii="宋体" w:hAnsi="宋体"/>
          <w:b/>
          <w:sz w:val="24"/>
          <w:szCs w:val="28"/>
        </w:rPr>
      </w:pPr>
      <w:r w:rsidRPr="002940F0">
        <w:rPr>
          <w:rFonts w:ascii="宋体" w:hAnsi="宋体" w:hint="eastAsia"/>
          <w:b/>
          <w:sz w:val="24"/>
          <w:szCs w:val="28"/>
        </w:rPr>
        <w:t>签 订 日：</w:t>
      </w:r>
      <w:r w:rsidR="00615CCD">
        <w:rPr>
          <w:rFonts w:ascii="宋体" w:hAnsi="宋体" w:hint="eastAsia"/>
          <w:b/>
          <w:sz w:val="24"/>
          <w:szCs w:val="28"/>
        </w:rPr>
        <w:t xml:space="preserve">    </w:t>
      </w:r>
      <w:r w:rsidRPr="002940F0">
        <w:rPr>
          <w:rFonts w:ascii="宋体" w:hAnsi="宋体" w:hint="eastAsia"/>
          <w:b/>
          <w:sz w:val="24"/>
          <w:szCs w:val="28"/>
        </w:rPr>
        <w:t>年  月  日</w:t>
      </w:r>
    </w:p>
    <w:sectPr w:rsidR="002940F0" w:rsidRPr="002940F0" w:rsidSect="00A461C3">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68" w:rsidRDefault="00256868" w:rsidP="002940F0">
      <w:r>
        <w:separator/>
      </w:r>
    </w:p>
  </w:endnote>
  <w:endnote w:type="continuationSeparator" w:id="0">
    <w:p w:rsidR="00256868" w:rsidRDefault="00256868" w:rsidP="0029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仿宋简体">
    <w:altName w:val="仿宋"/>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3F" w:rsidRDefault="00D03F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03F3F" w:rsidRDefault="00D03F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3F" w:rsidRDefault="00D03F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01994">
      <w:rPr>
        <w:rStyle w:val="a8"/>
        <w:noProof/>
      </w:rPr>
      <w:t>38</w:t>
    </w:r>
    <w:r>
      <w:rPr>
        <w:rStyle w:val="a8"/>
      </w:rPr>
      <w:fldChar w:fldCharType="end"/>
    </w:r>
  </w:p>
  <w:p w:rsidR="00D03F3F" w:rsidRDefault="00D03F3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3F" w:rsidRDefault="00D03F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68" w:rsidRDefault="00256868" w:rsidP="002940F0">
      <w:r>
        <w:separator/>
      </w:r>
    </w:p>
  </w:footnote>
  <w:footnote w:type="continuationSeparator" w:id="0">
    <w:p w:rsidR="00256868" w:rsidRDefault="00256868" w:rsidP="00294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3F" w:rsidRDefault="00D03F3F">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3F" w:rsidRDefault="00D03F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FB415B"/>
    <w:multiLevelType w:val="hybridMultilevel"/>
    <w:tmpl w:val="71B25C44"/>
    <w:lvl w:ilvl="0" w:tplc="4128130E">
      <w:start w:val="1"/>
      <w:numFmt w:val="japaneseCounting"/>
      <w:pStyle w:val="a"/>
      <w:lvlText w:val="（%1）"/>
      <w:lvlJc w:val="left"/>
      <w:pPr>
        <w:tabs>
          <w:tab w:val="num" w:pos="1200"/>
        </w:tabs>
        <w:ind w:left="1200" w:hanging="7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1F"/>
    <w:rsid w:val="00055B2D"/>
    <w:rsid w:val="00101934"/>
    <w:rsid w:val="00124ADB"/>
    <w:rsid w:val="00150809"/>
    <w:rsid w:val="002260D6"/>
    <w:rsid w:val="00256868"/>
    <w:rsid w:val="002940F0"/>
    <w:rsid w:val="002A346D"/>
    <w:rsid w:val="002B4733"/>
    <w:rsid w:val="00317F3D"/>
    <w:rsid w:val="00364E3A"/>
    <w:rsid w:val="003E37DB"/>
    <w:rsid w:val="00421315"/>
    <w:rsid w:val="005854C9"/>
    <w:rsid w:val="00603791"/>
    <w:rsid w:val="00615CCD"/>
    <w:rsid w:val="00717260"/>
    <w:rsid w:val="0073342A"/>
    <w:rsid w:val="007E3852"/>
    <w:rsid w:val="008D4457"/>
    <w:rsid w:val="008F7A84"/>
    <w:rsid w:val="009C055D"/>
    <w:rsid w:val="009F1B53"/>
    <w:rsid w:val="00A461C3"/>
    <w:rsid w:val="00A5352A"/>
    <w:rsid w:val="00B22B1F"/>
    <w:rsid w:val="00B80C12"/>
    <w:rsid w:val="00BE221B"/>
    <w:rsid w:val="00BF78D3"/>
    <w:rsid w:val="00C52BCC"/>
    <w:rsid w:val="00C65F7B"/>
    <w:rsid w:val="00CC401F"/>
    <w:rsid w:val="00CD1934"/>
    <w:rsid w:val="00CD66D3"/>
    <w:rsid w:val="00D01994"/>
    <w:rsid w:val="00D03F3F"/>
    <w:rsid w:val="00E00376"/>
    <w:rsid w:val="00E15497"/>
    <w:rsid w:val="00E2311C"/>
    <w:rsid w:val="00E334D5"/>
    <w:rsid w:val="00E81B53"/>
    <w:rsid w:val="00EB2B09"/>
    <w:rsid w:val="00ED3630"/>
    <w:rsid w:val="00EF0C71"/>
    <w:rsid w:val="00F35275"/>
    <w:rsid w:val="00F4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40F0"/>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2260D6"/>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2260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2260D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2260D6"/>
    <w:rPr>
      <w:rFonts w:ascii="Times New Roman" w:eastAsia="宋体" w:hAnsi="Times New Roman"/>
      <w:b/>
      <w:bCs/>
      <w:kern w:val="44"/>
      <w:sz w:val="44"/>
      <w:szCs w:val="44"/>
    </w:rPr>
  </w:style>
  <w:style w:type="character" w:customStyle="1" w:styleId="2Char">
    <w:name w:val="标题 2 Char"/>
    <w:basedOn w:val="a1"/>
    <w:link w:val="2"/>
    <w:rsid w:val="002260D6"/>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2260D6"/>
    <w:rPr>
      <w:rFonts w:ascii="Times New Roman" w:eastAsia="宋体" w:hAnsi="Times New Roman"/>
      <w:b/>
      <w:bCs/>
      <w:sz w:val="32"/>
      <w:szCs w:val="32"/>
    </w:rPr>
  </w:style>
  <w:style w:type="paragraph" w:styleId="a">
    <w:name w:val="Title"/>
    <w:basedOn w:val="a4"/>
    <w:next w:val="a4"/>
    <w:link w:val="Char"/>
    <w:qFormat/>
    <w:rsid w:val="008F7A84"/>
    <w:pPr>
      <w:numPr>
        <w:numId w:val="1"/>
      </w:numPr>
      <w:tabs>
        <w:tab w:val="left" w:pos="-540"/>
      </w:tabs>
      <w:snapToGrid w:val="0"/>
      <w:spacing w:before="240" w:after="60" w:line="360" w:lineRule="auto"/>
      <w:jc w:val="center"/>
      <w:outlineLvl w:val="0"/>
    </w:pPr>
    <w:rPr>
      <w:b/>
      <w:bCs/>
      <w:sz w:val="36"/>
      <w:szCs w:val="20"/>
    </w:rPr>
  </w:style>
  <w:style w:type="character" w:customStyle="1" w:styleId="Char">
    <w:name w:val="标题 Char"/>
    <w:basedOn w:val="a1"/>
    <w:link w:val="a"/>
    <w:rsid w:val="008F7A84"/>
    <w:rPr>
      <w:rFonts w:ascii="Times New Roman" w:eastAsia="宋体" w:hAnsi="Times New Roman" w:cs="Times New Roman"/>
      <w:b/>
      <w:bCs/>
      <w:sz w:val="36"/>
      <w:szCs w:val="20"/>
    </w:rPr>
  </w:style>
  <w:style w:type="paragraph" w:styleId="a4">
    <w:name w:val="Body Text"/>
    <w:basedOn w:val="a0"/>
    <w:link w:val="Char0"/>
    <w:unhideWhenUsed/>
    <w:rsid w:val="008F7A84"/>
    <w:pPr>
      <w:spacing w:after="120"/>
    </w:pPr>
  </w:style>
  <w:style w:type="character" w:customStyle="1" w:styleId="Char0">
    <w:name w:val="正文文本 Char"/>
    <w:basedOn w:val="a1"/>
    <w:link w:val="a4"/>
    <w:rsid w:val="008F7A84"/>
    <w:rPr>
      <w:rFonts w:ascii="Times New Roman" w:eastAsia="宋体" w:hAnsi="Times New Roman"/>
      <w:szCs w:val="24"/>
    </w:rPr>
  </w:style>
  <w:style w:type="paragraph" w:styleId="a5">
    <w:name w:val="List Paragraph"/>
    <w:basedOn w:val="a0"/>
    <w:uiPriority w:val="34"/>
    <w:qFormat/>
    <w:rsid w:val="008F7A84"/>
    <w:pPr>
      <w:ind w:firstLineChars="200" w:firstLine="420"/>
    </w:pPr>
    <w:rPr>
      <w:rFonts w:asciiTheme="minorHAnsi" w:eastAsiaTheme="minorEastAsia" w:hAnsiTheme="minorHAnsi"/>
      <w:szCs w:val="22"/>
    </w:rPr>
  </w:style>
  <w:style w:type="paragraph" w:styleId="a6">
    <w:name w:val="header"/>
    <w:basedOn w:val="a0"/>
    <w:link w:val="Char1"/>
    <w:unhideWhenUsed/>
    <w:rsid w:val="002940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2940F0"/>
    <w:rPr>
      <w:rFonts w:ascii="Times New Roman" w:eastAsia="宋体" w:hAnsi="Times New Roman"/>
      <w:sz w:val="18"/>
      <w:szCs w:val="18"/>
    </w:rPr>
  </w:style>
  <w:style w:type="paragraph" w:styleId="a7">
    <w:name w:val="footer"/>
    <w:basedOn w:val="a0"/>
    <w:link w:val="Char2"/>
    <w:unhideWhenUsed/>
    <w:rsid w:val="002940F0"/>
    <w:pPr>
      <w:tabs>
        <w:tab w:val="center" w:pos="4153"/>
        <w:tab w:val="right" w:pos="8306"/>
      </w:tabs>
      <w:snapToGrid w:val="0"/>
      <w:jc w:val="left"/>
    </w:pPr>
    <w:rPr>
      <w:sz w:val="18"/>
      <w:szCs w:val="18"/>
    </w:rPr>
  </w:style>
  <w:style w:type="character" w:customStyle="1" w:styleId="Char2">
    <w:name w:val="页脚 Char"/>
    <w:basedOn w:val="a1"/>
    <w:link w:val="a7"/>
    <w:uiPriority w:val="99"/>
    <w:rsid w:val="002940F0"/>
    <w:rPr>
      <w:rFonts w:ascii="Times New Roman" w:eastAsia="宋体" w:hAnsi="Times New Roman"/>
      <w:sz w:val="18"/>
      <w:szCs w:val="18"/>
    </w:rPr>
  </w:style>
  <w:style w:type="character" w:styleId="a8">
    <w:name w:val="page number"/>
    <w:basedOn w:val="a1"/>
    <w:rsid w:val="002940F0"/>
  </w:style>
  <w:style w:type="paragraph" w:styleId="a9">
    <w:name w:val="Normal (Web)"/>
    <w:basedOn w:val="a0"/>
    <w:rsid w:val="002940F0"/>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2940F0"/>
    <w:rPr>
      <w:b/>
      <w:bCs/>
    </w:rPr>
  </w:style>
  <w:style w:type="character" w:styleId="ab">
    <w:name w:val="Hyperlink"/>
    <w:basedOn w:val="a1"/>
    <w:rsid w:val="002940F0"/>
    <w:rPr>
      <w:color w:val="0000FF"/>
      <w:u w:val="single"/>
    </w:rPr>
  </w:style>
  <w:style w:type="paragraph" w:customStyle="1" w:styleId="wz1">
    <w:name w:val="wz1"/>
    <w:basedOn w:val="a0"/>
    <w:rsid w:val="002940F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2940F0"/>
  </w:style>
  <w:style w:type="paragraph" w:styleId="ac">
    <w:name w:val="Normal Indent"/>
    <w:basedOn w:val="a0"/>
    <w:rsid w:val="002940F0"/>
    <w:pPr>
      <w:ind w:firstLineChars="200" w:firstLine="420"/>
    </w:pPr>
  </w:style>
  <w:style w:type="paragraph" w:styleId="ad">
    <w:name w:val="Body Text Indent"/>
    <w:basedOn w:val="a0"/>
    <w:link w:val="Char3"/>
    <w:rsid w:val="002940F0"/>
    <w:pPr>
      <w:adjustRightInd w:val="0"/>
      <w:snapToGrid w:val="0"/>
      <w:spacing w:line="560" w:lineRule="exact"/>
      <w:ind w:firstLineChars="200" w:firstLine="480"/>
    </w:pPr>
    <w:rPr>
      <w:rFonts w:eastAsia="方正仿宋简体"/>
      <w:sz w:val="24"/>
      <w:szCs w:val="30"/>
    </w:rPr>
  </w:style>
  <w:style w:type="character" w:customStyle="1" w:styleId="Char3">
    <w:name w:val="正文文本缩进 Char"/>
    <w:basedOn w:val="a1"/>
    <w:link w:val="ad"/>
    <w:rsid w:val="002940F0"/>
    <w:rPr>
      <w:rFonts w:ascii="Times New Roman" w:eastAsia="方正仿宋简体" w:hAnsi="Times New Roman" w:cs="Times New Roman"/>
      <w:sz w:val="24"/>
      <w:szCs w:val="30"/>
    </w:rPr>
  </w:style>
  <w:style w:type="paragraph" w:styleId="20">
    <w:name w:val="Body Text Indent 2"/>
    <w:basedOn w:val="a0"/>
    <w:link w:val="2Char0"/>
    <w:rsid w:val="002940F0"/>
    <w:pPr>
      <w:spacing w:line="360" w:lineRule="auto"/>
      <w:ind w:firstLine="525"/>
    </w:pPr>
    <w:rPr>
      <w:rFonts w:ascii="宋体" w:hAnsi="宋体"/>
      <w:sz w:val="28"/>
      <w:szCs w:val="20"/>
    </w:rPr>
  </w:style>
  <w:style w:type="character" w:customStyle="1" w:styleId="2Char0">
    <w:name w:val="正文文本缩进 2 Char"/>
    <w:basedOn w:val="a1"/>
    <w:link w:val="20"/>
    <w:rsid w:val="002940F0"/>
    <w:rPr>
      <w:rFonts w:ascii="宋体" w:eastAsia="宋体" w:hAnsi="宋体" w:cs="Times New Roman"/>
      <w:sz w:val="28"/>
      <w:szCs w:val="20"/>
    </w:rPr>
  </w:style>
  <w:style w:type="paragraph" w:styleId="30">
    <w:name w:val="Body Text Indent 3"/>
    <w:basedOn w:val="a0"/>
    <w:link w:val="3Char0"/>
    <w:rsid w:val="002940F0"/>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2940F0"/>
    <w:rPr>
      <w:rFonts w:ascii="仿宋_GB2312" w:eastAsia="仿宋_GB2312" w:hAnsi="宋体" w:cs="Arial"/>
      <w:color w:val="000000"/>
      <w:sz w:val="24"/>
      <w:szCs w:val="24"/>
    </w:rPr>
  </w:style>
  <w:style w:type="paragraph" w:styleId="10">
    <w:name w:val="toc 1"/>
    <w:basedOn w:val="a0"/>
    <w:next w:val="a0"/>
    <w:autoRedefine/>
    <w:semiHidden/>
    <w:rsid w:val="002940F0"/>
  </w:style>
  <w:style w:type="paragraph" w:styleId="21">
    <w:name w:val="toc 2"/>
    <w:basedOn w:val="a0"/>
    <w:next w:val="a0"/>
    <w:autoRedefine/>
    <w:semiHidden/>
    <w:rsid w:val="002940F0"/>
    <w:pPr>
      <w:ind w:leftChars="200" w:left="420"/>
    </w:pPr>
  </w:style>
  <w:style w:type="paragraph" w:styleId="31">
    <w:name w:val="toc 3"/>
    <w:basedOn w:val="a0"/>
    <w:next w:val="a0"/>
    <w:autoRedefine/>
    <w:semiHidden/>
    <w:rsid w:val="002940F0"/>
    <w:pPr>
      <w:ind w:leftChars="400" w:left="840"/>
    </w:pPr>
  </w:style>
  <w:style w:type="paragraph" w:styleId="4">
    <w:name w:val="toc 4"/>
    <w:basedOn w:val="a0"/>
    <w:next w:val="a0"/>
    <w:autoRedefine/>
    <w:semiHidden/>
    <w:rsid w:val="002940F0"/>
    <w:pPr>
      <w:ind w:leftChars="600" w:left="1260"/>
    </w:pPr>
  </w:style>
  <w:style w:type="paragraph" w:styleId="5">
    <w:name w:val="toc 5"/>
    <w:basedOn w:val="a0"/>
    <w:next w:val="a0"/>
    <w:autoRedefine/>
    <w:semiHidden/>
    <w:rsid w:val="002940F0"/>
    <w:pPr>
      <w:ind w:leftChars="800" w:left="1680"/>
    </w:pPr>
  </w:style>
  <w:style w:type="paragraph" w:styleId="6">
    <w:name w:val="toc 6"/>
    <w:basedOn w:val="a0"/>
    <w:next w:val="a0"/>
    <w:autoRedefine/>
    <w:semiHidden/>
    <w:rsid w:val="002940F0"/>
    <w:pPr>
      <w:ind w:leftChars="1000" w:left="2100"/>
    </w:pPr>
  </w:style>
  <w:style w:type="paragraph" w:styleId="7">
    <w:name w:val="toc 7"/>
    <w:basedOn w:val="a0"/>
    <w:next w:val="a0"/>
    <w:autoRedefine/>
    <w:semiHidden/>
    <w:rsid w:val="002940F0"/>
    <w:pPr>
      <w:ind w:leftChars="1200" w:left="2520"/>
    </w:pPr>
  </w:style>
  <w:style w:type="paragraph" w:styleId="8">
    <w:name w:val="toc 8"/>
    <w:basedOn w:val="a0"/>
    <w:next w:val="a0"/>
    <w:autoRedefine/>
    <w:semiHidden/>
    <w:rsid w:val="002940F0"/>
    <w:pPr>
      <w:ind w:leftChars="1400" w:left="2940"/>
    </w:pPr>
  </w:style>
  <w:style w:type="paragraph" w:styleId="9">
    <w:name w:val="toc 9"/>
    <w:basedOn w:val="a0"/>
    <w:next w:val="a0"/>
    <w:autoRedefine/>
    <w:semiHidden/>
    <w:rsid w:val="002940F0"/>
    <w:pPr>
      <w:ind w:leftChars="1600" w:left="3360"/>
    </w:pPr>
  </w:style>
  <w:style w:type="paragraph" w:styleId="ae">
    <w:name w:val="Balloon Text"/>
    <w:basedOn w:val="a0"/>
    <w:link w:val="Char4"/>
    <w:semiHidden/>
    <w:rsid w:val="002940F0"/>
    <w:rPr>
      <w:sz w:val="18"/>
      <w:szCs w:val="18"/>
    </w:rPr>
  </w:style>
  <w:style w:type="character" w:customStyle="1" w:styleId="Char4">
    <w:name w:val="批注框文本 Char"/>
    <w:basedOn w:val="a1"/>
    <w:link w:val="ae"/>
    <w:semiHidden/>
    <w:rsid w:val="002940F0"/>
    <w:rPr>
      <w:rFonts w:ascii="Times New Roman" w:eastAsia="宋体" w:hAnsi="Times New Roman" w:cs="Times New Roman"/>
      <w:sz w:val="18"/>
      <w:szCs w:val="18"/>
    </w:rPr>
  </w:style>
  <w:style w:type="paragraph" w:customStyle="1" w:styleId="Char5">
    <w:name w:val="Char"/>
    <w:basedOn w:val="a0"/>
    <w:rsid w:val="002940F0"/>
  </w:style>
  <w:style w:type="paragraph" w:customStyle="1" w:styleId="Char10">
    <w:name w:val="Char1"/>
    <w:basedOn w:val="a0"/>
    <w:autoRedefine/>
    <w:rsid w:val="002940F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0"/>
    <w:rsid w:val="002940F0"/>
  </w:style>
  <w:style w:type="character" w:styleId="af">
    <w:name w:val="annotation reference"/>
    <w:basedOn w:val="a1"/>
    <w:rsid w:val="002940F0"/>
    <w:rPr>
      <w:sz w:val="21"/>
      <w:szCs w:val="21"/>
    </w:rPr>
  </w:style>
  <w:style w:type="paragraph" w:styleId="af0">
    <w:name w:val="annotation text"/>
    <w:basedOn w:val="a0"/>
    <w:link w:val="Char6"/>
    <w:rsid w:val="002940F0"/>
    <w:pPr>
      <w:jc w:val="left"/>
    </w:pPr>
  </w:style>
  <w:style w:type="character" w:customStyle="1" w:styleId="Char6">
    <w:name w:val="批注文字 Char"/>
    <w:basedOn w:val="a1"/>
    <w:link w:val="af0"/>
    <w:rsid w:val="002940F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0"/>
    <w:rsid w:val="002940F0"/>
  </w:style>
  <w:style w:type="paragraph" w:customStyle="1" w:styleId="CharChar">
    <w:name w:val="Char Char"/>
    <w:basedOn w:val="a0"/>
    <w:rsid w:val="002940F0"/>
    <w:rPr>
      <w:szCs w:val="20"/>
    </w:rPr>
  </w:style>
  <w:style w:type="paragraph" w:styleId="HTML">
    <w:name w:val="HTML Preformatted"/>
    <w:basedOn w:val="a0"/>
    <w:link w:val="HTMLChar"/>
    <w:uiPriority w:val="99"/>
    <w:unhideWhenUsed/>
    <w:rsid w:val="002940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940F0"/>
    <w:rPr>
      <w:rFonts w:ascii="宋体" w:eastAsia="宋体" w:hAnsi="宋体" w:cs="宋体"/>
      <w:kern w:val="0"/>
      <w:sz w:val="24"/>
      <w:szCs w:val="24"/>
    </w:rPr>
  </w:style>
  <w:style w:type="paragraph" w:styleId="af1">
    <w:name w:val="annotation subject"/>
    <w:basedOn w:val="af0"/>
    <w:next w:val="af0"/>
    <w:link w:val="Char7"/>
    <w:rsid w:val="002940F0"/>
    <w:rPr>
      <w:b/>
      <w:bCs/>
    </w:rPr>
  </w:style>
  <w:style w:type="character" w:customStyle="1" w:styleId="Char7">
    <w:name w:val="批注主题 Char"/>
    <w:basedOn w:val="Char6"/>
    <w:link w:val="af1"/>
    <w:rsid w:val="002940F0"/>
    <w:rPr>
      <w:rFonts w:ascii="Times New Roman" w:eastAsia="宋体" w:hAnsi="Times New Roman" w:cs="Times New Roman"/>
      <w:b/>
      <w:bCs/>
      <w:szCs w:val="24"/>
    </w:rPr>
  </w:style>
  <w:style w:type="character" w:styleId="af2">
    <w:name w:val="FollowedHyperlink"/>
    <w:basedOn w:val="a1"/>
    <w:uiPriority w:val="99"/>
    <w:semiHidden/>
    <w:unhideWhenUsed/>
    <w:rsid w:val="002940F0"/>
    <w:rPr>
      <w:color w:val="800080"/>
      <w:u w:val="single"/>
    </w:rPr>
  </w:style>
  <w:style w:type="paragraph" w:styleId="af3">
    <w:name w:val="Revision"/>
    <w:hidden/>
    <w:uiPriority w:val="99"/>
    <w:semiHidden/>
    <w:rsid w:val="002940F0"/>
    <w:rPr>
      <w:rFonts w:ascii="Times New Roman" w:eastAsia="宋体" w:hAnsi="Times New Roman" w:cs="Times New Roman"/>
      <w:szCs w:val="24"/>
    </w:rPr>
  </w:style>
  <w:style w:type="paragraph" w:customStyle="1" w:styleId="CharChar0">
    <w:name w:val="Char Char"/>
    <w:basedOn w:val="a0"/>
    <w:rsid w:val="00F35275"/>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40F0"/>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2260D6"/>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2260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2260D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2260D6"/>
    <w:rPr>
      <w:rFonts w:ascii="Times New Roman" w:eastAsia="宋体" w:hAnsi="Times New Roman"/>
      <w:b/>
      <w:bCs/>
      <w:kern w:val="44"/>
      <w:sz w:val="44"/>
      <w:szCs w:val="44"/>
    </w:rPr>
  </w:style>
  <w:style w:type="character" w:customStyle="1" w:styleId="2Char">
    <w:name w:val="标题 2 Char"/>
    <w:basedOn w:val="a1"/>
    <w:link w:val="2"/>
    <w:rsid w:val="002260D6"/>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2260D6"/>
    <w:rPr>
      <w:rFonts w:ascii="Times New Roman" w:eastAsia="宋体" w:hAnsi="Times New Roman"/>
      <w:b/>
      <w:bCs/>
      <w:sz w:val="32"/>
      <w:szCs w:val="32"/>
    </w:rPr>
  </w:style>
  <w:style w:type="paragraph" w:styleId="a">
    <w:name w:val="Title"/>
    <w:basedOn w:val="a4"/>
    <w:next w:val="a4"/>
    <w:link w:val="Char"/>
    <w:qFormat/>
    <w:rsid w:val="008F7A84"/>
    <w:pPr>
      <w:numPr>
        <w:numId w:val="1"/>
      </w:numPr>
      <w:tabs>
        <w:tab w:val="left" w:pos="-540"/>
      </w:tabs>
      <w:snapToGrid w:val="0"/>
      <w:spacing w:before="240" w:after="60" w:line="360" w:lineRule="auto"/>
      <w:jc w:val="center"/>
      <w:outlineLvl w:val="0"/>
    </w:pPr>
    <w:rPr>
      <w:b/>
      <w:bCs/>
      <w:sz w:val="36"/>
      <w:szCs w:val="20"/>
    </w:rPr>
  </w:style>
  <w:style w:type="character" w:customStyle="1" w:styleId="Char">
    <w:name w:val="标题 Char"/>
    <w:basedOn w:val="a1"/>
    <w:link w:val="a"/>
    <w:rsid w:val="008F7A84"/>
    <w:rPr>
      <w:rFonts w:ascii="Times New Roman" w:eastAsia="宋体" w:hAnsi="Times New Roman" w:cs="Times New Roman"/>
      <w:b/>
      <w:bCs/>
      <w:sz w:val="36"/>
      <w:szCs w:val="20"/>
    </w:rPr>
  </w:style>
  <w:style w:type="paragraph" w:styleId="a4">
    <w:name w:val="Body Text"/>
    <w:basedOn w:val="a0"/>
    <w:link w:val="Char0"/>
    <w:unhideWhenUsed/>
    <w:rsid w:val="008F7A84"/>
    <w:pPr>
      <w:spacing w:after="120"/>
    </w:pPr>
  </w:style>
  <w:style w:type="character" w:customStyle="1" w:styleId="Char0">
    <w:name w:val="正文文本 Char"/>
    <w:basedOn w:val="a1"/>
    <w:link w:val="a4"/>
    <w:rsid w:val="008F7A84"/>
    <w:rPr>
      <w:rFonts w:ascii="Times New Roman" w:eastAsia="宋体" w:hAnsi="Times New Roman"/>
      <w:szCs w:val="24"/>
    </w:rPr>
  </w:style>
  <w:style w:type="paragraph" w:styleId="a5">
    <w:name w:val="List Paragraph"/>
    <w:basedOn w:val="a0"/>
    <w:uiPriority w:val="34"/>
    <w:qFormat/>
    <w:rsid w:val="008F7A84"/>
    <w:pPr>
      <w:ind w:firstLineChars="200" w:firstLine="420"/>
    </w:pPr>
    <w:rPr>
      <w:rFonts w:asciiTheme="minorHAnsi" w:eastAsiaTheme="minorEastAsia" w:hAnsiTheme="minorHAnsi"/>
      <w:szCs w:val="22"/>
    </w:rPr>
  </w:style>
  <w:style w:type="paragraph" w:styleId="a6">
    <w:name w:val="header"/>
    <w:basedOn w:val="a0"/>
    <w:link w:val="Char1"/>
    <w:unhideWhenUsed/>
    <w:rsid w:val="002940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2940F0"/>
    <w:rPr>
      <w:rFonts w:ascii="Times New Roman" w:eastAsia="宋体" w:hAnsi="Times New Roman"/>
      <w:sz w:val="18"/>
      <w:szCs w:val="18"/>
    </w:rPr>
  </w:style>
  <w:style w:type="paragraph" w:styleId="a7">
    <w:name w:val="footer"/>
    <w:basedOn w:val="a0"/>
    <w:link w:val="Char2"/>
    <w:unhideWhenUsed/>
    <w:rsid w:val="002940F0"/>
    <w:pPr>
      <w:tabs>
        <w:tab w:val="center" w:pos="4153"/>
        <w:tab w:val="right" w:pos="8306"/>
      </w:tabs>
      <w:snapToGrid w:val="0"/>
      <w:jc w:val="left"/>
    </w:pPr>
    <w:rPr>
      <w:sz w:val="18"/>
      <w:szCs w:val="18"/>
    </w:rPr>
  </w:style>
  <w:style w:type="character" w:customStyle="1" w:styleId="Char2">
    <w:name w:val="页脚 Char"/>
    <w:basedOn w:val="a1"/>
    <w:link w:val="a7"/>
    <w:uiPriority w:val="99"/>
    <w:rsid w:val="002940F0"/>
    <w:rPr>
      <w:rFonts w:ascii="Times New Roman" w:eastAsia="宋体" w:hAnsi="Times New Roman"/>
      <w:sz w:val="18"/>
      <w:szCs w:val="18"/>
    </w:rPr>
  </w:style>
  <w:style w:type="character" w:styleId="a8">
    <w:name w:val="page number"/>
    <w:basedOn w:val="a1"/>
    <w:rsid w:val="002940F0"/>
  </w:style>
  <w:style w:type="paragraph" w:styleId="a9">
    <w:name w:val="Normal (Web)"/>
    <w:basedOn w:val="a0"/>
    <w:rsid w:val="002940F0"/>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2940F0"/>
    <w:rPr>
      <w:b/>
      <w:bCs/>
    </w:rPr>
  </w:style>
  <w:style w:type="character" w:styleId="ab">
    <w:name w:val="Hyperlink"/>
    <w:basedOn w:val="a1"/>
    <w:rsid w:val="002940F0"/>
    <w:rPr>
      <w:color w:val="0000FF"/>
      <w:u w:val="single"/>
    </w:rPr>
  </w:style>
  <w:style w:type="paragraph" w:customStyle="1" w:styleId="wz1">
    <w:name w:val="wz1"/>
    <w:basedOn w:val="a0"/>
    <w:rsid w:val="002940F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2940F0"/>
  </w:style>
  <w:style w:type="paragraph" w:styleId="ac">
    <w:name w:val="Normal Indent"/>
    <w:basedOn w:val="a0"/>
    <w:rsid w:val="002940F0"/>
    <w:pPr>
      <w:ind w:firstLineChars="200" w:firstLine="420"/>
    </w:pPr>
  </w:style>
  <w:style w:type="paragraph" w:styleId="ad">
    <w:name w:val="Body Text Indent"/>
    <w:basedOn w:val="a0"/>
    <w:link w:val="Char3"/>
    <w:rsid w:val="002940F0"/>
    <w:pPr>
      <w:adjustRightInd w:val="0"/>
      <w:snapToGrid w:val="0"/>
      <w:spacing w:line="560" w:lineRule="exact"/>
      <w:ind w:firstLineChars="200" w:firstLine="480"/>
    </w:pPr>
    <w:rPr>
      <w:rFonts w:eastAsia="方正仿宋简体"/>
      <w:sz w:val="24"/>
      <w:szCs w:val="30"/>
    </w:rPr>
  </w:style>
  <w:style w:type="character" w:customStyle="1" w:styleId="Char3">
    <w:name w:val="正文文本缩进 Char"/>
    <w:basedOn w:val="a1"/>
    <w:link w:val="ad"/>
    <w:rsid w:val="002940F0"/>
    <w:rPr>
      <w:rFonts w:ascii="Times New Roman" w:eastAsia="方正仿宋简体" w:hAnsi="Times New Roman" w:cs="Times New Roman"/>
      <w:sz w:val="24"/>
      <w:szCs w:val="30"/>
    </w:rPr>
  </w:style>
  <w:style w:type="paragraph" w:styleId="20">
    <w:name w:val="Body Text Indent 2"/>
    <w:basedOn w:val="a0"/>
    <w:link w:val="2Char0"/>
    <w:rsid w:val="002940F0"/>
    <w:pPr>
      <w:spacing w:line="360" w:lineRule="auto"/>
      <w:ind w:firstLine="525"/>
    </w:pPr>
    <w:rPr>
      <w:rFonts w:ascii="宋体" w:hAnsi="宋体"/>
      <w:sz w:val="28"/>
      <w:szCs w:val="20"/>
    </w:rPr>
  </w:style>
  <w:style w:type="character" w:customStyle="1" w:styleId="2Char0">
    <w:name w:val="正文文本缩进 2 Char"/>
    <w:basedOn w:val="a1"/>
    <w:link w:val="20"/>
    <w:rsid w:val="002940F0"/>
    <w:rPr>
      <w:rFonts w:ascii="宋体" w:eastAsia="宋体" w:hAnsi="宋体" w:cs="Times New Roman"/>
      <w:sz w:val="28"/>
      <w:szCs w:val="20"/>
    </w:rPr>
  </w:style>
  <w:style w:type="paragraph" w:styleId="30">
    <w:name w:val="Body Text Indent 3"/>
    <w:basedOn w:val="a0"/>
    <w:link w:val="3Char0"/>
    <w:rsid w:val="002940F0"/>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2940F0"/>
    <w:rPr>
      <w:rFonts w:ascii="仿宋_GB2312" w:eastAsia="仿宋_GB2312" w:hAnsi="宋体" w:cs="Arial"/>
      <w:color w:val="000000"/>
      <w:sz w:val="24"/>
      <w:szCs w:val="24"/>
    </w:rPr>
  </w:style>
  <w:style w:type="paragraph" w:styleId="10">
    <w:name w:val="toc 1"/>
    <w:basedOn w:val="a0"/>
    <w:next w:val="a0"/>
    <w:autoRedefine/>
    <w:semiHidden/>
    <w:rsid w:val="002940F0"/>
  </w:style>
  <w:style w:type="paragraph" w:styleId="21">
    <w:name w:val="toc 2"/>
    <w:basedOn w:val="a0"/>
    <w:next w:val="a0"/>
    <w:autoRedefine/>
    <w:semiHidden/>
    <w:rsid w:val="002940F0"/>
    <w:pPr>
      <w:ind w:leftChars="200" w:left="420"/>
    </w:pPr>
  </w:style>
  <w:style w:type="paragraph" w:styleId="31">
    <w:name w:val="toc 3"/>
    <w:basedOn w:val="a0"/>
    <w:next w:val="a0"/>
    <w:autoRedefine/>
    <w:semiHidden/>
    <w:rsid w:val="002940F0"/>
    <w:pPr>
      <w:ind w:leftChars="400" w:left="840"/>
    </w:pPr>
  </w:style>
  <w:style w:type="paragraph" w:styleId="4">
    <w:name w:val="toc 4"/>
    <w:basedOn w:val="a0"/>
    <w:next w:val="a0"/>
    <w:autoRedefine/>
    <w:semiHidden/>
    <w:rsid w:val="002940F0"/>
    <w:pPr>
      <w:ind w:leftChars="600" w:left="1260"/>
    </w:pPr>
  </w:style>
  <w:style w:type="paragraph" w:styleId="5">
    <w:name w:val="toc 5"/>
    <w:basedOn w:val="a0"/>
    <w:next w:val="a0"/>
    <w:autoRedefine/>
    <w:semiHidden/>
    <w:rsid w:val="002940F0"/>
    <w:pPr>
      <w:ind w:leftChars="800" w:left="1680"/>
    </w:pPr>
  </w:style>
  <w:style w:type="paragraph" w:styleId="6">
    <w:name w:val="toc 6"/>
    <w:basedOn w:val="a0"/>
    <w:next w:val="a0"/>
    <w:autoRedefine/>
    <w:semiHidden/>
    <w:rsid w:val="002940F0"/>
    <w:pPr>
      <w:ind w:leftChars="1000" w:left="2100"/>
    </w:pPr>
  </w:style>
  <w:style w:type="paragraph" w:styleId="7">
    <w:name w:val="toc 7"/>
    <w:basedOn w:val="a0"/>
    <w:next w:val="a0"/>
    <w:autoRedefine/>
    <w:semiHidden/>
    <w:rsid w:val="002940F0"/>
    <w:pPr>
      <w:ind w:leftChars="1200" w:left="2520"/>
    </w:pPr>
  </w:style>
  <w:style w:type="paragraph" w:styleId="8">
    <w:name w:val="toc 8"/>
    <w:basedOn w:val="a0"/>
    <w:next w:val="a0"/>
    <w:autoRedefine/>
    <w:semiHidden/>
    <w:rsid w:val="002940F0"/>
    <w:pPr>
      <w:ind w:leftChars="1400" w:left="2940"/>
    </w:pPr>
  </w:style>
  <w:style w:type="paragraph" w:styleId="9">
    <w:name w:val="toc 9"/>
    <w:basedOn w:val="a0"/>
    <w:next w:val="a0"/>
    <w:autoRedefine/>
    <w:semiHidden/>
    <w:rsid w:val="002940F0"/>
    <w:pPr>
      <w:ind w:leftChars="1600" w:left="3360"/>
    </w:pPr>
  </w:style>
  <w:style w:type="paragraph" w:styleId="ae">
    <w:name w:val="Balloon Text"/>
    <w:basedOn w:val="a0"/>
    <w:link w:val="Char4"/>
    <w:semiHidden/>
    <w:rsid w:val="002940F0"/>
    <w:rPr>
      <w:sz w:val="18"/>
      <w:szCs w:val="18"/>
    </w:rPr>
  </w:style>
  <w:style w:type="character" w:customStyle="1" w:styleId="Char4">
    <w:name w:val="批注框文本 Char"/>
    <w:basedOn w:val="a1"/>
    <w:link w:val="ae"/>
    <w:semiHidden/>
    <w:rsid w:val="002940F0"/>
    <w:rPr>
      <w:rFonts w:ascii="Times New Roman" w:eastAsia="宋体" w:hAnsi="Times New Roman" w:cs="Times New Roman"/>
      <w:sz w:val="18"/>
      <w:szCs w:val="18"/>
    </w:rPr>
  </w:style>
  <w:style w:type="paragraph" w:customStyle="1" w:styleId="Char5">
    <w:name w:val="Char"/>
    <w:basedOn w:val="a0"/>
    <w:rsid w:val="002940F0"/>
  </w:style>
  <w:style w:type="paragraph" w:customStyle="1" w:styleId="Char10">
    <w:name w:val="Char1"/>
    <w:basedOn w:val="a0"/>
    <w:autoRedefine/>
    <w:rsid w:val="002940F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0"/>
    <w:rsid w:val="002940F0"/>
  </w:style>
  <w:style w:type="character" w:styleId="af">
    <w:name w:val="annotation reference"/>
    <w:basedOn w:val="a1"/>
    <w:rsid w:val="002940F0"/>
    <w:rPr>
      <w:sz w:val="21"/>
      <w:szCs w:val="21"/>
    </w:rPr>
  </w:style>
  <w:style w:type="paragraph" w:styleId="af0">
    <w:name w:val="annotation text"/>
    <w:basedOn w:val="a0"/>
    <w:link w:val="Char6"/>
    <w:rsid w:val="002940F0"/>
    <w:pPr>
      <w:jc w:val="left"/>
    </w:pPr>
  </w:style>
  <w:style w:type="character" w:customStyle="1" w:styleId="Char6">
    <w:name w:val="批注文字 Char"/>
    <w:basedOn w:val="a1"/>
    <w:link w:val="af0"/>
    <w:rsid w:val="002940F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0"/>
    <w:rsid w:val="002940F0"/>
  </w:style>
  <w:style w:type="paragraph" w:customStyle="1" w:styleId="CharChar">
    <w:name w:val="Char Char"/>
    <w:basedOn w:val="a0"/>
    <w:rsid w:val="002940F0"/>
    <w:rPr>
      <w:szCs w:val="20"/>
    </w:rPr>
  </w:style>
  <w:style w:type="paragraph" w:styleId="HTML">
    <w:name w:val="HTML Preformatted"/>
    <w:basedOn w:val="a0"/>
    <w:link w:val="HTMLChar"/>
    <w:uiPriority w:val="99"/>
    <w:unhideWhenUsed/>
    <w:rsid w:val="002940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940F0"/>
    <w:rPr>
      <w:rFonts w:ascii="宋体" w:eastAsia="宋体" w:hAnsi="宋体" w:cs="宋体"/>
      <w:kern w:val="0"/>
      <w:sz w:val="24"/>
      <w:szCs w:val="24"/>
    </w:rPr>
  </w:style>
  <w:style w:type="paragraph" w:styleId="af1">
    <w:name w:val="annotation subject"/>
    <w:basedOn w:val="af0"/>
    <w:next w:val="af0"/>
    <w:link w:val="Char7"/>
    <w:rsid w:val="002940F0"/>
    <w:rPr>
      <w:b/>
      <w:bCs/>
    </w:rPr>
  </w:style>
  <w:style w:type="character" w:customStyle="1" w:styleId="Char7">
    <w:name w:val="批注主题 Char"/>
    <w:basedOn w:val="Char6"/>
    <w:link w:val="af1"/>
    <w:rsid w:val="002940F0"/>
    <w:rPr>
      <w:rFonts w:ascii="Times New Roman" w:eastAsia="宋体" w:hAnsi="Times New Roman" w:cs="Times New Roman"/>
      <w:b/>
      <w:bCs/>
      <w:szCs w:val="24"/>
    </w:rPr>
  </w:style>
  <w:style w:type="character" w:styleId="af2">
    <w:name w:val="FollowedHyperlink"/>
    <w:basedOn w:val="a1"/>
    <w:uiPriority w:val="99"/>
    <w:semiHidden/>
    <w:unhideWhenUsed/>
    <w:rsid w:val="002940F0"/>
    <w:rPr>
      <w:color w:val="800080"/>
      <w:u w:val="single"/>
    </w:rPr>
  </w:style>
  <w:style w:type="paragraph" w:styleId="af3">
    <w:name w:val="Revision"/>
    <w:hidden/>
    <w:uiPriority w:val="99"/>
    <w:semiHidden/>
    <w:rsid w:val="002940F0"/>
    <w:rPr>
      <w:rFonts w:ascii="Times New Roman" w:eastAsia="宋体" w:hAnsi="Times New Roman" w:cs="Times New Roman"/>
      <w:szCs w:val="24"/>
    </w:rPr>
  </w:style>
  <w:style w:type="paragraph" w:customStyle="1" w:styleId="CharChar0">
    <w:name w:val="Char Char"/>
    <w:basedOn w:val="a0"/>
    <w:rsid w:val="00F3527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AF86-5428-4BBB-86AF-3D265DB6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4595</Words>
  <Characters>26195</Characters>
  <Application>Microsoft Office Word</Application>
  <DocSecurity>0</DocSecurity>
  <Lines>218</Lines>
  <Paragraphs>61</Paragraphs>
  <ScaleCrop>false</ScaleCrop>
  <Company/>
  <LinksUpToDate>false</LinksUpToDate>
  <CharactersWithSpaces>30729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dc:creator>
  <cp:lastModifiedBy>hab2</cp:lastModifiedBy>
  <cp:revision>10</cp:revision>
  <cp:lastPrinted>2016-10-19T07:18:00Z</cp:lastPrinted>
  <dcterms:created xsi:type="dcterms:W3CDTF">2016-10-09T22:41:00Z</dcterms:created>
  <dcterms:modified xsi:type="dcterms:W3CDTF">2017-04-28T13:22:00Z</dcterms:modified>
</cp:coreProperties>
</file>