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2.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3D9" w:rsidRPr="0067482A" w:rsidRDefault="007A33D9" w:rsidP="007A33D9">
      <w:pPr>
        <w:adjustRightInd w:val="0"/>
        <w:snapToGrid w:val="0"/>
        <w:jc w:val="center"/>
        <w:rPr>
          <w:rFonts w:ascii="宋体" w:hAnsi="宋体"/>
          <w:sz w:val="24"/>
        </w:rPr>
      </w:pPr>
    </w:p>
    <w:p w:rsidR="007A33D9" w:rsidRPr="0067482A" w:rsidRDefault="007A33D9" w:rsidP="007A33D9">
      <w:pPr>
        <w:adjustRightInd w:val="0"/>
        <w:snapToGrid w:val="0"/>
        <w:jc w:val="center"/>
        <w:rPr>
          <w:rFonts w:ascii="宋体" w:hAnsi="宋体"/>
          <w:sz w:val="24"/>
        </w:rPr>
      </w:pPr>
    </w:p>
    <w:p w:rsidR="007A33D9" w:rsidRPr="0067482A" w:rsidRDefault="007A33D9" w:rsidP="007A33D9">
      <w:pPr>
        <w:adjustRightInd w:val="0"/>
        <w:snapToGrid w:val="0"/>
        <w:jc w:val="center"/>
        <w:rPr>
          <w:rFonts w:ascii="宋体" w:hAnsi="宋体"/>
          <w:sz w:val="24"/>
        </w:rPr>
      </w:pPr>
    </w:p>
    <w:p w:rsidR="007A33D9" w:rsidRPr="0067482A" w:rsidRDefault="007A33D9" w:rsidP="007A33D9">
      <w:pPr>
        <w:adjustRightInd w:val="0"/>
        <w:snapToGrid w:val="0"/>
        <w:jc w:val="center"/>
        <w:rPr>
          <w:rFonts w:ascii="宋体" w:hAnsi="宋体"/>
          <w:sz w:val="24"/>
        </w:rPr>
      </w:pPr>
    </w:p>
    <w:p w:rsidR="007A33D9" w:rsidRPr="0067482A" w:rsidRDefault="007A33D9" w:rsidP="007A33D9">
      <w:pPr>
        <w:adjustRightInd w:val="0"/>
        <w:snapToGrid w:val="0"/>
        <w:jc w:val="center"/>
        <w:rPr>
          <w:rFonts w:ascii="宋体" w:hAnsi="宋体"/>
          <w:sz w:val="24"/>
        </w:rPr>
      </w:pPr>
    </w:p>
    <w:p w:rsidR="007A33D9" w:rsidRPr="0067482A" w:rsidRDefault="007A33D9" w:rsidP="007A33D9">
      <w:pPr>
        <w:adjustRightInd w:val="0"/>
        <w:snapToGrid w:val="0"/>
        <w:jc w:val="center"/>
        <w:rPr>
          <w:rFonts w:ascii="宋体" w:hAnsi="宋体"/>
          <w:sz w:val="24"/>
        </w:rPr>
      </w:pPr>
    </w:p>
    <w:p w:rsidR="007A33D9" w:rsidRPr="0067482A" w:rsidRDefault="007A33D9" w:rsidP="007A33D9">
      <w:pPr>
        <w:adjustRightInd w:val="0"/>
        <w:snapToGrid w:val="0"/>
        <w:jc w:val="center"/>
        <w:rPr>
          <w:rFonts w:ascii="宋体" w:hAnsi="宋体"/>
          <w:sz w:val="24"/>
        </w:rPr>
      </w:pPr>
    </w:p>
    <w:p w:rsidR="007A33D9" w:rsidRPr="0067482A" w:rsidRDefault="007A33D9" w:rsidP="007A33D9">
      <w:pPr>
        <w:adjustRightInd w:val="0"/>
        <w:snapToGrid w:val="0"/>
        <w:jc w:val="center"/>
        <w:rPr>
          <w:rFonts w:ascii="宋体" w:hAnsi="宋体"/>
          <w:sz w:val="24"/>
        </w:rPr>
      </w:pPr>
    </w:p>
    <w:p w:rsidR="007A33D9" w:rsidRPr="0067482A" w:rsidRDefault="007A33D9" w:rsidP="007A33D9">
      <w:pPr>
        <w:adjustRightInd w:val="0"/>
        <w:snapToGrid w:val="0"/>
        <w:jc w:val="center"/>
        <w:rPr>
          <w:rFonts w:ascii="宋体" w:hAnsi="宋体"/>
          <w:sz w:val="24"/>
        </w:rPr>
      </w:pPr>
    </w:p>
    <w:p w:rsidR="00C9641E" w:rsidRPr="00214C11" w:rsidRDefault="00B81067" w:rsidP="007A33D9">
      <w:pPr>
        <w:adjustRightInd w:val="0"/>
        <w:snapToGrid w:val="0"/>
        <w:jc w:val="center"/>
        <w:rPr>
          <w:rFonts w:ascii="宋体" w:hAnsi="宋体"/>
          <w:b/>
          <w:sz w:val="44"/>
        </w:rPr>
      </w:pPr>
      <w:r w:rsidRPr="00214C11">
        <w:rPr>
          <w:rFonts w:ascii="宋体" w:hAnsi="宋体" w:cs="Arial" w:hint="eastAsia"/>
          <w:b/>
          <w:sz w:val="44"/>
          <w:szCs w:val="24"/>
        </w:rPr>
        <w:t>博时</w:t>
      </w:r>
      <w:r w:rsidR="009E7BAF" w:rsidRPr="00214C11">
        <w:rPr>
          <w:rFonts w:ascii="宋体" w:hAnsi="宋体" w:cs="Arial" w:hint="eastAsia"/>
          <w:b/>
          <w:sz w:val="44"/>
          <w:szCs w:val="24"/>
        </w:rPr>
        <w:t>睿丰</w:t>
      </w:r>
      <w:r w:rsidR="00DC3C97" w:rsidRPr="00214C11">
        <w:rPr>
          <w:rFonts w:ascii="宋体" w:hAnsi="宋体" w:cs="Arial" w:hint="eastAsia"/>
          <w:b/>
          <w:sz w:val="44"/>
          <w:szCs w:val="24"/>
        </w:rPr>
        <w:t>灵活配置定期开放</w:t>
      </w:r>
      <w:r w:rsidR="009E7BAF" w:rsidRPr="00214C11">
        <w:rPr>
          <w:rFonts w:ascii="宋体" w:hAnsi="宋体" w:cs="Arial" w:hint="eastAsia"/>
          <w:b/>
          <w:sz w:val="44"/>
          <w:szCs w:val="24"/>
        </w:rPr>
        <w:t>混合型</w:t>
      </w:r>
      <w:r w:rsidR="00796CAC" w:rsidRPr="00214C11">
        <w:rPr>
          <w:rFonts w:ascii="宋体" w:hAnsi="宋体" w:hint="eastAsia"/>
          <w:b/>
          <w:sz w:val="44"/>
        </w:rPr>
        <w:t>证券投资基金托管协议</w:t>
      </w:r>
    </w:p>
    <w:p w:rsidR="007A33D9" w:rsidRPr="00214C11" w:rsidRDefault="007A33D9" w:rsidP="007A33D9">
      <w:pPr>
        <w:adjustRightInd w:val="0"/>
        <w:snapToGrid w:val="0"/>
        <w:jc w:val="center"/>
        <w:outlineLvl w:val="0"/>
        <w:rPr>
          <w:rFonts w:ascii="宋体" w:hAnsi="宋体"/>
          <w:sz w:val="24"/>
        </w:rPr>
      </w:pPr>
    </w:p>
    <w:p w:rsidR="007A33D9" w:rsidRPr="00214C11" w:rsidRDefault="007A33D9" w:rsidP="007A33D9">
      <w:pPr>
        <w:adjustRightInd w:val="0"/>
        <w:snapToGrid w:val="0"/>
        <w:jc w:val="center"/>
        <w:outlineLvl w:val="0"/>
        <w:rPr>
          <w:rFonts w:ascii="宋体" w:hAnsi="宋体"/>
          <w:sz w:val="24"/>
        </w:rPr>
      </w:pPr>
    </w:p>
    <w:p w:rsidR="007A33D9" w:rsidRPr="00214C11" w:rsidRDefault="007A33D9" w:rsidP="007A33D9">
      <w:pPr>
        <w:adjustRightInd w:val="0"/>
        <w:snapToGrid w:val="0"/>
        <w:jc w:val="center"/>
        <w:outlineLvl w:val="0"/>
        <w:rPr>
          <w:rFonts w:ascii="宋体" w:hAnsi="宋体"/>
          <w:sz w:val="24"/>
        </w:rPr>
      </w:pPr>
    </w:p>
    <w:p w:rsidR="007A33D9" w:rsidRPr="00214C11" w:rsidRDefault="007A33D9" w:rsidP="007A33D9">
      <w:pPr>
        <w:adjustRightInd w:val="0"/>
        <w:snapToGrid w:val="0"/>
        <w:jc w:val="center"/>
        <w:outlineLvl w:val="0"/>
        <w:rPr>
          <w:rFonts w:ascii="宋体" w:hAnsi="宋体"/>
          <w:sz w:val="24"/>
        </w:rPr>
      </w:pPr>
    </w:p>
    <w:p w:rsidR="007A33D9" w:rsidRPr="00214C11" w:rsidRDefault="007A33D9" w:rsidP="007A33D9">
      <w:pPr>
        <w:adjustRightInd w:val="0"/>
        <w:snapToGrid w:val="0"/>
        <w:jc w:val="center"/>
        <w:outlineLvl w:val="0"/>
        <w:rPr>
          <w:rFonts w:ascii="宋体" w:hAnsi="宋体"/>
          <w:sz w:val="24"/>
        </w:rPr>
      </w:pPr>
    </w:p>
    <w:p w:rsidR="007A33D9" w:rsidRPr="00214C11" w:rsidRDefault="007A33D9" w:rsidP="007A33D9">
      <w:pPr>
        <w:adjustRightInd w:val="0"/>
        <w:snapToGrid w:val="0"/>
        <w:jc w:val="center"/>
        <w:outlineLvl w:val="0"/>
        <w:rPr>
          <w:rFonts w:ascii="宋体" w:hAnsi="宋体"/>
          <w:sz w:val="24"/>
        </w:rPr>
      </w:pPr>
    </w:p>
    <w:p w:rsidR="007A33D9" w:rsidRPr="00214C11" w:rsidRDefault="007A33D9" w:rsidP="007A33D9">
      <w:pPr>
        <w:adjustRightInd w:val="0"/>
        <w:snapToGrid w:val="0"/>
        <w:jc w:val="center"/>
        <w:outlineLvl w:val="0"/>
        <w:rPr>
          <w:rFonts w:ascii="宋体" w:hAnsi="宋体"/>
          <w:sz w:val="24"/>
        </w:rPr>
      </w:pPr>
    </w:p>
    <w:p w:rsidR="007A33D9" w:rsidRPr="00214C11" w:rsidRDefault="007A33D9" w:rsidP="007A33D9">
      <w:pPr>
        <w:adjustRightInd w:val="0"/>
        <w:snapToGrid w:val="0"/>
        <w:jc w:val="center"/>
        <w:outlineLvl w:val="0"/>
        <w:rPr>
          <w:rFonts w:ascii="宋体" w:hAnsi="宋体"/>
          <w:sz w:val="24"/>
        </w:rPr>
      </w:pPr>
    </w:p>
    <w:p w:rsidR="00727D18" w:rsidRPr="00214C11" w:rsidRDefault="00727D18" w:rsidP="007A33D9">
      <w:pPr>
        <w:adjustRightInd w:val="0"/>
        <w:snapToGrid w:val="0"/>
        <w:jc w:val="center"/>
        <w:outlineLvl w:val="0"/>
        <w:rPr>
          <w:rFonts w:ascii="宋体" w:hAnsi="宋体"/>
          <w:sz w:val="24"/>
        </w:rPr>
      </w:pPr>
    </w:p>
    <w:p w:rsidR="00727D18" w:rsidRPr="00214C11" w:rsidRDefault="00727D18" w:rsidP="007A33D9">
      <w:pPr>
        <w:adjustRightInd w:val="0"/>
        <w:snapToGrid w:val="0"/>
        <w:jc w:val="center"/>
        <w:outlineLvl w:val="0"/>
        <w:rPr>
          <w:rFonts w:ascii="宋体" w:hAnsi="宋体"/>
          <w:sz w:val="24"/>
        </w:rPr>
      </w:pPr>
    </w:p>
    <w:p w:rsidR="00727D18" w:rsidRPr="00214C11" w:rsidRDefault="00727D18" w:rsidP="007A33D9">
      <w:pPr>
        <w:adjustRightInd w:val="0"/>
        <w:snapToGrid w:val="0"/>
        <w:jc w:val="center"/>
        <w:outlineLvl w:val="0"/>
        <w:rPr>
          <w:rFonts w:ascii="宋体" w:hAnsi="宋体"/>
          <w:sz w:val="24"/>
        </w:rPr>
      </w:pPr>
    </w:p>
    <w:p w:rsidR="00727D18" w:rsidRPr="00214C11" w:rsidRDefault="00727D18" w:rsidP="007A33D9">
      <w:pPr>
        <w:adjustRightInd w:val="0"/>
        <w:snapToGrid w:val="0"/>
        <w:jc w:val="center"/>
        <w:outlineLvl w:val="0"/>
        <w:rPr>
          <w:rFonts w:ascii="宋体" w:hAnsi="宋体"/>
          <w:sz w:val="24"/>
        </w:rPr>
      </w:pPr>
    </w:p>
    <w:p w:rsidR="00727D18" w:rsidRPr="00214C11" w:rsidRDefault="00727D18" w:rsidP="007A33D9">
      <w:pPr>
        <w:adjustRightInd w:val="0"/>
        <w:snapToGrid w:val="0"/>
        <w:jc w:val="center"/>
        <w:outlineLvl w:val="0"/>
        <w:rPr>
          <w:rFonts w:ascii="宋体" w:hAnsi="宋体"/>
          <w:sz w:val="24"/>
        </w:rPr>
      </w:pPr>
    </w:p>
    <w:p w:rsidR="00727D18" w:rsidRPr="00214C11" w:rsidRDefault="00727D18" w:rsidP="007A33D9">
      <w:pPr>
        <w:adjustRightInd w:val="0"/>
        <w:snapToGrid w:val="0"/>
        <w:jc w:val="center"/>
        <w:outlineLvl w:val="0"/>
        <w:rPr>
          <w:rFonts w:ascii="宋体" w:hAnsi="宋体"/>
          <w:sz w:val="24"/>
        </w:rPr>
      </w:pPr>
    </w:p>
    <w:p w:rsidR="00727D18" w:rsidRPr="00214C11" w:rsidRDefault="00727D18" w:rsidP="007A33D9">
      <w:pPr>
        <w:adjustRightInd w:val="0"/>
        <w:snapToGrid w:val="0"/>
        <w:jc w:val="center"/>
        <w:outlineLvl w:val="0"/>
        <w:rPr>
          <w:rFonts w:ascii="宋体" w:hAnsi="宋体"/>
          <w:sz w:val="24"/>
        </w:rPr>
      </w:pPr>
    </w:p>
    <w:p w:rsidR="00727D18" w:rsidRPr="00214C11" w:rsidRDefault="00727D18" w:rsidP="007A33D9">
      <w:pPr>
        <w:adjustRightInd w:val="0"/>
        <w:snapToGrid w:val="0"/>
        <w:jc w:val="center"/>
        <w:outlineLvl w:val="0"/>
        <w:rPr>
          <w:rFonts w:ascii="宋体" w:hAnsi="宋体"/>
          <w:sz w:val="24"/>
        </w:rPr>
      </w:pPr>
    </w:p>
    <w:p w:rsidR="00727D18" w:rsidRPr="00214C11" w:rsidRDefault="00727D18" w:rsidP="007A33D9">
      <w:pPr>
        <w:adjustRightInd w:val="0"/>
        <w:snapToGrid w:val="0"/>
        <w:jc w:val="center"/>
        <w:outlineLvl w:val="0"/>
        <w:rPr>
          <w:rFonts w:ascii="宋体" w:hAnsi="宋体"/>
          <w:sz w:val="24"/>
        </w:rPr>
      </w:pPr>
    </w:p>
    <w:p w:rsidR="00727D18" w:rsidRPr="00214C11" w:rsidRDefault="00727D18" w:rsidP="007A33D9">
      <w:pPr>
        <w:adjustRightInd w:val="0"/>
        <w:snapToGrid w:val="0"/>
        <w:jc w:val="center"/>
        <w:outlineLvl w:val="0"/>
        <w:rPr>
          <w:rFonts w:ascii="宋体" w:hAnsi="宋体"/>
          <w:sz w:val="24"/>
        </w:rPr>
      </w:pPr>
    </w:p>
    <w:p w:rsidR="00727D18" w:rsidRPr="00214C11" w:rsidRDefault="00727D18" w:rsidP="007A33D9">
      <w:pPr>
        <w:adjustRightInd w:val="0"/>
        <w:snapToGrid w:val="0"/>
        <w:jc w:val="center"/>
        <w:outlineLvl w:val="0"/>
        <w:rPr>
          <w:rFonts w:ascii="宋体" w:hAnsi="宋体"/>
          <w:sz w:val="24"/>
        </w:rPr>
      </w:pPr>
    </w:p>
    <w:p w:rsidR="00727D18" w:rsidRPr="00214C11" w:rsidRDefault="00727D18" w:rsidP="007A33D9">
      <w:pPr>
        <w:adjustRightInd w:val="0"/>
        <w:snapToGrid w:val="0"/>
        <w:jc w:val="center"/>
        <w:outlineLvl w:val="0"/>
        <w:rPr>
          <w:rFonts w:ascii="宋体" w:hAnsi="宋体"/>
          <w:sz w:val="24"/>
        </w:rPr>
      </w:pPr>
    </w:p>
    <w:p w:rsidR="00727D18" w:rsidRPr="00214C11" w:rsidRDefault="00727D18" w:rsidP="007A33D9">
      <w:pPr>
        <w:adjustRightInd w:val="0"/>
        <w:snapToGrid w:val="0"/>
        <w:jc w:val="center"/>
        <w:outlineLvl w:val="0"/>
        <w:rPr>
          <w:rFonts w:ascii="宋体" w:hAnsi="宋体"/>
          <w:sz w:val="24"/>
        </w:rPr>
      </w:pPr>
    </w:p>
    <w:p w:rsidR="007A33D9" w:rsidRPr="00214C11" w:rsidRDefault="007A33D9" w:rsidP="007A33D9">
      <w:pPr>
        <w:adjustRightInd w:val="0"/>
        <w:snapToGrid w:val="0"/>
        <w:jc w:val="center"/>
        <w:outlineLvl w:val="0"/>
        <w:rPr>
          <w:rFonts w:ascii="宋体" w:hAnsi="宋体"/>
          <w:sz w:val="24"/>
        </w:rPr>
      </w:pPr>
    </w:p>
    <w:p w:rsidR="00FD47A7" w:rsidRPr="00214C11" w:rsidRDefault="00796CAC" w:rsidP="00C33EEA">
      <w:pPr>
        <w:adjustRightInd w:val="0"/>
        <w:snapToGrid w:val="0"/>
        <w:jc w:val="center"/>
        <w:outlineLvl w:val="0"/>
        <w:rPr>
          <w:rFonts w:ascii="宋体" w:hAnsi="宋体"/>
          <w:b/>
          <w:sz w:val="28"/>
        </w:rPr>
      </w:pPr>
      <w:r w:rsidRPr="00214C11">
        <w:rPr>
          <w:rFonts w:ascii="宋体" w:hAnsi="宋体" w:hint="eastAsia"/>
          <w:b/>
          <w:sz w:val="28"/>
        </w:rPr>
        <w:t>基金管理人：</w:t>
      </w:r>
      <w:r w:rsidR="007A33D9" w:rsidRPr="00214C11">
        <w:rPr>
          <w:rFonts w:ascii="宋体" w:hAnsi="宋体" w:cs="Arial" w:hint="eastAsia"/>
          <w:b/>
          <w:bCs/>
          <w:sz w:val="28"/>
          <w:szCs w:val="24"/>
        </w:rPr>
        <w:t>博时</w:t>
      </w:r>
      <w:r w:rsidRPr="00214C11">
        <w:rPr>
          <w:rFonts w:ascii="宋体" w:hAnsi="宋体" w:hint="eastAsia"/>
          <w:b/>
          <w:sz w:val="28"/>
        </w:rPr>
        <w:t>基金管理有限公司</w:t>
      </w:r>
    </w:p>
    <w:p w:rsidR="00FD47A7" w:rsidRPr="00214C11" w:rsidRDefault="00796CAC">
      <w:pPr>
        <w:adjustRightInd w:val="0"/>
        <w:snapToGrid w:val="0"/>
        <w:jc w:val="center"/>
        <w:outlineLvl w:val="0"/>
        <w:rPr>
          <w:rFonts w:ascii="宋体" w:hAnsi="宋体"/>
          <w:b/>
          <w:sz w:val="28"/>
        </w:rPr>
      </w:pPr>
      <w:r w:rsidRPr="00214C11">
        <w:rPr>
          <w:rFonts w:ascii="宋体" w:hAnsi="宋体" w:hint="eastAsia"/>
          <w:b/>
          <w:sz w:val="28"/>
        </w:rPr>
        <w:t>基金托管人：中国建设银行股份有限公司</w:t>
      </w:r>
    </w:p>
    <w:p w:rsidR="007A33D9" w:rsidRPr="00214C11" w:rsidRDefault="007A33D9" w:rsidP="007A33D9">
      <w:pPr>
        <w:adjustRightInd w:val="0"/>
        <w:snapToGrid w:val="0"/>
        <w:jc w:val="center"/>
        <w:outlineLvl w:val="0"/>
        <w:rPr>
          <w:rFonts w:ascii="宋体" w:hAnsi="宋体"/>
          <w:sz w:val="24"/>
        </w:rPr>
      </w:pPr>
    </w:p>
    <w:p w:rsidR="007A33D9" w:rsidRPr="00214C11" w:rsidRDefault="007A33D9" w:rsidP="007A33D9">
      <w:pPr>
        <w:adjustRightInd w:val="0"/>
        <w:snapToGrid w:val="0"/>
        <w:jc w:val="center"/>
        <w:outlineLvl w:val="0"/>
        <w:rPr>
          <w:rFonts w:ascii="宋体" w:hAnsi="宋体"/>
          <w:sz w:val="24"/>
        </w:rPr>
      </w:pPr>
    </w:p>
    <w:p w:rsidR="007A33D9" w:rsidRPr="00214C11" w:rsidRDefault="007A33D9" w:rsidP="007A33D9">
      <w:pPr>
        <w:adjustRightInd w:val="0"/>
        <w:snapToGrid w:val="0"/>
        <w:jc w:val="center"/>
        <w:outlineLvl w:val="0"/>
        <w:rPr>
          <w:rFonts w:ascii="宋体" w:hAnsi="宋体"/>
          <w:sz w:val="24"/>
        </w:rPr>
      </w:pPr>
    </w:p>
    <w:p w:rsidR="007A33D9" w:rsidRPr="00214C11" w:rsidRDefault="007A33D9" w:rsidP="007A33D9">
      <w:pPr>
        <w:adjustRightInd w:val="0"/>
        <w:snapToGrid w:val="0"/>
        <w:outlineLvl w:val="0"/>
        <w:rPr>
          <w:rFonts w:ascii="宋体" w:hAnsi="宋体" w:cs="Arial"/>
          <w:sz w:val="24"/>
          <w:szCs w:val="24"/>
        </w:rPr>
      </w:pPr>
      <w:r w:rsidRPr="00214C11">
        <w:rPr>
          <w:rFonts w:ascii="宋体" w:hAnsi="宋体" w:cs="Arial" w:hint="eastAsia"/>
          <w:sz w:val="24"/>
          <w:szCs w:val="24"/>
        </w:rPr>
        <w:t xml:space="preserve">                            </w:t>
      </w:r>
      <w:r w:rsidR="00A42226" w:rsidRPr="00214C11">
        <w:rPr>
          <w:rFonts w:ascii="宋体" w:hAnsi="宋体" w:cs="Arial" w:hint="eastAsia"/>
          <w:sz w:val="24"/>
          <w:szCs w:val="24"/>
        </w:rPr>
        <w:t>二零一</w:t>
      </w:r>
      <w:r w:rsidR="00A42226">
        <w:rPr>
          <w:rFonts w:ascii="宋体" w:hAnsi="宋体" w:cs="Arial" w:hint="eastAsia"/>
          <w:sz w:val="24"/>
          <w:szCs w:val="24"/>
        </w:rPr>
        <w:t>七</w:t>
      </w:r>
      <w:r w:rsidR="00A42226" w:rsidRPr="00214C11">
        <w:rPr>
          <w:rFonts w:ascii="宋体" w:hAnsi="宋体" w:cs="Arial" w:hint="eastAsia"/>
          <w:sz w:val="24"/>
          <w:szCs w:val="24"/>
        </w:rPr>
        <w:t>年</w:t>
      </w:r>
      <w:r w:rsidR="00A42226">
        <w:rPr>
          <w:rFonts w:ascii="宋体" w:hAnsi="宋体" w:cs="Arial" w:hint="eastAsia"/>
          <w:sz w:val="24"/>
          <w:szCs w:val="24"/>
        </w:rPr>
        <w:t>二</w:t>
      </w:r>
      <w:r w:rsidR="00A42226" w:rsidRPr="00214C11">
        <w:rPr>
          <w:rFonts w:ascii="宋体" w:hAnsi="宋体" w:cs="Arial" w:hint="eastAsia"/>
          <w:sz w:val="24"/>
          <w:szCs w:val="24"/>
        </w:rPr>
        <w:t>月</w:t>
      </w:r>
    </w:p>
    <w:p w:rsidR="007A33D9" w:rsidRPr="00214C11" w:rsidRDefault="007A33D9" w:rsidP="007A33D9">
      <w:pPr>
        <w:adjustRightInd w:val="0"/>
        <w:snapToGrid w:val="0"/>
        <w:jc w:val="center"/>
        <w:outlineLvl w:val="0"/>
        <w:rPr>
          <w:rFonts w:ascii="宋体" w:hAnsi="宋体"/>
          <w:sz w:val="24"/>
        </w:rPr>
      </w:pPr>
    </w:p>
    <w:p w:rsidR="007A33D9" w:rsidRPr="00214C11" w:rsidRDefault="007A33D9" w:rsidP="007A33D9">
      <w:pPr>
        <w:adjustRightInd w:val="0"/>
        <w:snapToGrid w:val="0"/>
        <w:jc w:val="center"/>
        <w:rPr>
          <w:rFonts w:ascii="宋体" w:hAnsi="宋体"/>
          <w:sz w:val="24"/>
        </w:rPr>
        <w:sectPr w:rsidR="007A33D9" w:rsidRPr="00214C11">
          <w:footerReference w:type="even" r:id="rId8"/>
          <w:footerReference w:type="default" r:id="rId9"/>
          <w:pgSz w:w="11906" w:h="16838" w:code="9"/>
          <w:pgMar w:top="1418" w:right="1701" w:bottom="1418" w:left="1701" w:header="851" w:footer="992" w:gutter="0"/>
          <w:cols w:space="425"/>
          <w:docGrid w:type="lines" w:linePitch="312"/>
        </w:sectPr>
      </w:pPr>
    </w:p>
    <w:p w:rsidR="007A33D9" w:rsidRPr="00214C11" w:rsidRDefault="007A33D9" w:rsidP="007A33D9">
      <w:pPr>
        <w:adjustRightInd w:val="0"/>
        <w:snapToGrid w:val="0"/>
        <w:rPr>
          <w:rFonts w:ascii="宋体" w:hAnsi="宋体"/>
          <w:sz w:val="24"/>
        </w:rPr>
      </w:pPr>
    </w:p>
    <w:p w:rsidR="007A33D9" w:rsidRPr="00214C11" w:rsidRDefault="00FD47A7" w:rsidP="007A33D9">
      <w:pPr>
        <w:jc w:val="center"/>
        <w:rPr>
          <w:rFonts w:ascii="宋体" w:hAnsi="宋体"/>
          <w:b/>
          <w:sz w:val="30"/>
        </w:rPr>
      </w:pPr>
      <w:r w:rsidRPr="00214C11">
        <w:rPr>
          <w:rFonts w:ascii="宋体" w:hAnsi="宋体" w:hint="eastAsia"/>
          <w:b/>
          <w:sz w:val="30"/>
        </w:rPr>
        <w:t>目录</w:t>
      </w:r>
    </w:p>
    <w:p w:rsidR="007A33D9" w:rsidRPr="00214C11" w:rsidRDefault="00796CAC" w:rsidP="007A33D9">
      <w:pPr>
        <w:tabs>
          <w:tab w:val="right" w:leader="dot" w:pos="8494"/>
        </w:tabs>
        <w:ind w:leftChars="200" w:left="420"/>
        <w:rPr>
          <w:rFonts w:ascii="宋体" w:hAnsi="宋体"/>
          <w:noProof/>
          <w:sz w:val="28"/>
          <w:szCs w:val="24"/>
        </w:rPr>
      </w:pPr>
      <w:r w:rsidRPr="00214C11">
        <w:rPr>
          <w:rFonts w:ascii="宋体" w:hAnsi="宋体" w:hint="eastAsia"/>
          <w:sz w:val="28"/>
          <w:szCs w:val="24"/>
        </w:rPr>
        <w:fldChar w:fldCharType="begin"/>
      </w:r>
      <w:r w:rsidR="007A33D9" w:rsidRPr="00214C11">
        <w:rPr>
          <w:rFonts w:ascii="宋体" w:hAnsi="宋体" w:hint="eastAsia"/>
          <w:sz w:val="28"/>
        </w:rPr>
        <w:instrText xml:space="preserve"> TOC \o "1-2" \h \z </w:instrText>
      </w:r>
      <w:r w:rsidRPr="00214C11">
        <w:rPr>
          <w:rFonts w:ascii="宋体" w:hAnsi="宋体" w:hint="eastAsia"/>
          <w:sz w:val="28"/>
          <w:szCs w:val="24"/>
        </w:rPr>
        <w:fldChar w:fldCharType="separate"/>
      </w:r>
      <w:hyperlink w:anchor="_Toc124325885" w:history="1">
        <w:r w:rsidR="007A33D9" w:rsidRPr="00214C11">
          <w:rPr>
            <w:rFonts w:ascii="宋体" w:hAnsi="宋体" w:hint="eastAsia"/>
            <w:noProof/>
            <w:sz w:val="28"/>
            <w:szCs w:val="32"/>
          </w:rPr>
          <w:t>一、基金托管协议当事人</w:t>
        </w:r>
        <w:r w:rsidR="007A33D9" w:rsidRPr="00214C11">
          <w:rPr>
            <w:rFonts w:ascii="宋体" w:hAnsi="宋体" w:hint="eastAsia"/>
            <w:noProof/>
            <w:webHidden/>
            <w:sz w:val="28"/>
            <w:szCs w:val="24"/>
          </w:rPr>
          <w:tab/>
        </w:r>
        <w:r w:rsidR="00760415" w:rsidRPr="00214C11">
          <w:rPr>
            <w:rFonts w:ascii="宋体" w:hAnsi="宋体" w:hint="eastAsia"/>
            <w:noProof/>
            <w:webHidden/>
            <w:sz w:val="28"/>
            <w:szCs w:val="24"/>
          </w:rPr>
          <w:t>1</w:t>
        </w:r>
      </w:hyperlink>
      <w:r w:rsidR="00760415" w:rsidRPr="00214C11">
        <w:rPr>
          <w:rFonts w:ascii="宋体" w:hAnsi="宋体" w:hint="eastAsia"/>
          <w:noProof/>
          <w:sz w:val="28"/>
          <w:szCs w:val="24"/>
        </w:rPr>
        <w:t>-1</w:t>
      </w:r>
    </w:p>
    <w:p w:rsidR="007A33D9" w:rsidRPr="00214C11" w:rsidRDefault="003A7EBE" w:rsidP="007A33D9">
      <w:pPr>
        <w:tabs>
          <w:tab w:val="right" w:leader="dot" w:pos="8494"/>
        </w:tabs>
        <w:ind w:leftChars="200" w:left="420"/>
        <w:rPr>
          <w:rFonts w:ascii="宋体" w:hAnsi="宋体"/>
          <w:noProof/>
          <w:sz w:val="28"/>
          <w:szCs w:val="24"/>
        </w:rPr>
      </w:pPr>
      <w:hyperlink w:anchor="_Toc124325886" w:history="1">
        <w:r w:rsidR="007A33D9" w:rsidRPr="00214C11">
          <w:rPr>
            <w:rFonts w:ascii="宋体" w:hAnsi="宋体" w:hint="eastAsia"/>
            <w:noProof/>
            <w:sz w:val="28"/>
            <w:szCs w:val="32"/>
          </w:rPr>
          <w:t>二、基金托管协议的依据、目的和原则</w:t>
        </w:r>
        <w:r w:rsidR="007A33D9" w:rsidRPr="00214C11">
          <w:rPr>
            <w:rFonts w:ascii="宋体" w:hAnsi="宋体" w:hint="eastAsia"/>
            <w:noProof/>
            <w:webHidden/>
            <w:sz w:val="28"/>
            <w:szCs w:val="24"/>
          </w:rPr>
          <w:tab/>
        </w:r>
        <w:r w:rsidR="00F00B10" w:rsidRPr="00214C11">
          <w:rPr>
            <w:rFonts w:ascii="宋体" w:hAnsi="宋体" w:hint="eastAsia"/>
            <w:noProof/>
            <w:webHidden/>
            <w:sz w:val="28"/>
            <w:szCs w:val="24"/>
          </w:rPr>
          <w:t>2-</w:t>
        </w:r>
      </w:hyperlink>
      <w:r w:rsidR="00F00B10" w:rsidRPr="00214C11">
        <w:rPr>
          <w:rFonts w:ascii="宋体" w:hAnsi="宋体" w:hint="eastAsia"/>
          <w:noProof/>
          <w:sz w:val="28"/>
          <w:szCs w:val="24"/>
        </w:rPr>
        <w:t>1</w:t>
      </w:r>
    </w:p>
    <w:p w:rsidR="007A33D9" w:rsidRPr="00214C11" w:rsidRDefault="003A7EBE" w:rsidP="007A33D9">
      <w:pPr>
        <w:tabs>
          <w:tab w:val="right" w:leader="dot" w:pos="8494"/>
        </w:tabs>
        <w:ind w:leftChars="200" w:left="420"/>
        <w:rPr>
          <w:rFonts w:ascii="宋体" w:hAnsi="宋体"/>
          <w:noProof/>
          <w:sz w:val="28"/>
          <w:szCs w:val="24"/>
        </w:rPr>
      </w:pPr>
      <w:hyperlink w:anchor="_Toc124325887" w:history="1">
        <w:r w:rsidR="007A33D9" w:rsidRPr="00214C11">
          <w:rPr>
            <w:rFonts w:ascii="宋体" w:hAnsi="宋体" w:hint="eastAsia"/>
            <w:noProof/>
            <w:sz w:val="28"/>
            <w:szCs w:val="32"/>
          </w:rPr>
          <w:t>三、基金托管人对基金管理人的业务监督和核查</w:t>
        </w:r>
        <w:r w:rsidR="007A33D9" w:rsidRPr="00214C11">
          <w:rPr>
            <w:rFonts w:ascii="宋体" w:hAnsi="宋体" w:hint="eastAsia"/>
            <w:noProof/>
            <w:webHidden/>
            <w:sz w:val="28"/>
            <w:szCs w:val="24"/>
          </w:rPr>
          <w:tab/>
        </w:r>
        <w:r w:rsidR="00F00B10" w:rsidRPr="00214C11">
          <w:rPr>
            <w:rFonts w:ascii="宋体" w:hAnsi="宋体" w:hint="eastAsia"/>
            <w:noProof/>
            <w:webHidden/>
            <w:sz w:val="28"/>
            <w:szCs w:val="24"/>
          </w:rPr>
          <w:t>3-1</w:t>
        </w:r>
      </w:hyperlink>
    </w:p>
    <w:p w:rsidR="007A33D9" w:rsidRPr="00214C11" w:rsidRDefault="003A7EBE" w:rsidP="007A33D9">
      <w:pPr>
        <w:tabs>
          <w:tab w:val="right" w:leader="dot" w:pos="8494"/>
        </w:tabs>
        <w:ind w:leftChars="200" w:left="420"/>
        <w:rPr>
          <w:rFonts w:ascii="宋体" w:hAnsi="宋体"/>
          <w:noProof/>
          <w:sz w:val="28"/>
          <w:szCs w:val="24"/>
        </w:rPr>
      </w:pPr>
      <w:hyperlink w:anchor="_Toc124325888" w:history="1">
        <w:r w:rsidR="007A33D9" w:rsidRPr="00214C11">
          <w:rPr>
            <w:rFonts w:ascii="宋体" w:hAnsi="宋体" w:hint="eastAsia"/>
            <w:noProof/>
            <w:sz w:val="28"/>
            <w:szCs w:val="32"/>
          </w:rPr>
          <w:t>四、基金管理人对基金托管人的业务核查</w:t>
        </w:r>
        <w:r w:rsidR="007A33D9" w:rsidRPr="00214C11">
          <w:rPr>
            <w:rFonts w:ascii="宋体" w:hAnsi="宋体" w:hint="eastAsia"/>
            <w:noProof/>
            <w:webHidden/>
            <w:sz w:val="28"/>
            <w:szCs w:val="24"/>
          </w:rPr>
          <w:tab/>
        </w:r>
        <w:r w:rsidR="00F00B10" w:rsidRPr="00214C11">
          <w:rPr>
            <w:rFonts w:ascii="宋体" w:hAnsi="宋体" w:hint="eastAsia"/>
            <w:noProof/>
            <w:webHidden/>
            <w:sz w:val="28"/>
            <w:szCs w:val="24"/>
          </w:rPr>
          <w:t>4-1</w:t>
        </w:r>
      </w:hyperlink>
    </w:p>
    <w:p w:rsidR="007A33D9" w:rsidRPr="00214C11" w:rsidRDefault="003A7EBE" w:rsidP="007A33D9">
      <w:pPr>
        <w:tabs>
          <w:tab w:val="right" w:leader="dot" w:pos="8494"/>
        </w:tabs>
        <w:ind w:leftChars="200" w:left="420"/>
        <w:rPr>
          <w:rFonts w:ascii="宋体" w:hAnsi="宋体"/>
          <w:noProof/>
          <w:sz w:val="28"/>
          <w:szCs w:val="24"/>
        </w:rPr>
      </w:pPr>
      <w:hyperlink w:anchor="_Toc124325889" w:history="1">
        <w:r w:rsidR="007A33D9" w:rsidRPr="00214C11">
          <w:rPr>
            <w:rFonts w:ascii="宋体" w:hAnsi="宋体" w:hint="eastAsia"/>
            <w:noProof/>
            <w:sz w:val="28"/>
            <w:szCs w:val="32"/>
          </w:rPr>
          <w:t>五、基金财产的保管</w:t>
        </w:r>
        <w:r w:rsidR="007A33D9" w:rsidRPr="00214C11">
          <w:rPr>
            <w:rFonts w:ascii="宋体" w:hAnsi="宋体" w:hint="eastAsia"/>
            <w:noProof/>
            <w:webHidden/>
            <w:sz w:val="28"/>
            <w:szCs w:val="24"/>
          </w:rPr>
          <w:tab/>
        </w:r>
        <w:r w:rsidR="00F00B10" w:rsidRPr="00214C11">
          <w:rPr>
            <w:rFonts w:ascii="宋体" w:hAnsi="宋体" w:hint="eastAsia"/>
            <w:noProof/>
            <w:webHidden/>
            <w:sz w:val="28"/>
            <w:szCs w:val="24"/>
          </w:rPr>
          <w:t>5-1</w:t>
        </w:r>
      </w:hyperlink>
    </w:p>
    <w:p w:rsidR="007A33D9" w:rsidRPr="00214C11" w:rsidRDefault="003A7EBE" w:rsidP="007A33D9">
      <w:pPr>
        <w:tabs>
          <w:tab w:val="right" w:leader="dot" w:pos="8494"/>
        </w:tabs>
        <w:ind w:leftChars="200" w:left="420"/>
        <w:rPr>
          <w:rFonts w:ascii="宋体" w:hAnsi="宋体"/>
          <w:noProof/>
          <w:sz w:val="28"/>
          <w:szCs w:val="24"/>
        </w:rPr>
      </w:pPr>
      <w:hyperlink w:anchor="_Toc124325890" w:history="1">
        <w:r w:rsidR="007A33D9" w:rsidRPr="00214C11">
          <w:rPr>
            <w:rFonts w:ascii="宋体" w:hAnsi="宋体" w:hint="eastAsia"/>
            <w:noProof/>
            <w:sz w:val="28"/>
            <w:szCs w:val="32"/>
          </w:rPr>
          <w:t>六、指令的发送、确认及执行</w:t>
        </w:r>
        <w:r w:rsidR="007A33D9" w:rsidRPr="00214C11">
          <w:rPr>
            <w:rFonts w:ascii="宋体" w:hAnsi="宋体" w:hint="eastAsia"/>
            <w:noProof/>
            <w:webHidden/>
            <w:sz w:val="28"/>
            <w:szCs w:val="24"/>
          </w:rPr>
          <w:tab/>
        </w:r>
        <w:r w:rsidR="00F00B10" w:rsidRPr="00214C11">
          <w:rPr>
            <w:rFonts w:ascii="宋体" w:hAnsi="宋体" w:hint="eastAsia"/>
            <w:noProof/>
            <w:webHidden/>
            <w:sz w:val="28"/>
            <w:szCs w:val="24"/>
          </w:rPr>
          <w:t>6-1</w:t>
        </w:r>
      </w:hyperlink>
    </w:p>
    <w:p w:rsidR="007A33D9" w:rsidRPr="00214C11" w:rsidRDefault="003A7EBE" w:rsidP="007A33D9">
      <w:pPr>
        <w:tabs>
          <w:tab w:val="right" w:leader="dot" w:pos="8494"/>
        </w:tabs>
        <w:ind w:leftChars="200" w:left="420"/>
        <w:rPr>
          <w:rFonts w:ascii="宋体" w:hAnsi="宋体"/>
          <w:noProof/>
          <w:sz w:val="28"/>
          <w:szCs w:val="24"/>
        </w:rPr>
      </w:pPr>
      <w:hyperlink w:anchor="_Toc124325891" w:history="1">
        <w:r w:rsidR="007A33D9" w:rsidRPr="00214C11">
          <w:rPr>
            <w:rFonts w:ascii="宋体" w:hAnsi="宋体" w:hint="eastAsia"/>
            <w:noProof/>
            <w:sz w:val="28"/>
            <w:szCs w:val="32"/>
          </w:rPr>
          <w:t>七、交易及清算交收安排</w:t>
        </w:r>
        <w:r w:rsidR="007A33D9" w:rsidRPr="00214C11">
          <w:rPr>
            <w:rFonts w:ascii="宋体" w:hAnsi="宋体" w:hint="eastAsia"/>
            <w:noProof/>
            <w:webHidden/>
            <w:sz w:val="28"/>
            <w:szCs w:val="24"/>
          </w:rPr>
          <w:tab/>
        </w:r>
        <w:r w:rsidR="005F12DC" w:rsidRPr="00214C11">
          <w:rPr>
            <w:rFonts w:ascii="宋体" w:hAnsi="宋体" w:hint="eastAsia"/>
            <w:noProof/>
            <w:webHidden/>
            <w:sz w:val="28"/>
            <w:szCs w:val="24"/>
          </w:rPr>
          <w:t>7-1</w:t>
        </w:r>
      </w:hyperlink>
    </w:p>
    <w:p w:rsidR="007A33D9" w:rsidRPr="00214C11" w:rsidRDefault="003A7EBE" w:rsidP="007A33D9">
      <w:pPr>
        <w:tabs>
          <w:tab w:val="right" w:leader="dot" w:pos="8494"/>
        </w:tabs>
        <w:ind w:leftChars="200" w:left="420"/>
        <w:rPr>
          <w:rFonts w:ascii="宋体" w:hAnsi="宋体"/>
          <w:noProof/>
          <w:sz w:val="28"/>
          <w:szCs w:val="24"/>
        </w:rPr>
      </w:pPr>
      <w:hyperlink w:anchor="_Toc124325892" w:history="1">
        <w:r w:rsidR="007A33D9" w:rsidRPr="00214C11">
          <w:rPr>
            <w:rFonts w:ascii="宋体" w:hAnsi="宋体" w:hint="eastAsia"/>
            <w:noProof/>
            <w:sz w:val="28"/>
            <w:szCs w:val="32"/>
          </w:rPr>
          <w:t>八、基金资产净值计算和会计核算</w:t>
        </w:r>
        <w:r w:rsidR="007A33D9" w:rsidRPr="00214C11">
          <w:rPr>
            <w:rFonts w:ascii="宋体" w:hAnsi="宋体" w:hint="eastAsia"/>
            <w:noProof/>
            <w:webHidden/>
            <w:sz w:val="28"/>
            <w:szCs w:val="24"/>
          </w:rPr>
          <w:tab/>
        </w:r>
        <w:r w:rsidR="005F12DC" w:rsidRPr="00214C11">
          <w:rPr>
            <w:rFonts w:ascii="宋体" w:hAnsi="宋体" w:hint="eastAsia"/>
            <w:noProof/>
            <w:webHidden/>
            <w:sz w:val="28"/>
            <w:szCs w:val="24"/>
          </w:rPr>
          <w:t>8-1</w:t>
        </w:r>
      </w:hyperlink>
    </w:p>
    <w:p w:rsidR="007A33D9" w:rsidRPr="00214C11" w:rsidRDefault="003A7EBE" w:rsidP="007A33D9">
      <w:pPr>
        <w:tabs>
          <w:tab w:val="right" w:leader="dot" w:pos="8494"/>
        </w:tabs>
        <w:ind w:leftChars="200" w:left="420"/>
        <w:rPr>
          <w:rFonts w:ascii="宋体" w:hAnsi="宋体"/>
          <w:noProof/>
          <w:sz w:val="28"/>
          <w:szCs w:val="24"/>
        </w:rPr>
      </w:pPr>
      <w:hyperlink w:anchor="_Toc124325893" w:history="1">
        <w:r w:rsidR="007A33D9" w:rsidRPr="00214C11">
          <w:rPr>
            <w:rFonts w:ascii="宋体" w:hAnsi="宋体" w:hint="eastAsia"/>
            <w:noProof/>
            <w:sz w:val="28"/>
            <w:szCs w:val="32"/>
          </w:rPr>
          <w:t>九、基金收益分配</w:t>
        </w:r>
        <w:r w:rsidR="007A33D9" w:rsidRPr="00214C11">
          <w:rPr>
            <w:rFonts w:ascii="宋体" w:hAnsi="宋体" w:hint="eastAsia"/>
            <w:noProof/>
            <w:webHidden/>
            <w:sz w:val="28"/>
            <w:szCs w:val="24"/>
          </w:rPr>
          <w:tab/>
        </w:r>
        <w:r w:rsidR="005F12DC" w:rsidRPr="00214C11">
          <w:rPr>
            <w:rFonts w:ascii="宋体" w:hAnsi="宋体" w:hint="eastAsia"/>
            <w:noProof/>
            <w:webHidden/>
            <w:sz w:val="28"/>
            <w:szCs w:val="24"/>
          </w:rPr>
          <w:t>9-1</w:t>
        </w:r>
      </w:hyperlink>
    </w:p>
    <w:p w:rsidR="007A33D9" w:rsidRPr="00214C11" w:rsidRDefault="003A7EBE" w:rsidP="007A33D9">
      <w:pPr>
        <w:tabs>
          <w:tab w:val="right" w:leader="dot" w:pos="8494"/>
        </w:tabs>
        <w:ind w:leftChars="200" w:left="420"/>
        <w:rPr>
          <w:rFonts w:ascii="宋体" w:hAnsi="宋体"/>
          <w:noProof/>
          <w:sz w:val="28"/>
          <w:szCs w:val="24"/>
        </w:rPr>
      </w:pPr>
      <w:hyperlink w:anchor="_Toc124325894" w:history="1">
        <w:r w:rsidR="007A33D9" w:rsidRPr="00214C11">
          <w:rPr>
            <w:rFonts w:ascii="宋体" w:hAnsi="宋体" w:hint="eastAsia"/>
            <w:noProof/>
            <w:sz w:val="28"/>
            <w:szCs w:val="32"/>
          </w:rPr>
          <w:t>十、基金信息披露</w:t>
        </w:r>
        <w:r w:rsidR="007A33D9" w:rsidRPr="00214C11">
          <w:rPr>
            <w:rFonts w:ascii="宋体" w:hAnsi="宋体" w:hint="eastAsia"/>
            <w:noProof/>
            <w:webHidden/>
            <w:sz w:val="28"/>
            <w:szCs w:val="24"/>
          </w:rPr>
          <w:tab/>
        </w:r>
        <w:r w:rsidR="005F12DC" w:rsidRPr="00214C11">
          <w:rPr>
            <w:rFonts w:ascii="宋体" w:hAnsi="宋体" w:hint="eastAsia"/>
            <w:noProof/>
            <w:webHidden/>
            <w:sz w:val="28"/>
            <w:szCs w:val="24"/>
          </w:rPr>
          <w:t>10-1</w:t>
        </w:r>
      </w:hyperlink>
    </w:p>
    <w:p w:rsidR="007A33D9" w:rsidRPr="00214C11" w:rsidRDefault="003A7EBE" w:rsidP="007A33D9">
      <w:pPr>
        <w:tabs>
          <w:tab w:val="right" w:leader="dot" w:pos="8494"/>
        </w:tabs>
        <w:ind w:leftChars="200" w:left="420"/>
        <w:rPr>
          <w:rFonts w:ascii="宋体" w:hAnsi="宋体"/>
          <w:noProof/>
          <w:sz w:val="28"/>
          <w:szCs w:val="24"/>
        </w:rPr>
      </w:pPr>
      <w:hyperlink w:anchor="_Toc124325895" w:history="1">
        <w:r w:rsidR="007A33D9" w:rsidRPr="00214C11">
          <w:rPr>
            <w:rFonts w:ascii="宋体" w:hAnsi="宋体" w:hint="eastAsia"/>
            <w:noProof/>
            <w:sz w:val="28"/>
            <w:szCs w:val="32"/>
          </w:rPr>
          <w:t>十一、基金费用</w:t>
        </w:r>
        <w:r w:rsidR="007A33D9" w:rsidRPr="00214C11">
          <w:rPr>
            <w:rFonts w:ascii="宋体" w:hAnsi="宋体" w:hint="eastAsia"/>
            <w:noProof/>
            <w:webHidden/>
            <w:sz w:val="28"/>
            <w:szCs w:val="24"/>
          </w:rPr>
          <w:tab/>
        </w:r>
        <w:r w:rsidR="005F12DC" w:rsidRPr="00214C11">
          <w:rPr>
            <w:rFonts w:ascii="宋体" w:hAnsi="宋体" w:hint="eastAsia"/>
            <w:noProof/>
            <w:webHidden/>
            <w:sz w:val="28"/>
            <w:szCs w:val="24"/>
          </w:rPr>
          <w:t>11-1</w:t>
        </w:r>
      </w:hyperlink>
    </w:p>
    <w:p w:rsidR="007A33D9" w:rsidRPr="00214C11" w:rsidRDefault="003A7EBE" w:rsidP="007A33D9">
      <w:pPr>
        <w:tabs>
          <w:tab w:val="right" w:leader="dot" w:pos="8494"/>
        </w:tabs>
        <w:ind w:leftChars="200" w:left="420"/>
        <w:rPr>
          <w:rFonts w:ascii="宋体" w:hAnsi="宋体"/>
          <w:noProof/>
          <w:sz w:val="28"/>
          <w:szCs w:val="24"/>
        </w:rPr>
      </w:pPr>
      <w:hyperlink w:anchor="_Toc124325896" w:history="1">
        <w:r w:rsidR="007A33D9" w:rsidRPr="00214C11">
          <w:rPr>
            <w:rFonts w:ascii="宋体" w:hAnsi="宋体" w:hint="eastAsia"/>
            <w:noProof/>
            <w:sz w:val="28"/>
            <w:szCs w:val="32"/>
          </w:rPr>
          <w:t>十二、基金份额持有人名册的保管</w:t>
        </w:r>
        <w:r w:rsidR="007A33D9" w:rsidRPr="00214C11">
          <w:rPr>
            <w:rFonts w:ascii="宋体" w:hAnsi="宋体" w:hint="eastAsia"/>
            <w:noProof/>
            <w:webHidden/>
            <w:sz w:val="28"/>
            <w:szCs w:val="24"/>
          </w:rPr>
          <w:tab/>
        </w:r>
        <w:r w:rsidR="000C3867" w:rsidRPr="00214C11">
          <w:rPr>
            <w:rFonts w:ascii="宋体" w:hAnsi="宋体" w:hint="eastAsia"/>
            <w:noProof/>
            <w:webHidden/>
            <w:sz w:val="28"/>
            <w:szCs w:val="24"/>
          </w:rPr>
          <w:t>12-1</w:t>
        </w:r>
      </w:hyperlink>
    </w:p>
    <w:p w:rsidR="007A33D9" w:rsidRPr="00214C11" w:rsidRDefault="003A7EBE" w:rsidP="007A33D9">
      <w:pPr>
        <w:tabs>
          <w:tab w:val="right" w:leader="dot" w:pos="8494"/>
        </w:tabs>
        <w:ind w:leftChars="200" w:left="420"/>
        <w:rPr>
          <w:rFonts w:ascii="宋体" w:hAnsi="宋体"/>
          <w:noProof/>
          <w:sz w:val="28"/>
          <w:szCs w:val="24"/>
        </w:rPr>
      </w:pPr>
      <w:hyperlink w:anchor="_Toc124325897" w:history="1">
        <w:r w:rsidR="007A33D9" w:rsidRPr="00214C11">
          <w:rPr>
            <w:rFonts w:ascii="宋体" w:hAnsi="宋体" w:hint="eastAsia"/>
            <w:noProof/>
            <w:sz w:val="28"/>
            <w:szCs w:val="32"/>
          </w:rPr>
          <w:t>十三、基金有关文件档案的保存</w:t>
        </w:r>
        <w:r w:rsidR="007A33D9" w:rsidRPr="00214C11">
          <w:rPr>
            <w:rFonts w:ascii="宋体" w:hAnsi="宋体" w:hint="eastAsia"/>
            <w:noProof/>
            <w:webHidden/>
            <w:sz w:val="28"/>
            <w:szCs w:val="24"/>
          </w:rPr>
          <w:tab/>
        </w:r>
        <w:r w:rsidR="000C3867" w:rsidRPr="00214C11">
          <w:rPr>
            <w:rFonts w:ascii="宋体" w:hAnsi="宋体" w:hint="eastAsia"/>
            <w:noProof/>
            <w:webHidden/>
            <w:sz w:val="28"/>
            <w:szCs w:val="24"/>
          </w:rPr>
          <w:t>13-1</w:t>
        </w:r>
      </w:hyperlink>
    </w:p>
    <w:p w:rsidR="007A33D9" w:rsidRPr="00214C11" w:rsidRDefault="003A7EBE" w:rsidP="007A33D9">
      <w:pPr>
        <w:tabs>
          <w:tab w:val="right" w:leader="dot" w:pos="8494"/>
        </w:tabs>
        <w:ind w:leftChars="200" w:left="420"/>
        <w:rPr>
          <w:rFonts w:ascii="宋体" w:hAnsi="宋体"/>
          <w:noProof/>
          <w:sz w:val="28"/>
          <w:szCs w:val="24"/>
        </w:rPr>
      </w:pPr>
      <w:hyperlink w:anchor="_Toc124325898" w:history="1">
        <w:r w:rsidR="007A33D9" w:rsidRPr="00214C11">
          <w:rPr>
            <w:rFonts w:ascii="宋体" w:hAnsi="宋体" w:hint="eastAsia"/>
            <w:noProof/>
            <w:sz w:val="28"/>
            <w:szCs w:val="32"/>
          </w:rPr>
          <w:t>十四、基金管理人和基金托管人的更换</w:t>
        </w:r>
        <w:r w:rsidR="007A33D9" w:rsidRPr="00214C11">
          <w:rPr>
            <w:rFonts w:ascii="宋体" w:hAnsi="宋体" w:hint="eastAsia"/>
            <w:noProof/>
            <w:webHidden/>
            <w:sz w:val="28"/>
            <w:szCs w:val="24"/>
          </w:rPr>
          <w:tab/>
        </w:r>
        <w:r w:rsidR="000C3867" w:rsidRPr="00214C11">
          <w:rPr>
            <w:rFonts w:ascii="宋体" w:hAnsi="宋体" w:hint="eastAsia"/>
            <w:noProof/>
            <w:webHidden/>
            <w:sz w:val="28"/>
            <w:szCs w:val="24"/>
          </w:rPr>
          <w:t>14-1</w:t>
        </w:r>
      </w:hyperlink>
    </w:p>
    <w:p w:rsidR="007A33D9" w:rsidRPr="00214C11" w:rsidRDefault="003A7EBE" w:rsidP="007A33D9">
      <w:pPr>
        <w:tabs>
          <w:tab w:val="right" w:leader="dot" w:pos="8494"/>
        </w:tabs>
        <w:ind w:leftChars="200" w:left="420"/>
        <w:rPr>
          <w:rFonts w:ascii="宋体" w:hAnsi="宋体"/>
          <w:noProof/>
          <w:sz w:val="28"/>
          <w:szCs w:val="24"/>
        </w:rPr>
      </w:pPr>
      <w:hyperlink w:anchor="_Toc124325899" w:history="1">
        <w:r w:rsidR="007A33D9" w:rsidRPr="00214C11">
          <w:rPr>
            <w:rFonts w:ascii="宋体" w:hAnsi="宋体" w:hint="eastAsia"/>
            <w:noProof/>
            <w:sz w:val="28"/>
            <w:szCs w:val="32"/>
          </w:rPr>
          <w:t>十五、禁止行为</w:t>
        </w:r>
        <w:r w:rsidR="007A33D9" w:rsidRPr="00214C11">
          <w:rPr>
            <w:rFonts w:ascii="宋体" w:hAnsi="宋体" w:hint="eastAsia"/>
            <w:noProof/>
            <w:webHidden/>
            <w:sz w:val="28"/>
            <w:szCs w:val="24"/>
          </w:rPr>
          <w:tab/>
        </w:r>
        <w:r w:rsidR="000C3867" w:rsidRPr="00214C11">
          <w:rPr>
            <w:rFonts w:ascii="宋体" w:hAnsi="宋体" w:hint="eastAsia"/>
            <w:noProof/>
            <w:webHidden/>
            <w:sz w:val="28"/>
            <w:szCs w:val="24"/>
          </w:rPr>
          <w:t>15-1</w:t>
        </w:r>
      </w:hyperlink>
    </w:p>
    <w:p w:rsidR="007A33D9" w:rsidRPr="00214C11" w:rsidRDefault="003A7EBE" w:rsidP="007A33D9">
      <w:pPr>
        <w:tabs>
          <w:tab w:val="right" w:leader="dot" w:pos="8494"/>
        </w:tabs>
        <w:ind w:leftChars="200" w:left="420"/>
        <w:rPr>
          <w:rFonts w:ascii="宋体" w:hAnsi="宋体"/>
          <w:noProof/>
          <w:sz w:val="28"/>
          <w:szCs w:val="24"/>
        </w:rPr>
      </w:pPr>
      <w:hyperlink w:anchor="_Toc124325900" w:history="1">
        <w:r w:rsidR="007A33D9" w:rsidRPr="00214C11">
          <w:rPr>
            <w:rFonts w:ascii="宋体" w:hAnsi="宋体" w:hint="eastAsia"/>
            <w:noProof/>
            <w:sz w:val="28"/>
            <w:szCs w:val="32"/>
          </w:rPr>
          <w:t>十六、托管协议的变更、终止与基金财产的清算</w:t>
        </w:r>
        <w:r w:rsidR="007A33D9" w:rsidRPr="00214C11">
          <w:rPr>
            <w:rFonts w:ascii="宋体" w:hAnsi="宋体" w:hint="eastAsia"/>
            <w:noProof/>
            <w:webHidden/>
            <w:sz w:val="28"/>
            <w:szCs w:val="24"/>
          </w:rPr>
          <w:tab/>
        </w:r>
        <w:r w:rsidR="000C3867" w:rsidRPr="00214C11">
          <w:rPr>
            <w:rFonts w:ascii="宋体" w:hAnsi="宋体" w:hint="eastAsia"/>
            <w:noProof/>
            <w:webHidden/>
            <w:sz w:val="28"/>
            <w:szCs w:val="24"/>
          </w:rPr>
          <w:t>16-1</w:t>
        </w:r>
      </w:hyperlink>
    </w:p>
    <w:p w:rsidR="007A33D9" w:rsidRPr="00214C11" w:rsidRDefault="003A7EBE" w:rsidP="007A33D9">
      <w:pPr>
        <w:tabs>
          <w:tab w:val="right" w:leader="dot" w:pos="8494"/>
        </w:tabs>
        <w:ind w:leftChars="200" w:left="420"/>
        <w:rPr>
          <w:rFonts w:ascii="宋体" w:hAnsi="宋体"/>
          <w:noProof/>
          <w:sz w:val="28"/>
          <w:szCs w:val="24"/>
        </w:rPr>
      </w:pPr>
      <w:hyperlink w:anchor="_Toc124325901" w:history="1">
        <w:r w:rsidR="007A33D9" w:rsidRPr="00214C11">
          <w:rPr>
            <w:rFonts w:ascii="宋体" w:hAnsi="宋体" w:hint="eastAsia"/>
            <w:noProof/>
            <w:sz w:val="28"/>
            <w:szCs w:val="32"/>
          </w:rPr>
          <w:t>十七、违约责任</w:t>
        </w:r>
        <w:r w:rsidR="007A33D9" w:rsidRPr="00214C11">
          <w:rPr>
            <w:rFonts w:ascii="宋体" w:hAnsi="宋体" w:hint="eastAsia"/>
            <w:noProof/>
            <w:webHidden/>
            <w:sz w:val="28"/>
            <w:szCs w:val="24"/>
          </w:rPr>
          <w:tab/>
        </w:r>
        <w:r w:rsidR="00013138" w:rsidRPr="00214C11">
          <w:rPr>
            <w:rFonts w:ascii="宋体" w:hAnsi="宋体" w:hint="eastAsia"/>
            <w:noProof/>
            <w:webHidden/>
            <w:sz w:val="28"/>
            <w:szCs w:val="24"/>
          </w:rPr>
          <w:t>17-1</w:t>
        </w:r>
      </w:hyperlink>
    </w:p>
    <w:p w:rsidR="007A33D9" w:rsidRPr="00214C11" w:rsidRDefault="003A7EBE" w:rsidP="007A33D9">
      <w:pPr>
        <w:tabs>
          <w:tab w:val="right" w:leader="dot" w:pos="8494"/>
        </w:tabs>
        <w:ind w:leftChars="200" w:left="420"/>
        <w:rPr>
          <w:rFonts w:ascii="宋体" w:hAnsi="宋体"/>
          <w:noProof/>
          <w:sz w:val="28"/>
          <w:szCs w:val="24"/>
        </w:rPr>
      </w:pPr>
      <w:hyperlink w:anchor="_Toc124325902" w:history="1">
        <w:r w:rsidR="007A33D9" w:rsidRPr="00214C11">
          <w:rPr>
            <w:rFonts w:ascii="宋体" w:hAnsi="宋体" w:hint="eastAsia"/>
            <w:noProof/>
            <w:sz w:val="28"/>
            <w:szCs w:val="32"/>
          </w:rPr>
          <w:t>十八、争议解决方式</w:t>
        </w:r>
        <w:r w:rsidR="007A33D9" w:rsidRPr="00214C11">
          <w:rPr>
            <w:rFonts w:ascii="宋体" w:hAnsi="宋体" w:hint="eastAsia"/>
            <w:noProof/>
            <w:webHidden/>
            <w:sz w:val="28"/>
            <w:szCs w:val="24"/>
          </w:rPr>
          <w:tab/>
        </w:r>
        <w:r w:rsidR="00013138" w:rsidRPr="00214C11">
          <w:rPr>
            <w:rFonts w:ascii="宋体" w:hAnsi="宋体" w:hint="eastAsia"/>
            <w:noProof/>
            <w:webHidden/>
            <w:sz w:val="28"/>
            <w:szCs w:val="24"/>
          </w:rPr>
          <w:t>18-1</w:t>
        </w:r>
      </w:hyperlink>
    </w:p>
    <w:p w:rsidR="007A33D9" w:rsidRPr="00214C11" w:rsidRDefault="003A7EBE" w:rsidP="007A33D9">
      <w:pPr>
        <w:tabs>
          <w:tab w:val="right" w:leader="dot" w:pos="8494"/>
        </w:tabs>
        <w:ind w:leftChars="200" w:left="420"/>
        <w:rPr>
          <w:rFonts w:ascii="宋体" w:hAnsi="宋体"/>
          <w:noProof/>
          <w:sz w:val="28"/>
          <w:szCs w:val="24"/>
        </w:rPr>
      </w:pPr>
      <w:hyperlink w:anchor="_Toc124325903" w:history="1">
        <w:r w:rsidR="007A33D9" w:rsidRPr="00214C11">
          <w:rPr>
            <w:rFonts w:ascii="宋体" w:hAnsi="宋体" w:hint="eastAsia"/>
            <w:noProof/>
            <w:sz w:val="28"/>
            <w:szCs w:val="32"/>
          </w:rPr>
          <w:t>十九、托管协议的效力</w:t>
        </w:r>
        <w:r w:rsidR="007A33D9" w:rsidRPr="00214C11">
          <w:rPr>
            <w:rFonts w:ascii="宋体" w:hAnsi="宋体" w:hint="eastAsia"/>
            <w:noProof/>
            <w:webHidden/>
            <w:sz w:val="28"/>
            <w:szCs w:val="24"/>
          </w:rPr>
          <w:tab/>
        </w:r>
        <w:r w:rsidR="00013138" w:rsidRPr="00214C11">
          <w:rPr>
            <w:rFonts w:ascii="宋体" w:hAnsi="宋体" w:hint="eastAsia"/>
            <w:noProof/>
            <w:webHidden/>
            <w:sz w:val="28"/>
            <w:szCs w:val="24"/>
          </w:rPr>
          <w:t>19-1</w:t>
        </w:r>
      </w:hyperlink>
    </w:p>
    <w:p w:rsidR="007A33D9" w:rsidRPr="00214C11" w:rsidRDefault="003A7EBE" w:rsidP="007A33D9">
      <w:pPr>
        <w:tabs>
          <w:tab w:val="right" w:leader="dot" w:pos="8494"/>
        </w:tabs>
        <w:ind w:leftChars="200" w:left="420"/>
        <w:rPr>
          <w:rFonts w:ascii="宋体" w:hAnsi="宋体"/>
          <w:noProof/>
          <w:sz w:val="28"/>
          <w:szCs w:val="24"/>
        </w:rPr>
      </w:pPr>
      <w:hyperlink w:anchor="_Toc124325904" w:history="1">
        <w:r w:rsidR="007A33D9" w:rsidRPr="00214C11">
          <w:rPr>
            <w:rFonts w:ascii="宋体" w:hAnsi="宋体" w:hint="eastAsia"/>
            <w:noProof/>
            <w:sz w:val="28"/>
            <w:szCs w:val="32"/>
          </w:rPr>
          <w:t>二十、其他事项</w:t>
        </w:r>
        <w:r w:rsidR="007A33D9" w:rsidRPr="00214C11">
          <w:rPr>
            <w:rFonts w:ascii="宋体" w:hAnsi="宋体" w:hint="eastAsia"/>
            <w:noProof/>
            <w:webHidden/>
            <w:sz w:val="28"/>
            <w:szCs w:val="24"/>
          </w:rPr>
          <w:tab/>
        </w:r>
        <w:r w:rsidR="00916854" w:rsidRPr="00214C11">
          <w:rPr>
            <w:rFonts w:ascii="宋体" w:hAnsi="宋体" w:hint="eastAsia"/>
            <w:noProof/>
            <w:webHidden/>
            <w:sz w:val="28"/>
            <w:szCs w:val="24"/>
          </w:rPr>
          <w:t>20-1</w:t>
        </w:r>
      </w:hyperlink>
    </w:p>
    <w:p w:rsidR="007A33D9" w:rsidRPr="00214C11" w:rsidRDefault="003A7EBE" w:rsidP="007A33D9">
      <w:pPr>
        <w:tabs>
          <w:tab w:val="right" w:leader="dot" w:pos="8494"/>
        </w:tabs>
        <w:ind w:leftChars="200" w:left="420"/>
        <w:rPr>
          <w:rFonts w:ascii="宋体" w:hAnsi="宋体"/>
          <w:noProof/>
          <w:sz w:val="28"/>
          <w:szCs w:val="24"/>
        </w:rPr>
      </w:pPr>
      <w:hyperlink w:anchor="_Toc124325905" w:history="1">
        <w:r w:rsidR="007A33D9" w:rsidRPr="00214C11">
          <w:rPr>
            <w:rFonts w:ascii="宋体" w:hAnsi="宋体" w:hint="eastAsia"/>
            <w:noProof/>
            <w:sz w:val="28"/>
            <w:szCs w:val="32"/>
          </w:rPr>
          <w:t>二十一、托管协议的签订</w:t>
        </w:r>
        <w:r w:rsidR="007A33D9" w:rsidRPr="00214C11">
          <w:rPr>
            <w:rFonts w:ascii="宋体" w:hAnsi="宋体" w:hint="eastAsia"/>
            <w:noProof/>
            <w:webHidden/>
            <w:sz w:val="28"/>
            <w:szCs w:val="24"/>
          </w:rPr>
          <w:tab/>
        </w:r>
        <w:r w:rsidR="00916854" w:rsidRPr="00214C11">
          <w:rPr>
            <w:rFonts w:ascii="宋体" w:hAnsi="宋体" w:hint="eastAsia"/>
            <w:noProof/>
            <w:webHidden/>
            <w:sz w:val="28"/>
            <w:szCs w:val="24"/>
          </w:rPr>
          <w:t>21-1</w:t>
        </w:r>
      </w:hyperlink>
    </w:p>
    <w:p w:rsidR="007A33D9" w:rsidRPr="00214C11" w:rsidRDefault="00796CAC" w:rsidP="007A33D9">
      <w:pPr>
        <w:rPr>
          <w:rFonts w:ascii="宋体" w:hAnsi="宋体"/>
          <w:sz w:val="24"/>
        </w:rPr>
      </w:pPr>
      <w:r w:rsidRPr="00214C11">
        <w:rPr>
          <w:rFonts w:ascii="宋体" w:hAnsi="宋体" w:hint="eastAsia"/>
          <w:sz w:val="28"/>
        </w:rPr>
        <w:lastRenderedPageBreak/>
        <w:fldChar w:fldCharType="end"/>
      </w:r>
    </w:p>
    <w:p w:rsidR="00187081" w:rsidRPr="00214C11" w:rsidRDefault="00796CAC" w:rsidP="0067482A">
      <w:pPr>
        <w:widowControl/>
        <w:adjustRightInd w:val="0"/>
        <w:snapToGrid w:val="0"/>
        <w:spacing w:line="360" w:lineRule="auto"/>
        <w:ind w:firstLineChars="200" w:firstLine="480"/>
        <w:rPr>
          <w:rFonts w:ascii="宋体" w:hAnsi="宋体"/>
          <w:kern w:val="0"/>
          <w:sz w:val="24"/>
        </w:rPr>
      </w:pPr>
      <w:r w:rsidRPr="00214C11">
        <w:rPr>
          <w:rFonts w:ascii="宋体" w:hAnsi="宋体" w:hint="eastAsia"/>
          <w:kern w:val="0"/>
          <w:sz w:val="24"/>
        </w:rPr>
        <w:t>鉴于</w:t>
      </w:r>
      <w:r w:rsidR="007A33D9" w:rsidRPr="00214C11">
        <w:rPr>
          <w:rFonts w:ascii="宋体" w:hAnsi="宋体" w:cs="Arial" w:hint="eastAsia"/>
          <w:kern w:val="0"/>
          <w:sz w:val="24"/>
          <w:szCs w:val="24"/>
        </w:rPr>
        <w:t>博时</w:t>
      </w:r>
      <w:r w:rsidRPr="00214C11">
        <w:rPr>
          <w:rFonts w:ascii="宋体" w:hAnsi="宋体" w:hint="eastAsia"/>
          <w:kern w:val="0"/>
          <w:sz w:val="24"/>
        </w:rPr>
        <w:t>基金管理有限公司系一家依照中国法律合法成立并有效存续的有限责任公司，按照相关法律法规的规定具备担任基金管理人的资格和能力，拟募集发行</w:t>
      </w:r>
      <w:r w:rsidR="00B81067" w:rsidRPr="00214C11">
        <w:rPr>
          <w:rFonts w:ascii="宋体" w:hAnsi="宋体" w:cs="Arial" w:hint="eastAsia"/>
          <w:kern w:val="0"/>
          <w:sz w:val="24"/>
          <w:szCs w:val="24"/>
        </w:rPr>
        <w:t>博时</w:t>
      </w:r>
      <w:r w:rsidR="009E7BAF" w:rsidRPr="00214C11">
        <w:rPr>
          <w:rFonts w:ascii="宋体" w:hAnsi="宋体" w:cs="Arial" w:hint="eastAsia"/>
          <w:kern w:val="0"/>
          <w:sz w:val="24"/>
          <w:szCs w:val="24"/>
        </w:rPr>
        <w:t>睿丰</w:t>
      </w:r>
      <w:r w:rsidR="00DC3C97" w:rsidRPr="00214C11">
        <w:rPr>
          <w:rFonts w:ascii="宋体" w:hAnsi="宋体" w:cs="Arial" w:hint="eastAsia"/>
          <w:kern w:val="0"/>
          <w:sz w:val="24"/>
          <w:szCs w:val="24"/>
        </w:rPr>
        <w:t>灵活配置定期开放</w:t>
      </w:r>
      <w:r w:rsidR="009E7BAF" w:rsidRPr="00214C11">
        <w:rPr>
          <w:rFonts w:ascii="宋体" w:hAnsi="宋体" w:cs="Arial" w:hint="eastAsia"/>
          <w:kern w:val="0"/>
          <w:sz w:val="24"/>
          <w:szCs w:val="24"/>
        </w:rPr>
        <w:t>混合型</w:t>
      </w:r>
      <w:r w:rsidRPr="00214C11">
        <w:rPr>
          <w:rFonts w:ascii="宋体" w:hAnsi="宋体" w:hint="eastAsia"/>
          <w:kern w:val="0"/>
          <w:sz w:val="24"/>
        </w:rPr>
        <w:t>证券投资基金</w:t>
      </w:r>
      <w:r w:rsidR="007A33D9" w:rsidRPr="00214C11">
        <w:rPr>
          <w:rFonts w:ascii="宋体" w:hAnsi="宋体" w:cs="Arial" w:hint="eastAsia"/>
          <w:kern w:val="0"/>
          <w:sz w:val="24"/>
          <w:szCs w:val="24"/>
        </w:rPr>
        <w:t>（以下简称“本基金”）</w:t>
      </w:r>
      <w:r w:rsidRPr="00214C11">
        <w:rPr>
          <w:rFonts w:ascii="宋体" w:hAnsi="宋体" w:hint="eastAsia"/>
          <w:kern w:val="0"/>
          <w:sz w:val="24"/>
        </w:rPr>
        <w:t>；</w:t>
      </w:r>
    </w:p>
    <w:p w:rsidR="00187081" w:rsidRPr="00214C11" w:rsidRDefault="00796CAC" w:rsidP="0067482A">
      <w:pPr>
        <w:widowControl/>
        <w:adjustRightInd w:val="0"/>
        <w:snapToGrid w:val="0"/>
        <w:spacing w:line="360" w:lineRule="auto"/>
        <w:ind w:firstLineChars="200" w:firstLine="480"/>
        <w:rPr>
          <w:rFonts w:ascii="宋体" w:hAnsi="宋体"/>
          <w:kern w:val="0"/>
          <w:sz w:val="24"/>
        </w:rPr>
      </w:pPr>
      <w:r w:rsidRPr="00214C11">
        <w:rPr>
          <w:rFonts w:ascii="宋体" w:hAnsi="宋体" w:hint="eastAsia"/>
          <w:kern w:val="0"/>
          <w:sz w:val="24"/>
        </w:rPr>
        <w:t>鉴于中国建设银行股份有限公司系一家依照中国法律合法成立并有效存续的银行，按照相关法律法规的规定具备担任基金托管人的资格和能力；</w:t>
      </w:r>
    </w:p>
    <w:p w:rsidR="00187081" w:rsidRPr="00214C11" w:rsidRDefault="00796CAC" w:rsidP="0067482A">
      <w:pPr>
        <w:widowControl/>
        <w:adjustRightInd w:val="0"/>
        <w:snapToGrid w:val="0"/>
        <w:spacing w:line="360" w:lineRule="auto"/>
        <w:ind w:firstLineChars="200" w:firstLine="480"/>
        <w:rPr>
          <w:rFonts w:ascii="宋体" w:hAnsi="宋体"/>
          <w:kern w:val="0"/>
          <w:sz w:val="24"/>
        </w:rPr>
      </w:pPr>
      <w:r w:rsidRPr="00214C11">
        <w:rPr>
          <w:rFonts w:ascii="宋体" w:hAnsi="宋体" w:hint="eastAsia"/>
          <w:kern w:val="0"/>
          <w:sz w:val="24"/>
        </w:rPr>
        <w:t>鉴于</w:t>
      </w:r>
      <w:r w:rsidR="007A33D9" w:rsidRPr="00214C11">
        <w:rPr>
          <w:rFonts w:ascii="宋体" w:hAnsi="宋体" w:cs="Arial" w:hint="eastAsia"/>
          <w:kern w:val="0"/>
          <w:sz w:val="24"/>
          <w:szCs w:val="24"/>
        </w:rPr>
        <w:t>博时</w:t>
      </w:r>
      <w:r w:rsidRPr="00214C11">
        <w:rPr>
          <w:rFonts w:ascii="宋体" w:hAnsi="宋体" w:hint="eastAsia"/>
          <w:kern w:val="0"/>
          <w:sz w:val="24"/>
        </w:rPr>
        <w:t>基金管理有限公司拟担任</w:t>
      </w:r>
      <w:r w:rsidR="00B81067" w:rsidRPr="00214C11">
        <w:rPr>
          <w:rFonts w:ascii="宋体" w:hAnsi="宋体" w:cs="Arial" w:hint="eastAsia"/>
          <w:kern w:val="0"/>
          <w:sz w:val="24"/>
          <w:szCs w:val="24"/>
        </w:rPr>
        <w:t>博时</w:t>
      </w:r>
      <w:r w:rsidR="009E7BAF" w:rsidRPr="00214C11">
        <w:rPr>
          <w:rFonts w:ascii="宋体" w:hAnsi="宋体" w:cs="Arial" w:hint="eastAsia"/>
          <w:kern w:val="0"/>
          <w:sz w:val="24"/>
          <w:szCs w:val="24"/>
        </w:rPr>
        <w:t>睿丰</w:t>
      </w:r>
      <w:r w:rsidR="00DC3C97" w:rsidRPr="00214C11">
        <w:rPr>
          <w:rFonts w:ascii="宋体" w:hAnsi="宋体" w:cs="Arial" w:hint="eastAsia"/>
          <w:kern w:val="0"/>
          <w:sz w:val="24"/>
          <w:szCs w:val="24"/>
        </w:rPr>
        <w:t>灵活配置定期开放</w:t>
      </w:r>
      <w:r w:rsidR="009E7BAF" w:rsidRPr="00214C11">
        <w:rPr>
          <w:rFonts w:ascii="宋体" w:hAnsi="宋体" w:cs="Arial" w:hint="eastAsia"/>
          <w:kern w:val="0"/>
          <w:sz w:val="24"/>
          <w:szCs w:val="24"/>
        </w:rPr>
        <w:t>混合型</w:t>
      </w:r>
      <w:r w:rsidRPr="00214C11">
        <w:rPr>
          <w:rFonts w:ascii="宋体" w:hAnsi="宋体" w:hint="eastAsia"/>
          <w:kern w:val="0"/>
          <w:sz w:val="24"/>
        </w:rPr>
        <w:t>证券投资基金的基金管理人，中国建设银行股份有限公司拟担任</w:t>
      </w:r>
      <w:r w:rsidR="00B81067" w:rsidRPr="00214C11">
        <w:rPr>
          <w:rFonts w:ascii="宋体" w:hAnsi="宋体" w:cs="Arial" w:hint="eastAsia"/>
          <w:kern w:val="0"/>
          <w:sz w:val="24"/>
          <w:szCs w:val="24"/>
        </w:rPr>
        <w:t>博时</w:t>
      </w:r>
      <w:r w:rsidR="009E7BAF" w:rsidRPr="00214C11">
        <w:rPr>
          <w:rFonts w:ascii="宋体" w:hAnsi="宋体" w:cs="Arial" w:hint="eastAsia"/>
          <w:kern w:val="0"/>
          <w:sz w:val="24"/>
          <w:szCs w:val="24"/>
        </w:rPr>
        <w:t>睿丰</w:t>
      </w:r>
      <w:r w:rsidR="00DC3C97" w:rsidRPr="00214C11">
        <w:rPr>
          <w:rFonts w:ascii="宋体" w:hAnsi="宋体" w:cs="Arial" w:hint="eastAsia"/>
          <w:kern w:val="0"/>
          <w:sz w:val="24"/>
          <w:szCs w:val="24"/>
        </w:rPr>
        <w:t>灵活配置定期开放</w:t>
      </w:r>
      <w:r w:rsidR="009E7BAF" w:rsidRPr="00214C11">
        <w:rPr>
          <w:rFonts w:ascii="宋体" w:hAnsi="宋体" w:cs="Arial" w:hint="eastAsia"/>
          <w:kern w:val="0"/>
          <w:sz w:val="24"/>
          <w:szCs w:val="24"/>
        </w:rPr>
        <w:t>混合型</w:t>
      </w:r>
      <w:r w:rsidRPr="00214C11">
        <w:rPr>
          <w:rFonts w:ascii="宋体" w:hAnsi="宋体" w:hint="eastAsia"/>
          <w:kern w:val="0"/>
          <w:sz w:val="24"/>
        </w:rPr>
        <w:t>证券投资基金的基金托管人；</w:t>
      </w:r>
    </w:p>
    <w:p w:rsidR="00187081" w:rsidRPr="00214C11" w:rsidRDefault="00796CAC" w:rsidP="0067482A">
      <w:pPr>
        <w:widowControl/>
        <w:adjustRightInd w:val="0"/>
        <w:snapToGrid w:val="0"/>
        <w:spacing w:line="360" w:lineRule="auto"/>
        <w:ind w:firstLineChars="200" w:firstLine="480"/>
        <w:rPr>
          <w:rFonts w:ascii="宋体" w:hAnsi="宋体"/>
          <w:kern w:val="0"/>
          <w:sz w:val="24"/>
        </w:rPr>
      </w:pPr>
      <w:r w:rsidRPr="00214C11">
        <w:rPr>
          <w:rFonts w:ascii="宋体" w:hAnsi="宋体" w:hint="eastAsia"/>
          <w:kern w:val="0"/>
          <w:sz w:val="24"/>
        </w:rPr>
        <w:t>为明确</w:t>
      </w:r>
      <w:r w:rsidR="00B81067" w:rsidRPr="00214C11">
        <w:rPr>
          <w:rFonts w:ascii="宋体" w:hAnsi="宋体" w:cs="Arial" w:hint="eastAsia"/>
          <w:kern w:val="0"/>
          <w:sz w:val="24"/>
          <w:szCs w:val="24"/>
        </w:rPr>
        <w:t>博时</w:t>
      </w:r>
      <w:r w:rsidR="009E7BAF" w:rsidRPr="00214C11">
        <w:rPr>
          <w:rFonts w:ascii="宋体" w:hAnsi="宋体" w:cs="Arial" w:hint="eastAsia"/>
          <w:kern w:val="0"/>
          <w:sz w:val="24"/>
          <w:szCs w:val="24"/>
        </w:rPr>
        <w:t>睿丰</w:t>
      </w:r>
      <w:r w:rsidR="00DC3C97" w:rsidRPr="00214C11">
        <w:rPr>
          <w:rFonts w:ascii="宋体" w:hAnsi="宋体" w:cs="Arial" w:hint="eastAsia"/>
          <w:kern w:val="0"/>
          <w:sz w:val="24"/>
          <w:szCs w:val="24"/>
        </w:rPr>
        <w:t>灵活配置定期开放</w:t>
      </w:r>
      <w:r w:rsidR="009E7BAF" w:rsidRPr="00214C11">
        <w:rPr>
          <w:rFonts w:ascii="宋体" w:hAnsi="宋体" w:cs="Arial" w:hint="eastAsia"/>
          <w:kern w:val="0"/>
          <w:sz w:val="24"/>
          <w:szCs w:val="24"/>
        </w:rPr>
        <w:t>混合型</w:t>
      </w:r>
      <w:r w:rsidRPr="00214C11">
        <w:rPr>
          <w:rFonts w:ascii="宋体" w:hAnsi="宋体" w:hint="eastAsia"/>
          <w:kern w:val="0"/>
          <w:sz w:val="24"/>
        </w:rPr>
        <w:t>证券投资基金的基金管理人和基金托管人之间的权利义务关系，特制订本托管协议；</w:t>
      </w:r>
    </w:p>
    <w:p w:rsidR="00187081" w:rsidRPr="00214C11" w:rsidRDefault="00796CAC" w:rsidP="0067482A">
      <w:pPr>
        <w:widowControl/>
        <w:adjustRightInd w:val="0"/>
        <w:snapToGrid w:val="0"/>
        <w:spacing w:line="360" w:lineRule="auto"/>
        <w:ind w:firstLineChars="200" w:firstLine="480"/>
        <w:rPr>
          <w:rFonts w:ascii="宋体" w:hAnsi="宋体"/>
          <w:kern w:val="0"/>
          <w:sz w:val="24"/>
          <w:lang w:val="en-GB"/>
        </w:rPr>
      </w:pPr>
      <w:r w:rsidRPr="00214C11">
        <w:rPr>
          <w:rFonts w:ascii="宋体" w:hAnsi="宋体" w:hint="eastAsia"/>
          <w:kern w:val="0"/>
          <w:sz w:val="24"/>
          <w:lang w:val="en-GB"/>
        </w:rPr>
        <w:t>除非另有约定，</w:t>
      </w:r>
      <w:r w:rsidR="007A33D9" w:rsidRPr="00214C11">
        <w:rPr>
          <w:rFonts w:ascii="宋体" w:hAnsi="宋体" w:cs="Arial" w:hint="eastAsia"/>
          <w:kern w:val="0"/>
          <w:sz w:val="24"/>
          <w:szCs w:val="24"/>
          <w:lang w:val="en-GB"/>
        </w:rPr>
        <w:t>《</w:t>
      </w:r>
      <w:r w:rsidR="00B81067" w:rsidRPr="00214C11">
        <w:rPr>
          <w:rFonts w:ascii="宋体" w:hAnsi="宋体" w:cs="Arial" w:hint="eastAsia"/>
          <w:kern w:val="0"/>
          <w:sz w:val="24"/>
          <w:szCs w:val="24"/>
          <w:lang w:val="en-GB"/>
        </w:rPr>
        <w:t>博时</w:t>
      </w:r>
      <w:r w:rsidR="009E7BAF" w:rsidRPr="00214C11">
        <w:rPr>
          <w:rFonts w:ascii="宋体" w:hAnsi="宋体" w:cs="Arial" w:hint="eastAsia"/>
          <w:kern w:val="0"/>
          <w:sz w:val="24"/>
          <w:szCs w:val="24"/>
          <w:lang w:val="en-GB"/>
        </w:rPr>
        <w:t>睿丰</w:t>
      </w:r>
      <w:r w:rsidR="00DC3C97" w:rsidRPr="00214C11">
        <w:rPr>
          <w:rFonts w:ascii="宋体" w:hAnsi="宋体" w:cs="Arial" w:hint="eastAsia"/>
          <w:kern w:val="0"/>
          <w:sz w:val="24"/>
          <w:szCs w:val="24"/>
          <w:lang w:val="en-GB"/>
        </w:rPr>
        <w:t>灵活配置定期开放</w:t>
      </w:r>
      <w:r w:rsidR="009E7BAF" w:rsidRPr="00214C11">
        <w:rPr>
          <w:rFonts w:ascii="宋体" w:hAnsi="宋体" w:cs="Arial" w:hint="eastAsia"/>
          <w:kern w:val="0"/>
          <w:sz w:val="24"/>
          <w:szCs w:val="24"/>
          <w:lang w:val="en-GB"/>
        </w:rPr>
        <w:t>混合型</w:t>
      </w:r>
      <w:r w:rsidR="007A33D9" w:rsidRPr="00214C11">
        <w:rPr>
          <w:rFonts w:ascii="宋体" w:hAnsi="宋体" w:cs="Arial" w:hint="eastAsia"/>
          <w:kern w:val="0"/>
          <w:sz w:val="24"/>
          <w:szCs w:val="24"/>
          <w:lang w:val="en-GB"/>
        </w:rPr>
        <w:t>证券投资基金基金合同》</w:t>
      </w:r>
      <w:r w:rsidRPr="00214C11">
        <w:rPr>
          <w:rFonts w:ascii="宋体" w:hAnsi="宋体"/>
          <w:kern w:val="0"/>
          <w:sz w:val="24"/>
          <w:lang w:val="en-GB"/>
        </w:rPr>
        <w:t>(以下简称“基金合同”)中定义的术语在用于本托管协议时应具有相同的含义；若有抵触应以《基金合同》为准，并依其</w:t>
      </w:r>
      <w:r w:rsidRPr="00214C11">
        <w:rPr>
          <w:rFonts w:ascii="宋体" w:hAnsi="宋体" w:hint="eastAsia"/>
          <w:kern w:val="0"/>
          <w:sz w:val="24"/>
        </w:rPr>
        <w:t>条款</w:t>
      </w:r>
      <w:r w:rsidRPr="00214C11">
        <w:rPr>
          <w:rFonts w:ascii="宋体" w:hAnsi="宋体" w:hint="eastAsia"/>
          <w:kern w:val="0"/>
          <w:sz w:val="24"/>
          <w:lang w:val="en-GB"/>
        </w:rPr>
        <w:t>解释。</w:t>
      </w:r>
    </w:p>
    <w:p w:rsidR="00187081" w:rsidRPr="00214C11" w:rsidRDefault="00187081" w:rsidP="0067482A">
      <w:pPr>
        <w:spacing w:line="360" w:lineRule="auto"/>
        <w:rPr>
          <w:rFonts w:ascii="宋体" w:hAnsi="宋体"/>
          <w:sz w:val="24"/>
          <w:lang w:val="en-GB"/>
        </w:rPr>
      </w:pPr>
    </w:p>
    <w:p w:rsidR="001D1693" w:rsidRPr="00214C11" w:rsidRDefault="001D1693" w:rsidP="00310C11">
      <w:pPr>
        <w:keepNext/>
        <w:keepLines/>
        <w:spacing w:before="260" w:after="260" w:line="360" w:lineRule="auto"/>
        <w:jc w:val="center"/>
        <w:outlineLvl w:val="1"/>
        <w:rPr>
          <w:rFonts w:ascii="宋体" w:hAnsi="宋体"/>
          <w:b/>
          <w:sz w:val="32"/>
        </w:rPr>
        <w:sectPr w:rsidR="001D1693" w:rsidRPr="00214C11">
          <w:headerReference w:type="default" r:id="rId10"/>
          <w:pgSz w:w="11906" w:h="16838" w:code="9"/>
          <w:pgMar w:top="1418" w:right="1701" w:bottom="1418" w:left="1701" w:header="851" w:footer="992" w:gutter="0"/>
          <w:cols w:space="425"/>
          <w:docGrid w:type="lines" w:linePitch="312"/>
        </w:sectPr>
      </w:pPr>
      <w:bookmarkStart w:id="0" w:name="_Toc124325885"/>
    </w:p>
    <w:p w:rsidR="00187081" w:rsidRPr="00214C11" w:rsidRDefault="00796CAC" w:rsidP="0067482A">
      <w:pPr>
        <w:keepNext/>
        <w:keepLines/>
        <w:spacing w:before="260" w:after="260" w:line="360" w:lineRule="auto"/>
        <w:jc w:val="center"/>
        <w:outlineLvl w:val="1"/>
        <w:rPr>
          <w:rFonts w:ascii="宋体" w:hAnsi="宋体"/>
        </w:rPr>
      </w:pPr>
      <w:r w:rsidRPr="00214C11">
        <w:rPr>
          <w:rFonts w:ascii="宋体" w:hAnsi="宋体" w:hint="eastAsia"/>
          <w:b/>
          <w:sz w:val="32"/>
        </w:rPr>
        <w:lastRenderedPageBreak/>
        <w:t>一、基金托管协议当事人</w:t>
      </w:r>
      <w:bookmarkEnd w:id="0"/>
    </w:p>
    <w:p w:rsidR="00187081" w:rsidRPr="00214C11" w:rsidRDefault="00796CAC" w:rsidP="0067482A">
      <w:pPr>
        <w:adjustRightInd w:val="0"/>
        <w:snapToGrid w:val="0"/>
        <w:spacing w:line="360" w:lineRule="auto"/>
        <w:ind w:firstLineChars="200" w:firstLine="480"/>
        <w:outlineLvl w:val="0"/>
        <w:rPr>
          <w:rFonts w:ascii="宋体" w:hAnsi="宋体"/>
          <w:sz w:val="24"/>
        </w:rPr>
      </w:pPr>
      <w:r w:rsidRPr="00214C11">
        <w:rPr>
          <w:rFonts w:ascii="宋体" w:hAnsi="宋体" w:hint="eastAsia"/>
          <w:sz w:val="24"/>
        </w:rPr>
        <w:t>（一）基金管理人</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名称：</w:t>
      </w:r>
      <w:r w:rsidR="007A33D9" w:rsidRPr="00214C11">
        <w:rPr>
          <w:rFonts w:ascii="宋体" w:hAnsi="宋体" w:cs="Arial" w:hint="eastAsia"/>
          <w:sz w:val="24"/>
          <w:szCs w:val="24"/>
        </w:rPr>
        <w:t>博时</w:t>
      </w:r>
      <w:r w:rsidRPr="00214C11">
        <w:rPr>
          <w:rFonts w:ascii="宋体" w:hAnsi="宋体" w:hint="eastAsia"/>
          <w:sz w:val="24"/>
        </w:rPr>
        <w:t>基金管理有限公司</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注册地址：</w:t>
      </w:r>
      <w:r w:rsidR="007A33D9" w:rsidRPr="00214C11">
        <w:rPr>
          <w:rFonts w:ascii="宋体" w:hAnsi="宋体" w:cs="Arial" w:hint="eastAsia"/>
          <w:bCs/>
          <w:sz w:val="24"/>
          <w:szCs w:val="24"/>
        </w:rPr>
        <w:t>广东省深圳市福田区深南大道</w:t>
      </w:r>
      <w:r w:rsidR="007A33D9" w:rsidRPr="00214C11">
        <w:rPr>
          <w:rFonts w:ascii="宋体" w:hAnsi="宋体" w:cs="Arial"/>
          <w:bCs/>
          <w:sz w:val="24"/>
          <w:szCs w:val="24"/>
        </w:rPr>
        <w:t xml:space="preserve"> 7088 </w:t>
      </w:r>
      <w:r w:rsidR="007A33D9" w:rsidRPr="00214C11">
        <w:rPr>
          <w:rFonts w:ascii="宋体" w:hAnsi="宋体" w:cs="Arial" w:hint="eastAsia"/>
          <w:bCs/>
          <w:sz w:val="24"/>
          <w:szCs w:val="24"/>
        </w:rPr>
        <w:t>号招商银行大厦</w:t>
      </w:r>
      <w:r w:rsidR="007A33D9" w:rsidRPr="00214C11">
        <w:rPr>
          <w:rFonts w:ascii="宋体" w:hAnsi="宋体" w:cs="Arial"/>
          <w:bCs/>
          <w:sz w:val="24"/>
          <w:szCs w:val="24"/>
        </w:rPr>
        <w:t xml:space="preserve">29 </w:t>
      </w:r>
      <w:r w:rsidR="007A33D9" w:rsidRPr="00214C11">
        <w:rPr>
          <w:rFonts w:ascii="宋体" w:hAnsi="宋体" w:cs="Arial" w:hint="eastAsia"/>
          <w:bCs/>
          <w:sz w:val="24"/>
          <w:szCs w:val="24"/>
        </w:rPr>
        <w:t>层</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办公地址：</w:t>
      </w:r>
      <w:r w:rsidR="007A33D9" w:rsidRPr="00214C11">
        <w:rPr>
          <w:rFonts w:ascii="宋体" w:hAnsi="宋体" w:cs="Arial" w:hint="eastAsia"/>
          <w:bCs/>
          <w:sz w:val="24"/>
          <w:szCs w:val="24"/>
        </w:rPr>
        <w:t>广东省深圳市福田区深南大道</w:t>
      </w:r>
      <w:r w:rsidR="007A33D9" w:rsidRPr="00214C11">
        <w:rPr>
          <w:rFonts w:ascii="宋体" w:hAnsi="宋体" w:cs="Arial"/>
          <w:bCs/>
          <w:sz w:val="24"/>
          <w:szCs w:val="24"/>
        </w:rPr>
        <w:t xml:space="preserve"> 7088 </w:t>
      </w:r>
      <w:r w:rsidR="007A33D9" w:rsidRPr="00214C11">
        <w:rPr>
          <w:rFonts w:ascii="宋体" w:hAnsi="宋体" w:cs="Arial" w:hint="eastAsia"/>
          <w:bCs/>
          <w:sz w:val="24"/>
          <w:szCs w:val="24"/>
        </w:rPr>
        <w:t>号招商银行大厦</w:t>
      </w:r>
      <w:r w:rsidR="007A33D9" w:rsidRPr="00214C11">
        <w:rPr>
          <w:rFonts w:ascii="宋体" w:hAnsi="宋体" w:cs="Arial"/>
          <w:bCs/>
          <w:sz w:val="24"/>
          <w:szCs w:val="24"/>
        </w:rPr>
        <w:t xml:space="preserve">29 </w:t>
      </w:r>
      <w:r w:rsidR="007A33D9" w:rsidRPr="00214C11">
        <w:rPr>
          <w:rFonts w:ascii="宋体" w:hAnsi="宋体" w:cs="Arial" w:hint="eastAsia"/>
          <w:bCs/>
          <w:sz w:val="24"/>
          <w:szCs w:val="24"/>
        </w:rPr>
        <w:t>层</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邮政编码：</w:t>
      </w:r>
      <w:r w:rsidR="007A33D9" w:rsidRPr="00214C11">
        <w:rPr>
          <w:rFonts w:ascii="宋体" w:hAnsi="宋体" w:cs="Arial" w:hint="eastAsia"/>
          <w:sz w:val="24"/>
          <w:szCs w:val="24"/>
        </w:rPr>
        <w:t>518040</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法定代表人：</w:t>
      </w:r>
      <w:r w:rsidR="008360A9" w:rsidRPr="00214C11">
        <w:rPr>
          <w:rFonts w:ascii="宋体" w:hAnsi="宋体" w:cs="Arial" w:hint="eastAsia"/>
          <w:bCs/>
          <w:sz w:val="24"/>
          <w:szCs w:val="24"/>
        </w:rPr>
        <w:t>张光华</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成立日期：</w:t>
      </w:r>
      <w:r w:rsidR="007A33D9" w:rsidRPr="00214C11">
        <w:rPr>
          <w:rFonts w:ascii="宋体" w:hAnsi="宋体" w:cs="Arial" w:hint="eastAsia"/>
          <w:sz w:val="24"/>
          <w:szCs w:val="24"/>
        </w:rPr>
        <w:t>1998年7月13</w:t>
      </w:r>
      <w:r w:rsidRPr="00214C11">
        <w:rPr>
          <w:rFonts w:ascii="宋体" w:hint="eastAsia"/>
        </w:rPr>
        <w:t>日</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批准设立机关及批准设立文号：中国证监会证监基字</w:t>
      </w:r>
      <w:r w:rsidRPr="00214C11">
        <w:rPr>
          <w:rFonts w:ascii="宋体"/>
        </w:rPr>
        <w:t>[</w:t>
      </w:r>
      <w:r w:rsidR="007A33D9" w:rsidRPr="00214C11">
        <w:rPr>
          <w:rFonts w:ascii="宋体" w:hAnsi="宋体" w:cs="Arial" w:hint="eastAsia"/>
          <w:sz w:val="24"/>
          <w:szCs w:val="24"/>
        </w:rPr>
        <w:t>1998]26</w:t>
      </w:r>
      <w:r w:rsidRPr="00214C11">
        <w:rPr>
          <w:rFonts w:ascii="宋体" w:hAnsi="宋体" w:hint="eastAsia"/>
          <w:sz w:val="24"/>
        </w:rPr>
        <w:t>号</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组织形式：</w:t>
      </w:r>
      <w:r w:rsidR="007A33D9" w:rsidRPr="00214C11">
        <w:rPr>
          <w:rFonts w:ascii="宋体" w:hAnsi="宋体" w:cs="Arial" w:hint="eastAsia"/>
          <w:bCs/>
          <w:sz w:val="24"/>
          <w:szCs w:val="24"/>
        </w:rPr>
        <w:t>有限责任公司</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注册资本：</w:t>
      </w:r>
      <w:r w:rsidR="007A33D9" w:rsidRPr="00214C11">
        <w:rPr>
          <w:rFonts w:ascii="宋体" w:hAnsi="宋体" w:cs="Arial" w:hint="eastAsia"/>
          <w:bCs/>
          <w:sz w:val="24"/>
          <w:szCs w:val="24"/>
        </w:rPr>
        <w:t>2.5</w:t>
      </w:r>
      <w:r w:rsidRPr="00214C11">
        <w:rPr>
          <w:rFonts w:ascii="宋体" w:hAnsi="宋体" w:hint="eastAsia"/>
          <w:sz w:val="24"/>
        </w:rPr>
        <w:t>亿元</w:t>
      </w:r>
      <w:r w:rsidR="007A33D9" w:rsidRPr="00214C11">
        <w:rPr>
          <w:rFonts w:ascii="宋体" w:hAnsi="宋体" w:cs="Arial" w:hint="eastAsia"/>
          <w:sz w:val="24"/>
          <w:szCs w:val="24"/>
        </w:rPr>
        <w:t>人民币</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存续期间：</w:t>
      </w:r>
      <w:r w:rsidR="007A33D9" w:rsidRPr="00214C11">
        <w:rPr>
          <w:rFonts w:ascii="宋体" w:hAnsi="宋体" w:cs="Arial" w:hint="eastAsia"/>
          <w:bCs/>
          <w:sz w:val="24"/>
          <w:szCs w:val="24"/>
        </w:rPr>
        <w:t>持续经营</w:t>
      </w:r>
    </w:p>
    <w:p w:rsidR="007A33D9" w:rsidRPr="00214C11" w:rsidRDefault="00796CAC" w:rsidP="007A33D9">
      <w:pPr>
        <w:adjustRightInd w:val="0"/>
        <w:snapToGrid w:val="0"/>
        <w:spacing w:line="360" w:lineRule="auto"/>
        <w:ind w:firstLineChars="200" w:firstLine="480"/>
        <w:rPr>
          <w:rFonts w:ascii="宋体" w:hAnsi="宋体" w:cs="Arial"/>
          <w:sz w:val="24"/>
          <w:szCs w:val="24"/>
          <w:u w:val="single"/>
        </w:rPr>
      </w:pPr>
      <w:r w:rsidRPr="00214C11">
        <w:rPr>
          <w:rFonts w:ascii="宋体" w:hAnsi="宋体" w:hint="eastAsia"/>
          <w:sz w:val="24"/>
        </w:rPr>
        <w:t>经营范围：</w:t>
      </w:r>
      <w:r w:rsidR="007A33D9" w:rsidRPr="00214C11">
        <w:rPr>
          <w:rFonts w:ascii="宋体" w:hAnsi="宋体" w:cs="Arial" w:hint="eastAsia"/>
          <w:sz w:val="24"/>
          <w:szCs w:val="24"/>
        </w:rPr>
        <w:t>发起设立基金、基金管理及中国证监会批准的其他业务</w:t>
      </w:r>
    </w:p>
    <w:p w:rsidR="00187081" w:rsidRPr="00214C11" w:rsidRDefault="00796CAC" w:rsidP="0067482A">
      <w:pPr>
        <w:adjustRightInd w:val="0"/>
        <w:snapToGrid w:val="0"/>
        <w:spacing w:line="360" w:lineRule="auto"/>
        <w:ind w:firstLineChars="200" w:firstLine="480"/>
        <w:outlineLvl w:val="0"/>
        <w:rPr>
          <w:rFonts w:ascii="宋体" w:hAnsi="宋体"/>
          <w:sz w:val="24"/>
        </w:rPr>
      </w:pPr>
      <w:r w:rsidRPr="00214C11">
        <w:rPr>
          <w:rFonts w:ascii="宋体" w:hAnsi="宋体" w:hint="eastAsia"/>
          <w:sz w:val="24"/>
        </w:rPr>
        <w:t>（二）基金托管人</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名称：中国建设银行股份有限公司</w:t>
      </w:r>
      <w:r w:rsidRPr="00214C11">
        <w:rPr>
          <w:rFonts w:ascii="宋体" w:hAnsi="宋体"/>
          <w:sz w:val="24"/>
        </w:rPr>
        <w:t>(简称：中国建设银行)</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住所：北京市西城区金融大街</w:t>
      </w:r>
      <w:r w:rsidRPr="00214C11">
        <w:rPr>
          <w:rFonts w:ascii="宋体" w:hAnsi="宋体"/>
          <w:sz w:val="24"/>
        </w:rPr>
        <w:t>25号</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办公地址：北京市西城区闹市口大街</w:t>
      </w:r>
      <w:r w:rsidRPr="00214C11">
        <w:rPr>
          <w:rFonts w:ascii="宋体" w:hAnsi="宋体"/>
          <w:sz w:val="24"/>
        </w:rPr>
        <w:t>1号院1号楼</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邮政编码：</w:t>
      </w:r>
      <w:r w:rsidRPr="00214C11">
        <w:rPr>
          <w:rFonts w:ascii="宋体" w:hAnsi="宋体"/>
          <w:sz w:val="24"/>
        </w:rPr>
        <w:t>100033</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法定代表人：王洪章</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214C11">
          <w:rPr>
            <w:rFonts w:ascii="宋体" w:hAnsi="宋体"/>
            <w:sz w:val="24"/>
          </w:rPr>
          <w:t>2004年09月17日</w:t>
        </w:r>
      </w:smartTag>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基金托管业务批准文号：中国证监会证监基字</w:t>
      </w:r>
      <w:r w:rsidRPr="00214C11">
        <w:rPr>
          <w:rFonts w:ascii="宋体" w:hAnsi="宋体"/>
          <w:sz w:val="24"/>
        </w:rPr>
        <w:t>[1998</w:t>
      </w:r>
      <w:bookmarkStart w:id="1" w:name="OLE_LINK3"/>
      <w:r w:rsidRPr="00214C11">
        <w:rPr>
          <w:rFonts w:ascii="宋体" w:hAnsi="宋体"/>
          <w:sz w:val="24"/>
        </w:rPr>
        <w:t>]</w:t>
      </w:r>
      <w:bookmarkEnd w:id="1"/>
      <w:r w:rsidRPr="00214C11">
        <w:rPr>
          <w:rFonts w:ascii="宋体" w:hAnsi="宋体"/>
          <w:sz w:val="24"/>
        </w:rPr>
        <w:t>12号</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组织形式：股份有限公司</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注册资本：贰仟伍佰亿壹仟零玖拾柒万柒仟肆佰捌拾陆元整</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存续期间：持续经营</w:t>
      </w:r>
    </w:p>
    <w:p w:rsidR="00187081" w:rsidRPr="00214C11" w:rsidRDefault="00796CAC" w:rsidP="00BA58BB">
      <w:pPr>
        <w:tabs>
          <w:tab w:val="left" w:pos="540"/>
        </w:tabs>
        <w:adjustRightInd w:val="0"/>
        <w:snapToGrid w:val="0"/>
        <w:spacing w:line="360" w:lineRule="auto"/>
        <w:ind w:firstLineChars="200" w:firstLine="480"/>
        <w:rPr>
          <w:rFonts w:ascii="宋体" w:hAnsi="宋体"/>
          <w:sz w:val="24"/>
        </w:rPr>
      </w:pPr>
      <w:r w:rsidRPr="00214C11">
        <w:rPr>
          <w:rFonts w:ascii="宋体" w:hAnsi="宋体"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1D1693" w:rsidRPr="00214C11" w:rsidRDefault="001D1693" w:rsidP="00026CE5">
      <w:pPr>
        <w:keepNext/>
        <w:keepLines/>
        <w:spacing w:before="260" w:after="260" w:line="360" w:lineRule="auto"/>
        <w:jc w:val="center"/>
        <w:outlineLvl w:val="1"/>
        <w:rPr>
          <w:rFonts w:ascii="宋体" w:hAnsi="宋体"/>
          <w:b/>
          <w:sz w:val="30"/>
        </w:rPr>
        <w:sectPr w:rsidR="001D1693" w:rsidRPr="00214C11" w:rsidSect="00F677E0">
          <w:footerReference w:type="default" r:id="rId11"/>
          <w:pgSz w:w="11906" w:h="16838" w:code="9"/>
          <w:pgMar w:top="1418" w:right="1701" w:bottom="1418" w:left="1701" w:header="851" w:footer="992" w:gutter="0"/>
          <w:pgNumType w:start="1"/>
          <w:cols w:space="425"/>
          <w:docGrid w:type="lines" w:linePitch="312"/>
        </w:sectPr>
      </w:pPr>
      <w:bookmarkStart w:id="2" w:name="_Toc124325887"/>
    </w:p>
    <w:p w:rsidR="00187081" w:rsidRPr="00214C11" w:rsidRDefault="00796CAC" w:rsidP="0067482A">
      <w:pPr>
        <w:keepNext/>
        <w:keepLines/>
        <w:spacing w:before="260" w:after="260" w:line="360" w:lineRule="auto"/>
        <w:jc w:val="center"/>
        <w:outlineLvl w:val="1"/>
        <w:rPr>
          <w:rFonts w:ascii="宋体" w:hAnsi="宋体"/>
          <w:sz w:val="30"/>
        </w:rPr>
      </w:pPr>
      <w:bookmarkStart w:id="3" w:name="_Toc124325886"/>
      <w:r w:rsidRPr="00214C11">
        <w:rPr>
          <w:rFonts w:ascii="宋体" w:hAnsi="宋体" w:hint="eastAsia"/>
          <w:b/>
          <w:sz w:val="30"/>
        </w:rPr>
        <w:lastRenderedPageBreak/>
        <w:t>二、基金托管协议的依据、目的和原则</w:t>
      </w:r>
      <w:bookmarkEnd w:id="3"/>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（一）订立托管协议的依据</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本协议依据《中华人民共和国证券投资基金法》</w:t>
      </w:r>
      <w:r w:rsidRPr="00214C11">
        <w:rPr>
          <w:rFonts w:ascii="宋体" w:hAnsi="宋体"/>
          <w:sz w:val="24"/>
        </w:rPr>
        <w:t>(以下简称“《基金法》”)等有关法律法规、《基金合同》及其他有关规定制订。</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（二）订立托管协议的目的</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（三）订立托管协议的原则</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基金管理人和基金托管人本着平等自愿、诚实信用、充分保护基金份额持有人合法权益的原则，经协商一致，签订本协议。</w:t>
      </w:r>
    </w:p>
    <w:p w:rsidR="00187081" w:rsidRPr="00214C11" w:rsidRDefault="00187081" w:rsidP="0067482A">
      <w:pPr>
        <w:spacing w:line="360" w:lineRule="auto"/>
        <w:rPr>
          <w:rFonts w:ascii="宋体" w:hAnsi="宋体"/>
          <w:sz w:val="24"/>
        </w:rPr>
      </w:pPr>
    </w:p>
    <w:p w:rsidR="001D1693" w:rsidRPr="00214C11" w:rsidRDefault="001D1693" w:rsidP="00310C11">
      <w:pPr>
        <w:keepNext/>
        <w:keepLines/>
        <w:spacing w:before="260" w:after="260" w:line="360" w:lineRule="auto"/>
        <w:jc w:val="center"/>
        <w:outlineLvl w:val="1"/>
        <w:rPr>
          <w:rFonts w:ascii="宋体" w:hAnsi="宋体"/>
          <w:b/>
          <w:sz w:val="30"/>
        </w:rPr>
        <w:sectPr w:rsidR="001D1693" w:rsidRPr="00214C11" w:rsidSect="00F677E0">
          <w:footerReference w:type="default" r:id="rId12"/>
          <w:pgSz w:w="11906" w:h="16838" w:code="9"/>
          <w:pgMar w:top="1418" w:right="1701" w:bottom="1418" w:left="1701" w:header="851" w:footer="992" w:gutter="0"/>
          <w:pgNumType w:start="1"/>
          <w:cols w:space="425"/>
          <w:docGrid w:type="lines" w:linePitch="312"/>
        </w:sectPr>
      </w:pPr>
    </w:p>
    <w:p w:rsidR="00187081" w:rsidRPr="00214C11" w:rsidRDefault="00796CAC" w:rsidP="0067482A">
      <w:pPr>
        <w:keepNext/>
        <w:keepLines/>
        <w:spacing w:before="260" w:after="260" w:line="360" w:lineRule="auto"/>
        <w:ind w:left="60" w:firstLine="420"/>
        <w:jc w:val="center"/>
        <w:outlineLvl w:val="1"/>
        <w:rPr>
          <w:rFonts w:ascii="宋体" w:hAnsi="宋体"/>
          <w:sz w:val="30"/>
        </w:rPr>
      </w:pPr>
      <w:r w:rsidRPr="00214C11">
        <w:rPr>
          <w:rFonts w:ascii="宋体" w:hAnsi="宋体" w:hint="eastAsia"/>
          <w:b/>
          <w:sz w:val="30"/>
        </w:rPr>
        <w:lastRenderedPageBreak/>
        <w:t>三、基金托管人对基金管理人的业务监督和核查</w:t>
      </w:r>
      <w:bookmarkEnd w:id="2"/>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1F6B74" w:rsidRPr="00214C11" w:rsidRDefault="001F6B74" w:rsidP="001F6B74">
      <w:pPr>
        <w:snapToGrid w:val="0"/>
        <w:spacing w:line="360" w:lineRule="auto"/>
        <w:ind w:firstLineChars="200" w:firstLine="480"/>
        <w:rPr>
          <w:rFonts w:ascii="Arial" w:hAnsi="Arial" w:cs="Arial"/>
          <w:sz w:val="24"/>
          <w:szCs w:val="24"/>
        </w:rPr>
      </w:pPr>
      <w:r w:rsidRPr="00214C11">
        <w:rPr>
          <w:rFonts w:ascii="Arial" w:hAnsi="Arial" w:cs="Arial" w:hint="eastAsia"/>
          <w:sz w:val="24"/>
          <w:szCs w:val="24"/>
        </w:rPr>
        <w:t>本基金的投资范围包括国内依法发行上市的股票（含主板、中小板、创业板及其他经中国证监会核准上市的股票等）、债券（包括国债、金融债、企业债、公司债、央行票据、中期票据、短期融资券、可转换债券（含可分离交易可转换债券）、次级债等）、资产支持证券、债券回购、银行存款、货币市场工具、权证、股指期货以及法律法规或中国证监会允许基金投资的其他金融工具</w:t>
      </w:r>
      <w:r w:rsidR="0020393C" w:rsidRPr="00214C11">
        <w:rPr>
          <w:rFonts w:ascii="Arial" w:hAnsi="Arial" w:cs="Arial" w:hint="eastAsia"/>
          <w:sz w:val="24"/>
          <w:szCs w:val="24"/>
        </w:rPr>
        <w:t>（</w:t>
      </w:r>
      <w:r w:rsidRPr="00214C11">
        <w:rPr>
          <w:rFonts w:ascii="Arial" w:hAnsi="Arial" w:cs="Arial" w:hint="eastAsia"/>
          <w:sz w:val="24"/>
          <w:szCs w:val="24"/>
        </w:rPr>
        <w:t>但须符合中国证监会相关规定</w:t>
      </w:r>
      <w:r w:rsidR="0020393C" w:rsidRPr="00214C11">
        <w:rPr>
          <w:rFonts w:ascii="Arial" w:hAnsi="Arial" w:cs="Arial" w:hint="eastAsia"/>
          <w:sz w:val="24"/>
          <w:szCs w:val="24"/>
        </w:rPr>
        <w:t>）</w:t>
      </w:r>
      <w:r w:rsidRPr="00214C11">
        <w:rPr>
          <w:rFonts w:ascii="Arial" w:hAnsi="Arial" w:cs="Arial" w:hint="eastAsia"/>
          <w:sz w:val="24"/>
          <w:szCs w:val="24"/>
        </w:rPr>
        <w:t>。</w:t>
      </w:r>
    </w:p>
    <w:p w:rsidR="001F6B74" w:rsidRPr="00214C11" w:rsidRDefault="001F6B74" w:rsidP="001F6B74">
      <w:pPr>
        <w:snapToGrid w:val="0"/>
        <w:spacing w:line="360" w:lineRule="auto"/>
        <w:ind w:firstLineChars="200" w:firstLine="480"/>
        <w:rPr>
          <w:rFonts w:ascii="Arial" w:hAnsi="Arial" w:cs="Arial"/>
          <w:sz w:val="24"/>
          <w:szCs w:val="24"/>
        </w:rPr>
      </w:pPr>
      <w:r w:rsidRPr="00214C11">
        <w:rPr>
          <w:rFonts w:ascii="Arial" w:hAnsi="Arial" w:cs="Arial" w:hint="eastAsia"/>
          <w:sz w:val="24"/>
          <w:szCs w:val="24"/>
        </w:rPr>
        <w:t>如果法律法规或监管机构以后允许基金投资其他品种，本基金管理人在履行适当程序后，可以将其纳入本基金的投资范围。</w:t>
      </w:r>
    </w:p>
    <w:p w:rsidR="00BC054D" w:rsidRPr="00214C11" w:rsidRDefault="00BC054D" w:rsidP="00BC054D">
      <w:pPr>
        <w:snapToGrid w:val="0"/>
        <w:spacing w:line="360" w:lineRule="auto"/>
        <w:ind w:firstLineChars="200" w:firstLine="480"/>
        <w:rPr>
          <w:rFonts w:ascii="Arial" w:hAnsi="Arial" w:cs="Arial"/>
          <w:sz w:val="24"/>
          <w:szCs w:val="24"/>
        </w:rPr>
      </w:pPr>
      <w:r w:rsidRPr="00214C11">
        <w:rPr>
          <w:rFonts w:ascii="Arial" w:hAnsi="Arial" w:cs="Arial" w:hint="eastAsia"/>
          <w:sz w:val="24"/>
          <w:szCs w:val="24"/>
        </w:rPr>
        <w:t>本基金的投资组合比例为：在开放期内，</w:t>
      </w:r>
      <w:r w:rsidR="00861448" w:rsidRPr="00214C11">
        <w:rPr>
          <w:rFonts w:ascii="Arial" w:hAnsi="Arial" w:cs="Arial" w:hint="eastAsia"/>
          <w:sz w:val="24"/>
          <w:szCs w:val="24"/>
        </w:rPr>
        <w:t>本基金的股票资产投资比例为</w:t>
      </w:r>
      <w:r w:rsidR="00861448" w:rsidRPr="00214C11">
        <w:rPr>
          <w:rFonts w:ascii="Arial" w:hAnsi="Arial" w:cs="Arial"/>
          <w:sz w:val="24"/>
          <w:szCs w:val="24"/>
        </w:rPr>
        <w:t>0%--95%</w:t>
      </w:r>
      <w:r w:rsidR="00861448" w:rsidRPr="00214C11">
        <w:rPr>
          <w:rFonts w:ascii="Arial" w:hAnsi="Arial" w:cs="Arial" w:hint="eastAsia"/>
          <w:sz w:val="24"/>
          <w:szCs w:val="24"/>
        </w:rPr>
        <w:t>，</w:t>
      </w:r>
      <w:r w:rsidRPr="00214C11">
        <w:rPr>
          <w:rFonts w:ascii="Arial" w:hAnsi="Arial" w:cs="Arial" w:hint="eastAsia"/>
          <w:sz w:val="24"/>
          <w:szCs w:val="24"/>
        </w:rPr>
        <w:t>每个交易日日终在扣除股指期货合约所需缴纳的交易保证金后，现金或到期日在一年以内的政府债券不低于基金资产净值的</w:t>
      </w:r>
      <w:r w:rsidRPr="00214C11">
        <w:rPr>
          <w:rFonts w:ascii="Arial" w:hAnsi="Arial" w:cs="Arial"/>
          <w:sz w:val="24"/>
          <w:szCs w:val="24"/>
        </w:rPr>
        <w:t>5%</w:t>
      </w:r>
      <w:r w:rsidR="006B3DDE" w:rsidRPr="00214C11">
        <w:rPr>
          <w:rFonts w:ascii="Arial" w:hAnsi="Arial" w:cs="Arial" w:hint="eastAsia"/>
          <w:sz w:val="24"/>
          <w:szCs w:val="24"/>
        </w:rPr>
        <w:t>；</w:t>
      </w:r>
      <w:r w:rsidRPr="00214C11">
        <w:rPr>
          <w:rFonts w:ascii="Arial" w:hAnsi="Arial" w:cs="Arial" w:hint="eastAsia"/>
          <w:sz w:val="24"/>
          <w:szCs w:val="24"/>
        </w:rPr>
        <w:t>在封闭期内，</w:t>
      </w:r>
      <w:r w:rsidR="00861448" w:rsidRPr="00214C11">
        <w:rPr>
          <w:rFonts w:ascii="Arial" w:hAnsi="Arial" w:cs="Arial" w:hint="eastAsia"/>
          <w:sz w:val="24"/>
          <w:szCs w:val="24"/>
        </w:rPr>
        <w:t>本基金的股票资产投资比例为</w:t>
      </w:r>
      <w:r w:rsidR="00861448" w:rsidRPr="00214C11">
        <w:rPr>
          <w:rFonts w:ascii="Arial" w:hAnsi="Arial" w:cs="Arial"/>
          <w:sz w:val="24"/>
          <w:szCs w:val="24"/>
        </w:rPr>
        <w:t>0%--</w:t>
      </w:r>
      <w:r w:rsidR="00861448" w:rsidRPr="00214C11">
        <w:rPr>
          <w:rFonts w:ascii="Arial" w:hAnsi="Arial" w:cs="Arial" w:hint="eastAsia"/>
          <w:sz w:val="24"/>
          <w:szCs w:val="24"/>
        </w:rPr>
        <w:t>100</w:t>
      </w:r>
      <w:r w:rsidR="00861448" w:rsidRPr="00214C11">
        <w:rPr>
          <w:rFonts w:ascii="Arial" w:hAnsi="Arial" w:cs="Arial"/>
          <w:sz w:val="24"/>
          <w:szCs w:val="24"/>
        </w:rPr>
        <w:t>%</w:t>
      </w:r>
      <w:r w:rsidR="00861448" w:rsidRPr="00214C11">
        <w:rPr>
          <w:rFonts w:ascii="Arial" w:hAnsi="Arial" w:cs="Arial" w:hint="eastAsia"/>
          <w:sz w:val="24"/>
          <w:szCs w:val="24"/>
        </w:rPr>
        <w:t>，</w:t>
      </w:r>
      <w:r w:rsidRPr="00214C11">
        <w:rPr>
          <w:rFonts w:hint="eastAsia"/>
          <w:bCs/>
          <w:sz w:val="24"/>
        </w:rPr>
        <w:t>每个交易日日终在扣除股指期货合约需缴纳的交易保证金后，应当保持不低于交易保证金一倍的现金</w:t>
      </w:r>
      <w:r w:rsidRPr="00214C11">
        <w:rPr>
          <w:rFonts w:ascii="Arial" w:hAnsi="Arial" w:cs="Arial" w:hint="eastAsia"/>
          <w:sz w:val="24"/>
          <w:szCs w:val="24"/>
        </w:rPr>
        <w:t>。权证投资比例不得超过基金资产净值的</w:t>
      </w:r>
      <w:r w:rsidRPr="00214C11">
        <w:rPr>
          <w:rFonts w:ascii="Arial" w:hAnsi="Arial" w:cs="Arial" w:hint="eastAsia"/>
          <w:sz w:val="24"/>
          <w:szCs w:val="24"/>
        </w:rPr>
        <w:t>3%</w:t>
      </w:r>
      <w:r w:rsidRPr="00214C11">
        <w:rPr>
          <w:rFonts w:ascii="Arial" w:hAnsi="Arial" w:cs="Arial" w:hint="eastAsia"/>
          <w:sz w:val="24"/>
          <w:szCs w:val="24"/>
        </w:rPr>
        <w:t>。</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（二）基金托管人根据有关法律法规的规定及《基金合同》的约定，对基金投资、融资比例进行监督。基金托管人按下述比例和调整期限进行监督：</w:t>
      </w:r>
    </w:p>
    <w:p w:rsidR="00E77947" w:rsidRPr="00214C11" w:rsidRDefault="00BC054D" w:rsidP="00D5585F">
      <w:pPr>
        <w:adjustRightInd w:val="0"/>
        <w:snapToGrid w:val="0"/>
        <w:spacing w:line="360" w:lineRule="auto"/>
        <w:ind w:firstLineChars="200" w:firstLine="480"/>
        <w:rPr>
          <w:rFonts w:ascii="宋体" w:hAnsi="宋体"/>
          <w:sz w:val="24"/>
        </w:rPr>
      </w:pPr>
      <w:r w:rsidRPr="00214C11">
        <w:rPr>
          <w:rFonts w:ascii="宋体" w:hAnsi="宋体" w:hint="eastAsia"/>
          <w:sz w:val="24"/>
        </w:rPr>
        <w:t>（</w:t>
      </w:r>
      <w:r w:rsidRPr="00214C11">
        <w:rPr>
          <w:rFonts w:ascii="宋体" w:hAnsi="宋体"/>
          <w:sz w:val="24"/>
        </w:rPr>
        <w:t>1</w:t>
      </w:r>
      <w:r w:rsidRPr="00214C11">
        <w:rPr>
          <w:rFonts w:ascii="宋体" w:hAnsi="宋体" w:hint="eastAsia"/>
          <w:sz w:val="24"/>
        </w:rPr>
        <w:t>）</w:t>
      </w:r>
      <w:r w:rsidR="00E77947" w:rsidRPr="00214C11">
        <w:rPr>
          <w:rFonts w:ascii="宋体" w:hAnsi="宋体" w:hint="eastAsia"/>
          <w:sz w:val="24"/>
        </w:rPr>
        <w:t>在开放期内，本基金的股票资产投资比例为基金资产</w:t>
      </w:r>
      <w:r w:rsidR="008250F6" w:rsidRPr="00214C11">
        <w:rPr>
          <w:rFonts w:ascii="宋体" w:hAnsi="宋体"/>
          <w:sz w:val="24"/>
        </w:rPr>
        <w:t>0%</w:t>
      </w:r>
      <w:r w:rsidR="00E77947" w:rsidRPr="00214C11">
        <w:rPr>
          <w:rFonts w:ascii="宋体" w:hAnsi="宋体"/>
          <w:sz w:val="24"/>
        </w:rPr>
        <w:t>-95%</w:t>
      </w:r>
      <w:r w:rsidR="00E77947" w:rsidRPr="00214C11">
        <w:rPr>
          <w:rFonts w:ascii="宋体" w:hAnsi="宋体" w:hint="eastAsia"/>
          <w:sz w:val="24"/>
        </w:rPr>
        <w:t>；在封闭期，本基金的股票投资比例为基金资产的0%-100%；</w:t>
      </w:r>
    </w:p>
    <w:p w:rsidR="008C239D" w:rsidRPr="00214C11" w:rsidRDefault="008C239D" w:rsidP="00D5585F">
      <w:pPr>
        <w:adjustRightInd w:val="0"/>
        <w:snapToGrid w:val="0"/>
        <w:spacing w:line="360" w:lineRule="auto"/>
        <w:ind w:firstLineChars="200" w:firstLine="480"/>
        <w:rPr>
          <w:rFonts w:ascii="宋体" w:hAnsi="宋体"/>
          <w:sz w:val="24"/>
        </w:rPr>
      </w:pPr>
      <w:r w:rsidRPr="00214C11">
        <w:rPr>
          <w:rFonts w:ascii="宋体" w:hAnsi="宋体" w:hint="eastAsia"/>
          <w:sz w:val="24"/>
        </w:rPr>
        <w:t>（</w:t>
      </w:r>
      <w:r w:rsidRPr="00214C11">
        <w:rPr>
          <w:rFonts w:ascii="宋体" w:hAnsi="宋体"/>
          <w:sz w:val="24"/>
        </w:rPr>
        <w:t>2</w:t>
      </w:r>
      <w:r w:rsidRPr="00214C11">
        <w:rPr>
          <w:rFonts w:ascii="宋体" w:hAnsi="宋体" w:hint="eastAsia"/>
          <w:sz w:val="24"/>
        </w:rPr>
        <w:t>）开放期内，每个交易日日终在扣除股指期货合约需缴纳的交易保证金后，保持不低于基金资产净值5％的现金或者到期日在一年以内的政府债券；在封闭期内，每个交易日日终在扣除股指期货合约需缴纳的交易保证金后，应当保持不低于交易保证金一倍的现金；</w:t>
      </w:r>
    </w:p>
    <w:p w:rsidR="008C239D" w:rsidRPr="00214C11" w:rsidRDefault="008C239D" w:rsidP="00D5585F">
      <w:pPr>
        <w:adjustRightInd w:val="0"/>
        <w:snapToGrid w:val="0"/>
        <w:spacing w:line="360" w:lineRule="auto"/>
        <w:ind w:firstLineChars="200" w:firstLine="480"/>
        <w:rPr>
          <w:rFonts w:ascii="宋体" w:hAnsi="宋体"/>
          <w:sz w:val="24"/>
        </w:rPr>
      </w:pPr>
      <w:r w:rsidRPr="00214C11">
        <w:rPr>
          <w:rFonts w:ascii="宋体" w:hAnsi="宋体" w:hint="eastAsia"/>
          <w:sz w:val="24"/>
        </w:rPr>
        <w:t>（3）本基金持有一家公司发行的证券，其市值不超过基金资产净值的10％；</w:t>
      </w:r>
    </w:p>
    <w:p w:rsidR="008C239D" w:rsidRPr="00214C11" w:rsidRDefault="008C239D" w:rsidP="00D5585F">
      <w:pPr>
        <w:adjustRightInd w:val="0"/>
        <w:snapToGrid w:val="0"/>
        <w:spacing w:line="360" w:lineRule="auto"/>
        <w:ind w:firstLineChars="200" w:firstLine="480"/>
        <w:rPr>
          <w:rFonts w:ascii="宋体" w:hAnsi="宋体"/>
          <w:sz w:val="24"/>
        </w:rPr>
      </w:pPr>
      <w:r w:rsidRPr="00214C11">
        <w:rPr>
          <w:rFonts w:ascii="宋体" w:hAnsi="宋体" w:hint="eastAsia"/>
          <w:sz w:val="24"/>
        </w:rPr>
        <w:lastRenderedPageBreak/>
        <w:t>（4）本基金管理人管理的</w:t>
      </w:r>
      <w:r w:rsidR="00CD3996" w:rsidRPr="00214C11">
        <w:rPr>
          <w:rFonts w:ascii="宋体" w:hAnsi="宋体" w:hint="eastAsia"/>
          <w:sz w:val="24"/>
        </w:rPr>
        <w:t>且由本基金托管人托管的</w:t>
      </w:r>
      <w:r w:rsidRPr="00214C11">
        <w:rPr>
          <w:rFonts w:ascii="宋体" w:hAnsi="宋体" w:hint="eastAsia"/>
          <w:sz w:val="24"/>
        </w:rPr>
        <w:t>全部基金持有一家公司发行的证券，不超过该证券的10％；</w:t>
      </w:r>
    </w:p>
    <w:p w:rsidR="008C239D" w:rsidRPr="00214C11" w:rsidRDefault="008C239D" w:rsidP="00D5585F">
      <w:pPr>
        <w:adjustRightInd w:val="0"/>
        <w:snapToGrid w:val="0"/>
        <w:spacing w:line="360" w:lineRule="auto"/>
        <w:ind w:firstLineChars="200" w:firstLine="480"/>
        <w:rPr>
          <w:rFonts w:ascii="宋体" w:hAnsi="宋体"/>
          <w:sz w:val="24"/>
        </w:rPr>
      </w:pPr>
      <w:r w:rsidRPr="00214C11">
        <w:rPr>
          <w:rFonts w:ascii="宋体" w:hAnsi="宋体" w:hint="eastAsia"/>
          <w:sz w:val="24"/>
        </w:rPr>
        <w:t>（</w:t>
      </w:r>
      <w:r w:rsidRPr="00214C11">
        <w:rPr>
          <w:rFonts w:ascii="宋体" w:hAnsi="宋体"/>
          <w:sz w:val="24"/>
        </w:rPr>
        <w:t>5</w:t>
      </w:r>
      <w:r w:rsidRPr="00214C11">
        <w:rPr>
          <w:rFonts w:ascii="宋体" w:hAnsi="宋体" w:hint="eastAsia"/>
          <w:sz w:val="24"/>
        </w:rPr>
        <w:t>）本基金持有的全部权证，其市值不得超过基金资产净值的3％；</w:t>
      </w:r>
    </w:p>
    <w:p w:rsidR="008C239D" w:rsidRPr="00214C11" w:rsidRDefault="008C239D" w:rsidP="00D5585F">
      <w:pPr>
        <w:adjustRightInd w:val="0"/>
        <w:snapToGrid w:val="0"/>
        <w:spacing w:line="360" w:lineRule="auto"/>
        <w:ind w:firstLineChars="200" w:firstLine="480"/>
        <w:rPr>
          <w:rFonts w:ascii="宋体" w:hAnsi="宋体"/>
          <w:sz w:val="24"/>
        </w:rPr>
      </w:pPr>
      <w:r w:rsidRPr="00214C11">
        <w:rPr>
          <w:rFonts w:ascii="宋体" w:hAnsi="宋体" w:hint="eastAsia"/>
          <w:sz w:val="24"/>
        </w:rPr>
        <w:t>（</w:t>
      </w:r>
      <w:r w:rsidRPr="00214C11">
        <w:rPr>
          <w:rFonts w:ascii="宋体" w:hAnsi="宋体"/>
          <w:sz w:val="24"/>
        </w:rPr>
        <w:t>6</w:t>
      </w:r>
      <w:r w:rsidRPr="00214C11">
        <w:rPr>
          <w:rFonts w:ascii="宋体" w:hAnsi="宋体" w:hint="eastAsia"/>
          <w:sz w:val="24"/>
        </w:rPr>
        <w:t>）本基金管理人管理的</w:t>
      </w:r>
      <w:r w:rsidR="00CD3996" w:rsidRPr="00214C11">
        <w:rPr>
          <w:rFonts w:ascii="宋体" w:hAnsi="宋体" w:hint="eastAsia"/>
          <w:sz w:val="24"/>
        </w:rPr>
        <w:t>且由本基金托管人托管的</w:t>
      </w:r>
      <w:r w:rsidRPr="00214C11">
        <w:rPr>
          <w:rFonts w:ascii="宋体" w:hAnsi="宋体" w:hint="eastAsia"/>
          <w:sz w:val="24"/>
        </w:rPr>
        <w:t>全部基金持有的同一权证，不得超过该权证的10％；</w:t>
      </w:r>
    </w:p>
    <w:p w:rsidR="008C239D" w:rsidRPr="00214C11" w:rsidRDefault="008C239D" w:rsidP="00D5585F">
      <w:pPr>
        <w:adjustRightInd w:val="0"/>
        <w:snapToGrid w:val="0"/>
        <w:spacing w:line="360" w:lineRule="auto"/>
        <w:ind w:firstLineChars="200" w:firstLine="480"/>
        <w:rPr>
          <w:rFonts w:ascii="宋体" w:hAnsi="宋体"/>
          <w:sz w:val="24"/>
        </w:rPr>
      </w:pPr>
      <w:r w:rsidRPr="00214C11">
        <w:rPr>
          <w:rFonts w:ascii="宋体" w:hAnsi="宋体" w:hint="eastAsia"/>
          <w:sz w:val="24"/>
        </w:rPr>
        <w:t>（</w:t>
      </w:r>
      <w:r w:rsidRPr="00214C11">
        <w:rPr>
          <w:rFonts w:ascii="宋体" w:hAnsi="宋体"/>
          <w:sz w:val="24"/>
        </w:rPr>
        <w:t>7</w:t>
      </w:r>
      <w:r w:rsidRPr="00214C11">
        <w:rPr>
          <w:rFonts w:ascii="宋体" w:hAnsi="宋体" w:hint="eastAsia"/>
          <w:sz w:val="24"/>
        </w:rPr>
        <w:t>）本基金在任何交易日买入权证的总金额，不得超过上一交易日基金资产净值的0.5％；</w:t>
      </w:r>
    </w:p>
    <w:p w:rsidR="008C239D" w:rsidRPr="00214C11" w:rsidRDefault="008C239D" w:rsidP="00D5585F">
      <w:pPr>
        <w:adjustRightInd w:val="0"/>
        <w:snapToGrid w:val="0"/>
        <w:spacing w:line="360" w:lineRule="auto"/>
        <w:ind w:firstLineChars="200" w:firstLine="480"/>
        <w:rPr>
          <w:rFonts w:ascii="宋体" w:hAnsi="宋体"/>
          <w:sz w:val="24"/>
        </w:rPr>
      </w:pPr>
      <w:r w:rsidRPr="00214C11">
        <w:rPr>
          <w:rFonts w:ascii="宋体" w:hAnsi="宋体" w:hint="eastAsia"/>
          <w:sz w:val="24"/>
        </w:rPr>
        <w:t>（</w:t>
      </w:r>
      <w:r w:rsidRPr="00214C11">
        <w:rPr>
          <w:rFonts w:ascii="宋体" w:hAnsi="宋体"/>
          <w:sz w:val="24"/>
        </w:rPr>
        <w:t>8</w:t>
      </w:r>
      <w:r w:rsidRPr="00214C11">
        <w:rPr>
          <w:rFonts w:ascii="宋体" w:hAnsi="宋体" w:hint="eastAsia"/>
          <w:sz w:val="24"/>
        </w:rPr>
        <w:t>）本基金投资于同一原始权益人的各类资产支持证券的比例，不得超过基金资产净值的10％；</w:t>
      </w:r>
    </w:p>
    <w:p w:rsidR="008C239D" w:rsidRPr="00214C11" w:rsidRDefault="008C239D" w:rsidP="00D5585F">
      <w:pPr>
        <w:adjustRightInd w:val="0"/>
        <w:snapToGrid w:val="0"/>
        <w:spacing w:line="360" w:lineRule="auto"/>
        <w:ind w:firstLineChars="200" w:firstLine="480"/>
        <w:rPr>
          <w:rFonts w:ascii="宋体" w:hAnsi="宋体"/>
          <w:sz w:val="24"/>
        </w:rPr>
      </w:pPr>
      <w:r w:rsidRPr="00214C11">
        <w:rPr>
          <w:rFonts w:ascii="宋体" w:hAnsi="宋体" w:hint="eastAsia"/>
          <w:sz w:val="24"/>
        </w:rPr>
        <w:t>（</w:t>
      </w:r>
      <w:r w:rsidRPr="00214C11">
        <w:rPr>
          <w:rFonts w:ascii="宋体" w:hAnsi="宋体"/>
          <w:sz w:val="24"/>
        </w:rPr>
        <w:t>9</w:t>
      </w:r>
      <w:r w:rsidRPr="00214C11">
        <w:rPr>
          <w:rFonts w:ascii="宋体" w:hAnsi="宋体" w:hint="eastAsia"/>
          <w:sz w:val="24"/>
        </w:rPr>
        <w:t>）本基金持有的全部资产支持证券，其市值不得超过基金资产净值的20％；</w:t>
      </w:r>
    </w:p>
    <w:p w:rsidR="008C239D" w:rsidRPr="00214C11" w:rsidRDefault="008C239D" w:rsidP="00D5585F">
      <w:pPr>
        <w:adjustRightInd w:val="0"/>
        <w:snapToGrid w:val="0"/>
        <w:spacing w:line="360" w:lineRule="auto"/>
        <w:ind w:firstLineChars="200" w:firstLine="480"/>
        <w:rPr>
          <w:rFonts w:ascii="宋体" w:hAnsi="宋体"/>
          <w:sz w:val="24"/>
        </w:rPr>
      </w:pPr>
      <w:r w:rsidRPr="00214C11">
        <w:rPr>
          <w:rFonts w:ascii="宋体" w:hAnsi="宋体" w:hint="eastAsia"/>
          <w:sz w:val="24"/>
        </w:rPr>
        <w:t>（1</w:t>
      </w:r>
      <w:r w:rsidRPr="00214C11">
        <w:rPr>
          <w:rFonts w:ascii="宋体" w:hAnsi="宋体"/>
          <w:sz w:val="24"/>
        </w:rPr>
        <w:t>0</w:t>
      </w:r>
      <w:r w:rsidRPr="00214C11">
        <w:rPr>
          <w:rFonts w:ascii="宋体" w:hAnsi="宋体" w:hint="eastAsia"/>
          <w:sz w:val="24"/>
        </w:rPr>
        <w:t>）本基金持有的同一(指同一信用级别)资产支持证券的比例，不得超过该资产支持证券规模的10％；</w:t>
      </w:r>
    </w:p>
    <w:p w:rsidR="008C239D" w:rsidRPr="00214C11" w:rsidRDefault="008C239D" w:rsidP="00D5585F">
      <w:pPr>
        <w:adjustRightInd w:val="0"/>
        <w:snapToGrid w:val="0"/>
        <w:spacing w:line="360" w:lineRule="auto"/>
        <w:ind w:firstLineChars="200" w:firstLine="480"/>
        <w:rPr>
          <w:rFonts w:ascii="宋体" w:hAnsi="宋体"/>
          <w:sz w:val="24"/>
        </w:rPr>
      </w:pPr>
      <w:r w:rsidRPr="00214C11">
        <w:rPr>
          <w:rFonts w:ascii="宋体" w:hAnsi="宋体" w:hint="eastAsia"/>
          <w:sz w:val="24"/>
        </w:rPr>
        <w:t>（1</w:t>
      </w:r>
      <w:r w:rsidRPr="00214C11">
        <w:rPr>
          <w:rFonts w:ascii="宋体" w:hAnsi="宋体"/>
          <w:sz w:val="24"/>
        </w:rPr>
        <w:t>1</w:t>
      </w:r>
      <w:r w:rsidRPr="00214C11">
        <w:rPr>
          <w:rFonts w:ascii="宋体" w:hAnsi="宋体" w:hint="eastAsia"/>
          <w:sz w:val="24"/>
        </w:rPr>
        <w:t>）本基金管理人管理的</w:t>
      </w:r>
      <w:r w:rsidR="00CD3996" w:rsidRPr="00214C11">
        <w:rPr>
          <w:rFonts w:ascii="宋体" w:hAnsi="宋体" w:hint="eastAsia"/>
          <w:sz w:val="24"/>
        </w:rPr>
        <w:t>且由本基金托管人托管的</w:t>
      </w:r>
      <w:r w:rsidRPr="00214C11">
        <w:rPr>
          <w:rFonts w:ascii="宋体" w:hAnsi="宋体" w:hint="eastAsia"/>
          <w:sz w:val="24"/>
        </w:rPr>
        <w:t>全部基金投资于同一原始权益人的各类资产支持证券，不得超过其各类资产支持证券合计规模的10％；</w:t>
      </w:r>
    </w:p>
    <w:p w:rsidR="008C239D" w:rsidRPr="00214C11" w:rsidRDefault="008C239D" w:rsidP="00D5585F">
      <w:pPr>
        <w:adjustRightInd w:val="0"/>
        <w:snapToGrid w:val="0"/>
        <w:spacing w:line="360" w:lineRule="auto"/>
        <w:ind w:firstLineChars="200" w:firstLine="480"/>
        <w:rPr>
          <w:rFonts w:ascii="宋体" w:hAnsi="宋体"/>
          <w:sz w:val="24"/>
        </w:rPr>
      </w:pPr>
      <w:r w:rsidRPr="00214C11">
        <w:rPr>
          <w:rFonts w:ascii="宋体" w:hAnsi="宋体" w:hint="eastAsia"/>
          <w:sz w:val="24"/>
        </w:rPr>
        <w:t>（1</w:t>
      </w:r>
      <w:r w:rsidRPr="00214C11">
        <w:rPr>
          <w:rFonts w:ascii="宋体" w:hAnsi="宋体"/>
          <w:sz w:val="24"/>
        </w:rPr>
        <w:t>2</w:t>
      </w:r>
      <w:r w:rsidRPr="00214C11">
        <w:rPr>
          <w:rFonts w:ascii="宋体" w:hAnsi="宋体" w:hint="eastAsia"/>
          <w:sz w:val="24"/>
        </w:rPr>
        <w:t>）本基金应投资于信用级别评级为BBB以上(含BBB)的资产支持证券。基金持有资产支持证券期间，如果其信用等级下降、不再符合投资标准，应在评级报告发布之日起3个月内予以全部卖出；</w:t>
      </w:r>
    </w:p>
    <w:p w:rsidR="008C239D" w:rsidRPr="00214C11" w:rsidRDefault="008C239D" w:rsidP="00D5585F">
      <w:pPr>
        <w:adjustRightInd w:val="0"/>
        <w:snapToGrid w:val="0"/>
        <w:spacing w:line="360" w:lineRule="auto"/>
        <w:ind w:firstLineChars="200" w:firstLine="480"/>
        <w:rPr>
          <w:rFonts w:ascii="宋体" w:hAnsi="宋体"/>
          <w:sz w:val="24"/>
        </w:rPr>
      </w:pPr>
      <w:r w:rsidRPr="00214C11">
        <w:rPr>
          <w:rFonts w:ascii="宋体" w:hAnsi="宋体" w:hint="eastAsia"/>
          <w:sz w:val="24"/>
        </w:rPr>
        <w:t>（1</w:t>
      </w:r>
      <w:r w:rsidR="00472185" w:rsidRPr="00214C11">
        <w:rPr>
          <w:rFonts w:ascii="宋体" w:hAnsi="宋体" w:hint="eastAsia"/>
          <w:sz w:val="24"/>
        </w:rPr>
        <w:t>3</w:t>
      </w:r>
      <w:r w:rsidRPr="00214C11">
        <w:rPr>
          <w:rFonts w:ascii="宋体" w:hAnsi="宋体" w:hint="eastAsia"/>
          <w:sz w:val="24"/>
        </w:rPr>
        <w:t>）本基金进入全国银行间同业市场进行债券回购的资金余额不得超过基金资产净值的40%；本基金在全国银行间同业市场中的债券回购最长期限为</w:t>
      </w:r>
      <w:r w:rsidRPr="00214C11">
        <w:rPr>
          <w:rFonts w:ascii="宋体" w:hAnsi="宋体"/>
          <w:sz w:val="24"/>
        </w:rPr>
        <w:t xml:space="preserve">1 </w:t>
      </w:r>
      <w:r w:rsidRPr="00214C11">
        <w:rPr>
          <w:rFonts w:ascii="宋体" w:hAnsi="宋体" w:hint="eastAsia"/>
          <w:sz w:val="24"/>
        </w:rPr>
        <w:t>年，债券回购到期后不得展期；</w:t>
      </w:r>
    </w:p>
    <w:p w:rsidR="008C239D" w:rsidRPr="00214C11" w:rsidRDefault="008C239D" w:rsidP="00D5585F">
      <w:pPr>
        <w:adjustRightInd w:val="0"/>
        <w:snapToGrid w:val="0"/>
        <w:spacing w:line="360" w:lineRule="auto"/>
        <w:ind w:firstLineChars="200" w:firstLine="480"/>
        <w:rPr>
          <w:rFonts w:ascii="宋体" w:hAnsi="宋体"/>
          <w:sz w:val="24"/>
        </w:rPr>
      </w:pPr>
      <w:r w:rsidRPr="00214C11">
        <w:rPr>
          <w:rFonts w:ascii="宋体" w:hAnsi="宋体" w:hint="eastAsia"/>
          <w:sz w:val="24"/>
        </w:rPr>
        <w:t>（</w:t>
      </w:r>
      <w:r w:rsidR="00472185" w:rsidRPr="00214C11">
        <w:rPr>
          <w:rFonts w:ascii="宋体" w:hAnsi="宋体" w:hint="eastAsia"/>
          <w:sz w:val="24"/>
        </w:rPr>
        <w:t>14</w:t>
      </w:r>
      <w:r w:rsidRPr="00214C11">
        <w:rPr>
          <w:rFonts w:ascii="宋体" w:hAnsi="宋体" w:hint="eastAsia"/>
          <w:sz w:val="24"/>
        </w:rPr>
        <w:t>）</w:t>
      </w:r>
      <w:r w:rsidR="004002E6" w:rsidRPr="00214C11">
        <w:rPr>
          <w:rFonts w:ascii="宋体" w:hAnsi="宋体" w:hint="eastAsia"/>
          <w:sz w:val="24"/>
        </w:rPr>
        <w:t>封闭期内</w:t>
      </w:r>
      <w:r w:rsidR="009120F0" w:rsidRPr="00214C11">
        <w:rPr>
          <w:rFonts w:ascii="宋体" w:hAnsi="宋体" w:hint="eastAsia"/>
          <w:sz w:val="24"/>
        </w:rPr>
        <w:t>，</w:t>
      </w:r>
      <w:r w:rsidRPr="00214C11">
        <w:rPr>
          <w:rFonts w:ascii="宋体" w:hAnsi="宋体" w:hint="eastAsia"/>
          <w:sz w:val="24"/>
        </w:rPr>
        <w:t>本基金资产总值不得超过基金资产净值的200%</w:t>
      </w:r>
      <w:r w:rsidR="009120F0" w:rsidRPr="00214C11">
        <w:rPr>
          <w:rFonts w:ascii="宋体" w:hAnsi="宋体" w:hint="eastAsia"/>
          <w:sz w:val="24"/>
        </w:rPr>
        <w:t>；</w:t>
      </w:r>
      <w:r w:rsidR="004002E6" w:rsidRPr="00214C11">
        <w:rPr>
          <w:rFonts w:ascii="宋体" w:hAnsi="宋体" w:hint="eastAsia"/>
          <w:sz w:val="24"/>
        </w:rPr>
        <w:t>开放期内</w:t>
      </w:r>
      <w:r w:rsidR="009120F0" w:rsidRPr="00214C11">
        <w:rPr>
          <w:rFonts w:ascii="宋体" w:hAnsi="宋体" w:hint="eastAsia"/>
          <w:sz w:val="24"/>
        </w:rPr>
        <w:t>，</w:t>
      </w:r>
      <w:r w:rsidRPr="00214C11">
        <w:rPr>
          <w:rFonts w:ascii="宋体" w:hAnsi="宋体" w:hint="eastAsia"/>
          <w:sz w:val="24"/>
        </w:rPr>
        <w:t>本基金资产总值不得超过基金资产净值的140%；</w:t>
      </w:r>
    </w:p>
    <w:p w:rsidR="008C239D" w:rsidRPr="00214C11" w:rsidRDefault="008C239D" w:rsidP="00D5585F">
      <w:pPr>
        <w:adjustRightInd w:val="0"/>
        <w:snapToGrid w:val="0"/>
        <w:spacing w:line="360" w:lineRule="auto"/>
        <w:ind w:firstLineChars="200" w:firstLine="480"/>
        <w:rPr>
          <w:rFonts w:ascii="宋体" w:hAnsi="宋体"/>
          <w:sz w:val="24"/>
        </w:rPr>
      </w:pPr>
      <w:r w:rsidRPr="00214C11">
        <w:rPr>
          <w:rFonts w:ascii="宋体" w:hAnsi="宋体" w:hint="eastAsia"/>
          <w:sz w:val="24"/>
        </w:rPr>
        <w:t>（1</w:t>
      </w:r>
      <w:r w:rsidR="00472185" w:rsidRPr="00214C11">
        <w:rPr>
          <w:rFonts w:ascii="宋体" w:hAnsi="宋体" w:hint="eastAsia"/>
          <w:sz w:val="24"/>
        </w:rPr>
        <w:t>5</w:t>
      </w:r>
      <w:r w:rsidR="000D0434" w:rsidRPr="00214C11">
        <w:rPr>
          <w:rFonts w:ascii="宋体" w:hAnsi="宋体" w:hint="eastAsia"/>
          <w:sz w:val="24"/>
        </w:rPr>
        <w:t>）本基金参与股指期货投资时</w:t>
      </w:r>
      <w:r w:rsidRPr="00214C11">
        <w:rPr>
          <w:rFonts w:ascii="宋体" w:hAnsi="宋体" w:hint="eastAsia"/>
          <w:sz w:val="24"/>
        </w:rPr>
        <w:t>，应遵循下列限制：</w:t>
      </w:r>
    </w:p>
    <w:p w:rsidR="008C239D" w:rsidRPr="00214C11" w:rsidRDefault="008C239D" w:rsidP="00D5585F">
      <w:pPr>
        <w:adjustRightInd w:val="0"/>
        <w:snapToGrid w:val="0"/>
        <w:spacing w:line="360" w:lineRule="auto"/>
        <w:ind w:firstLineChars="200" w:firstLine="480"/>
        <w:rPr>
          <w:rFonts w:ascii="宋体" w:hAnsi="宋体"/>
          <w:sz w:val="24"/>
        </w:rPr>
      </w:pPr>
      <w:r w:rsidRPr="00214C11">
        <w:rPr>
          <w:rFonts w:ascii="宋体" w:hAnsi="宋体" w:hint="eastAsia"/>
          <w:sz w:val="24"/>
        </w:rPr>
        <w:t>1）本基金在任何交易日日终，持有的买入股指期货合约价值，不得超过基金资产净值的10%；</w:t>
      </w:r>
    </w:p>
    <w:p w:rsidR="008C239D" w:rsidRPr="00214C11" w:rsidRDefault="008C239D" w:rsidP="00D5585F">
      <w:pPr>
        <w:adjustRightInd w:val="0"/>
        <w:snapToGrid w:val="0"/>
        <w:spacing w:line="360" w:lineRule="auto"/>
        <w:ind w:firstLineChars="200" w:firstLine="480"/>
        <w:rPr>
          <w:rFonts w:ascii="宋体" w:hAnsi="宋体"/>
          <w:sz w:val="24"/>
        </w:rPr>
      </w:pPr>
      <w:r w:rsidRPr="00214C11">
        <w:rPr>
          <w:rFonts w:ascii="宋体" w:hAnsi="宋体" w:hint="eastAsia"/>
          <w:sz w:val="24"/>
        </w:rPr>
        <w:t>2）开放期内的每个交易日日终，本基金持有的买入期货合约价值和有价证券市值之和，不得超过基金资产净值的95%；封闭期内的每个交易日日终，持有的买入期货合约价值和有价证券市值之和，不得超过基金资产净值的100%，其中，有价证券指股票、债券（不含到期日在一年以内的政府债券）、权证、资产支持证券、买入返售金融资产（不含质押式回购等）；</w:t>
      </w:r>
    </w:p>
    <w:p w:rsidR="008C239D" w:rsidRPr="00214C11" w:rsidRDefault="008C239D" w:rsidP="00D5585F">
      <w:pPr>
        <w:adjustRightInd w:val="0"/>
        <w:snapToGrid w:val="0"/>
        <w:spacing w:line="360" w:lineRule="auto"/>
        <w:ind w:firstLineChars="200" w:firstLine="480"/>
        <w:rPr>
          <w:rFonts w:ascii="宋体" w:hAnsi="宋体"/>
          <w:sz w:val="24"/>
        </w:rPr>
      </w:pPr>
      <w:r w:rsidRPr="00214C11">
        <w:rPr>
          <w:rFonts w:ascii="宋体" w:hAnsi="宋体" w:hint="eastAsia"/>
          <w:sz w:val="24"/>
        </w:rPr>
        <w:lastRenderedPageBreak/>
        <w:t>3）本基金在任何交易日日终，持有的卖出期货合约价值不得超过基金持有的股票总市值的20%；</w:t>
      </w:r>
    </w:p>
    <w:p w:rsidR="008C239D" w:rsidRPr="00214C11" w:rsidRDefault="008C239D" w:rsidP="00D5585F">
      <w:pPr>
        <w:adjustRightInd w:val="0"/>
        <w:snapToGrid w:val="0"/>
        <w:spacing w:line="360" w:lineRule="auto"/>
        <w:ind w:firstLineChars="200" w:firstLine="480"/>
        <w:rPr>
          <w:rFonts w:ascii="宋体" w:hAnsi="宋体"/>
          <w:sz w:val="24"/>
        </w:rPr>
      </w:pPr>
      <w:r w:rsidRPr="00214C11">
        <w:rPr>
          <w:rFonts w:ascii="宋体" w:hAnsi="宋体" w:hint="eastAsia"/>
          <w:sz w:val="24"/>
        </w:rPr>
        <w:t>4）本基金所持有的股票市值和买入、卖出股指期货合约价值，合计（轧差计算）应当符合《基金合同》关于股票投资比例的有关规定；</w:t>
      </w:r>
    </w:p>
    <w:p w:rsidR="008C239D" w:rsidRPr="00214C11" w:rsidRDefault="008C239D" w:rsidP="00D5585F">
      <w:pPr>
        <w:adjustRightInd w:val="0"/>
        <w:snapToGrid w:val="0"/>
        <w:spacing w:line="360" w:lineRule="auto"/>
        <w:ind w:firstLineChars="200" w:firstLine="480"/>
        <w:rPr>
          <w:rFonts w:ascii="宋体" w:hAnsi="宋体"/>
          <w:sz w:val="24"/>
        </w:rPr>
      </w:pPr>
      <w:r w:rsidRPr="00214C11">
        <w:rPr>
          <w:rFonts w:ascii="宋体" w:hAnsi="宋体" w:hint="eastAsia"/>
          <w:sz w:val="24"/>
        </w:rPr>
        <w:t>5）本基金在任何交易日内交易（不包括平仓）的股指期货合约的成交金额不得超过上一交易日基金资产净值的20%；</w:t>
      </w:r>
    </w:p>
    <w:p w:rsidR="00E3012B" w:rsidRPr="00214C11" w:rsidRDefault="008C239D" w:rsidP="00D5585F">
      <w:pPr>
        <w:adjustRightInd w:val="0"/>
        <w:snapToGrid w:val="0"/>
        <w:spacing w:line="360" w:lineRule="auto"/>
        <w:ind w:firstLineChars="200" w:firstLine="480"/>
        <w:rPr>
          <w:rFonts w:ascii="宋体" w:hAnsi="宋体"/>
          <w:sz w:val="24"/>
        </w:rPr>
      </w:pPr>
      <w:r w:rsidRPr="00214C11">
        <w:rPr>
          <w:rFonts w:ascii="宋体" w:hAnsi="宋体" w:hint="eastAsia"/>
          <w:sz w:val="24"/>
        </w:rPr>
        <w:t>（</w:t>
      </w:r>
      <w:r w:rsidR="003627A1" w:rsidRPr="00214C11">
        <w:rPr>
          <w:rFonts w:ascii="宋体" w:hAnsi="宋体" w:hint="eastAsia"/>
          <w:sz w:val="24"/>
        </w:rPr>
        <w:t>16</w:t>
      </w:r>
      <w:r w:rsidRPr="00214C11">
        <w:rPr>
          <w:rFonts w:ascii="宋体" w:hAnsi="宋体" w:hint="eastAsia"/>
          <w:sz w:val="24"/>
        </w:rPr>
        <w:t>）本基金投资流通受限证券，基金管理人应制订严格的投资决策流程和风险控制制度，防范流动性风险、法律风险和操作风险等各种风险；</w:t>
      </w:r>
      <w:r w:rsidR="000671DC" w:rsidRPr="00214C11">
        <w:rPr>
          <w:rFonts w:ascii="宋体" w:hAnsi="宋体" w:hint="eastAsia"/>
          <w:sz w:val="24"/>
        </w:rPr>
        <w:t>封闭期内，本基金投资于流通受限证券不得超过基金资产净值的100%，投资于一家公司发行的流通受限证券不得超过基金净值的</w:t>
      </w:r>
      <w:r w:rsidR="000671DC" w:rsidRPr="00214C11">
        <w:rPr>
          <w:rFonts w:ascii="宋体" w:hAnsi="宋体"/>
          <w:sz w:val="24"/>
        </w:rPr>
        <w:t>10</w:t>
      </w:r>
      <w:r w:rsidR="000671DC" w:rsidRPr="00214C11">
        <w:rPr>
          <w:rFonts w:ascii="宋体" w:hAnsi="宋体" w:hint="eastAsia"/>
          <w:sz w:val="24"/>
        </w:rPr>
        <w:t>％；在开放期，本基金投资于流通受限证券总额不得超过基金资产净值的20%，投资于一家公司发行的流通受限证券不得超过基金资产净值的10%；</w:t>
      </w:r>
    </w:p>
    <w:p w:rsidR="008C239D" w:rsidRPr="00214C11" w:rsidRDefault="008C239D" w:rsidP="00D5585F">
      <w:pPr>
        <w:adjustRightInd w:val="0"/>
        <w:snapToGrid w:val="0"/>
        <w:spacing w:line="360" w:lineRule="auto"/>
        <w:ind w:firstLineChars="200" w:firstLine="480"/>
        <w:rPr>
          <w:rFonts w:ascii="宋体" w:hAnsi="宋体"/>
          <w:sz w:val="24"/>
        </w:rPr>
      </w:pPr>
      <w:r w:rsidRPr="00214C11">
        <w:rPr>
          <w:rFonts w:ascii="宋体" w:hAnsi="宋体" w:hint="eastAsia"/>
          <w:sz w:val="24"/>
        </w:rPr>
        <w:t>（</w:t>
      </w:r>
      <w:r w:rsidR="00DB43DB" w:rsidRPr="00214C11">
        <w:rPr>
          <w:rFonts w:ascii="宋体" w:hAnsi="宋体"/>
          <w:sz w:val="24"/>
        </w:rPr>
        <w:t>1</w:t>
      </w:r>
      <w:r w:rsidR="003627A1" w:rsidRPr="00214C11">
        <w:rPr>
          <w:rFonts w:ascii="宋体" w:hAnsi="宋体" w:hint="eastAsia"/>
          <w:sz w:val="24"/>
        </w:rPr>
        <w:t>7</w:t>
      </w:r>
      <w:r w:rsidRPr="00214C11">
        <w:rPr>
          <w:rFonts w:ascii="宋体" w:hAnsi="宋体" w:hint="eastAsia"/>
          <w:sz w:val="24"/>
        </w:rPr>
        <w:t>）法律法规及中国证监会规定的和《基金合同》约定的其他投资限制。</w:t>
      </w:r>
    </w:p>
    <w:p w:rsidR="00AC63B4" w:rsidRPr="00214C11" w:rsidRDefault="00AC63B4" w:rsidP="00D5585F">
      <w:pPr>
        <w:adjustRightInd w:val="0"/>
        <w:snapToGrid w:val="0"/>
        <w:spacing w:line="360" w:lineRule="auto"/>
        <w:ind w:firstLineChars="200" w:firstLine="480"/>
        <w:rPr>
          <w:rFonts w:ascii="宋体" w:hAnsi="宋体"/>
          <w:sz w:val="24"/>
        </w:rPr>
      </w:pPr>
      <w:r w:rsidRPr="00214C11">
        <w:rPr>
          <w:rFonts w:ascii="宋体" w:hAnsi="宋体" w:hint="eastAsia"/>
          <w:sz w:val="24"/>
        </w:rPr>
        <w:t>除上述第（12）项以外，因证券、期货市场波动、上市公司合并、基金规模变动等基金管理人之外的因素致使基金投资比例不符合上述规定投资比例的，基金管理人应当在10个交易日内进行调整，但中国证监会规定的特殊情形除外。</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本基金在开始进行股指期货投资之前，应与基金托管人、期货公司三方一同就股指期货开户、清算、估值、交收等事宜另行签署《期货投资托管操作三方备忘录》。</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 xml:space="preserve">基金管理人应当自基金合同生效之日起 </w:t>
      </w:r>
      <w:r w:rsidR="009A0B6C" w:rsidRPr="00214C11">
        <w:rPr>
          <w:rFonts w:ascii="宋体" w:hAnsi="宋体" w:hint="eastAsia"/>
          <w:sz w:val="24"/>
          <w:szCs w:val="24"/>
        </w:rPr>
        <w:t>6</w:t>
      </w:r>
      <w:r w:rsidRPr="00214C11">
        <w:rPr>
          <w:rFonts w:ascii="宋体" w:hAnsi="宋体"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FE55C5" w:rsidRPr="00214C11" w:rsidRDefault="009A0B6C" w:rsidP="00241040">
      <w:pPr>
        <w:adjustRightInd w:val="0"/>
        <w:snapToGrid w:val="0"/>
        <w:spacing w:line="360" w:lineRule="auto"/>
        <w:ind w:firstLineChars="200" w:firstLine="480"/>
        <w:rPr>
          <w:rFonts w:ascii="宋体" w:hAnsi="宋体"/>
          <w:sz w:val="24"/>
          <w:szCs w:val="24"/>
        </w:rPr>
      </w:pPr>
      <w:r w:rsidRPr="00214C11">
        <w:rPr>
          <w:rFonts w:ascii="宋体" w:hAnsi="宋体"/>
          <w:sz w:val="24"/>
          <w:szCs w:val="24"/>
        </w:rPr>
        <w:t>法律法规或监管部门取消</w:t>
      </w:r>
      <w:r w:rsidRPr="00214C11">
        <w:rPr>
          <w:rFonts w:ascii="宋体" w:hAnsi="宋体" w:hint="eastAsia"/>
          <w:sz w:val="24"/>
          <w:szCs w:val="24"/>
        </w:rPr>
        <w:t>或变更</w:t>
      </w:r>
      <w:r w:rsidRPr="00214C11">
        <w:rPr>
          <w:rFonts w:ascii="宋体" w:hAnsi="宋体"/>
          <w:sz w:val="24"/>
          <w:szCs w:val="24"/>
        </w:rPr>
        <w:t>上述限制，如适用于本基金，基金管理人</w:t>
      </w:r>
      <w:r w:rsidRPr="00214C11">
        <w:rPr>
          <w:rFonts w:ascii="宋体" w:hAnsi="宋体" w:hint="eastAsia"/>
          <w:sz w:val="24"/>
          <w:szCs w:val="24"/>
        </w:rPr>
        <w:t>在</w:t>
      </w:r>
      <w:r w:rsidRPr="00214C11">
        <w:rPr>
          <w:rFonts w:ascii="宋体" w:hAnsi="宋体"/>
          <w:sz w:val="24"/>
          <w:szCs w:val="24"/>
        </w:rPr>
        <w:t>履行适当程序后，则本基金投资不再受相关限制</w:t>
      </w:r>
      <w:r w:rsidRPr="00214C11">
        <w:rPr>
          <w:rFonts w:ascii="宋体" w:hAnsi="宋体" w:hint="eastAsia"/>
          <w:sz w:val="24"/>
          <w:szCs w:val="24"/>
        </w:rPr>
        <w:t>，或以变更后的规定为准</w:t>
      </w:r>
      <w:r w:rsidRPr="00214C11">
        <w:rPr>
          <w:rFonts w:ascii="宋体" w:hAnsi="宋体"/>
          <w:sz w:val="24"/>
          <w:szCs w:val="24"/>
        </w:rPr>
        <w:t>。</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（三）基金托管人</w:t>
      </w:r>
      <w:bookmarkStart w:id="4" w:name="OLE_LINK1"/>
      <w:r w:rsidRPr="00214C11">
        <w:rPr>
          <w:rFonts w:ascii="宋体" w:hAnsi="宋体" w:hint="eastAsia"/>
          <w:sz w:val="24"/>
        </w:rPr>
        <w:t>根据有关法律法规的规定及《基金合同》的约定，</w:t>
      </w:r>
      <w:bookmarkEnd w:id="4"/>
      <w:r w:rsidRPr="00214C11">
        <w:rPr>
          <w:rFonts w:ascii="宋体" w:hAnsi="宋体" w:hint="eastAsia"/>
          <w:sz w:val="24"/>
        </w:rPr>
        <w:t>对本托管协议第十五条第九款基金投资禁止行为通过事后监督方式进行监督。</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w:t>
      </w:r>
      <w:r w:rsidRPr="00214C11">
        <w:rPr>
          <w:rFonts w:ascii="宋体" w:hAnsi="宋体" w:hint="eastAsia"/>
          <w:sz w:val="24"/>
        </w:rPr>
        <w:lastRenderedPageBreak/>
        <w:t>额持有人利益优先的原则，防范利益冲突，相关交易必须事先得到基金托管人的同意，并履行信息披露义务。</w:t>
      </w:r>
    </w:p>
    <w:p w:rsidR="00187081" w:rsidRPr="00214C11" w:rsidRDefault="00796CAC" w:rsidP="0067482A">
      <w:pPr>
        <w:adjustRightInd w:val="0"/>
        <w:snapToGrid w:val="0"/>
        <w:spacing w:line="360" w:lineRule="auto"/>
        <w:ind w:firstLineChars="200" w:firstLine="480"/>
        <w:rPr>
          <w:rFonts w:ascii="宋体" w:hAnsi="宋体"/>
        </w:rPr>
      </w:pPr>
      <w:r w:rsidRPr="00214C11">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214C11">
        <w:rPr>
          <w:rFonts w:ascii="宋体" w:hAnsi="宋体"/>
          <w:sz w:val="24"/>
        </w:rPr>
        <w:t>3个工作日内与基</w:t>
      </w:r>
      <w:r w:rsidRPr="00214C11">
        <w:rPr>
          <w:rFonts w:ascii="宋体" w:hAnsi="宋体" w:hint="eastAsia"/>
          <w:sz w:val="24"/>
        </w:rPr>
        <w:t>金托管人协商解决。</w:t>
      </w:r>
    </w:p>
    <w:p w:rsidR="00187081" w:rsidRPr="00214C11" w:rsidRDefault="00796CAC" w:rsidP="0067482A">
      <w:pPr>
        <w:adjustRightInd w:val="0"/>
        <w:snapToGrid w:val="0"/>
        <w:spacing w:line="360" w:lineRule="auto"/>
        <w:ind w:firstLineChars="200" w:firstLine="480"/>
        <w:rPr>
          <w:rFonts w:ascii="宋体" w:hAnsi="宋体"/>
        </w:rPr>
      </w:pPr>
      <w:r w:rsidRPr="00214C11">
        <w:rPr>
          <w:rFonts w:ascii="宋体" w:hAnsi="宋体" w:hint="eastAsia"/>
          <w:color w:val="000000"/>
          <w:sz w:val="24"/>
        </w:rPr>
        <w:t>基金管理人负责对交易对手的资信控制，按银行间债券市场的交易规则进行交易，并负责解决因交易对手不履行合同而造成的纠纷及损失，</w:t>
      </w:r>
      <w:r w:rsidRPr="00214C11">
        <w:rPr>
          <w:rFonts w:ascii="宋体" w:hAnsi="宋体" w:hint="eastAsia"/>
          <w:sz w:val="24"/>
        </w:rPr>
        <w:t>基金托管人不承担由此造成的任何法律责任及损失</w:t>
      </w:r>
      <w:r w:rsidRPr="00214C11">
        <w:rPr>
          <w:rFonts w:ascii="宋体" w:hAnsi="宋体" w:hint="eastAsia"/>
          <w:color w:val="000000"/>
          <w:sz w:val="24"/>
        </w:rPr>
        <w:t>。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（五）基金托管人根据有关法律法规的规定及《基金合同》的约定，对基金管理人投资流通受限证券进行监督。</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w:t>
      </w:r>
      <w:r w:rsidRPr="00214C11">
        <w:rPr>
          <w:rFonts w:ascii="宋体" w:hAnsi="宋体"/>
          <w:sz w:val="24"/>
        </w:rPr>
        <w:lastRenderedPageBreak/>
        <w:t>中的质押券等流通受限证券。本基金不投资有锁定期但锁定期不明确的证券。</w:t>
      </w:r>
    </w:p>
    <w:p w:rsidR="00187081" w:rsidRPr="00214C11" w:rsidRDefault="00796CAC" w:rsidP="0067482A">
      <w:pPr>
        <w:spacing w:line="360" w:lineRule="auto"/>
        <w:ind w:firstLineChars="200" w:firstLine="480"/>
        <w:rPr>
          <w:rFonts w:ascii="宋体" w:hAnsi="宋体"/>
          <w:sz w:val="24"/>
        </w:rPr>
      </w:pPr>
      <w:r w:rsidRPr="00214C11">
        <w:rPr>
          <w:rFonts w:ascii="宋体" w:hAnsi="宋体" w:hint="eastAsia"/>
          <w:sz w:val="24"/>
        </w:rPr>
        <w:t>本基金投资的流通受限证券限于可由中国证券登记结算有限责任公司或中央国债登记结算有限责任公司负责登记和存管，并可在证券交易所或全国银行间债券市场交易的证券。</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本基金投资的流通受限证券应保证登记存管在本基金名下，基金管理人负责相关工作的落实和协调，并确保基金托管人能够正常查询。因基金管理人原因产生的</w:t>
      </w:r>
      <w:r w:rsidR="0048085B" w:rsidRPr="00214C11">
        <w:rPr>
          <w:rFonts w:ascii="宋体" w:hAnsi="宋体" w:hint="eastAsia"/>
          <w:sz w:val="24"/>
        </w:rPr>
        <w:t>流通</w:t>
      </w:r>
      <w:r w:rsidRPr="00214C11">
        <w:rPr>
          <w:rFonts w:ascii="宋体" w:hAnsi="宋体" w:hint="eastAsia"/>
          <w:sz w:val="24"/>
        </w:rPr>
        <w:t>受限证券登记存管问题，造成基金托管人无法安全保管本基金资产的责任与损失，及因</w:t>
      </w:r>
      <w:r w:rsidR="0048085B" w:rsidRPr="00214C11">
        <w:rPr>
          <w:rFonts w:ascii="宋体" w:hAnsi="宋体" w:hint="eastAsia"/>
          <w:sz w:val="24"/>
        </w:rPr>
        <w:t>流通</w:t>
      </w:r>
      <w:r w:rsidRPr="00214C11">
        <w:rPr>
          <w:rFonts w:ascii="宋体" w:hAnsi="宋体" w:hint="eastAsia"/>
          <w:sz w:val="24"/>
        </w:rPr>
        <w:t>受限证券存管直接影响本基金安全的责任及损失，由基金管理人承担。本基金投资流通受限证券，不得预付任何形式的保证金。</w:t>
      </w:r>
    </w:p>
    <w:p w:rsidR="00187081" w:rsidRPr="00214C11" w:rsidRDefault="00796CAC" w:rsidP="0067482A">
      <w:pPr>
        <w:spacing w:line="360" w:lineRule="auto"/>
        <w:ind w:firstLineChars="200" w:firstLine="480"/>
        <w:rPr>
          <w:rFonts w:ascii="宋体" w:hAnsi="宋体"/>
          <w:sz w:val="24"/>
        </w:rPr>
      </w:pPr>
      <w:r w:rsidRPr="00214C11">
        <w:rPr>
          <w:rFonts w:ascii="宋体" w:hAnsi="宋体"/>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rsidR="00187081" w:rsidRPr="00214C11" w:rsidRDefault="00796CAC" w:rsidP="0067482A">
      <w:pPr>
        <w:spacing w:line="360" w:lineRule="auto"/>
        <w:ind w:firstLineChars="200" w:firstLine="480"/>
        <w:rPr>
          <w:rFonts w:ascii="宋体" w:hAnsi="宋体"/>
          <w:sz w:val="24"/>
        </w:rPr>
      </w:pPr>
      <w:r w:rsidRPr="00214C11">
        <w:rPr>
          <w:rFonts w:ascii="宋体" w:hAnsi="宋体" w:hint="eastAsia"/>
          <w:sz w:val="24"/>
        </w:rPr>
        <w:t>如因基金管理人原因导致本基金出现损失致使基金托管人承担连带赔偿责任的，基金管理人应赔偿基金托管人由此遭受的损失。</w:t>
      </w:r>
    </w:p>
    <w:p w:rsidR="00187081" w:rsidRPr="00214C11" w:rsidRDefault="00796CAC" w:rsidP="0067482A">
      <w:pPr>
        <w:spacing w:line="360" w:lineRule="auto"/>
        <w:ind w:firstLineChars="200" w:firstLine="480"/>
        <w:rPr>
          <w:rFonts w:ascii="宋体" w:hAnsi="宋体"/>
          <w:sz w:val="24"/>
        </w:rPr>
      </w:pPr>
      <w:r w:rsidRPr="00214C11">
        <w:rPr>
          <w:rFonts w:ascii="宋体" w:hAnsi="宋体"/>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187081" w:rsidRPr="00214C11" w:rsidRDefault="00796CAC" w:rsidP="0067482A">
      <w:pPr>
        <w:spacing w:line="360" w:lineRule="auto"/>
        <w:ind w:firstLineChars="200" w:firstLine="480"/>
        <w:rPr>
          <w:rFonts w:ascii="宋体" w:hAnsi="宋体"/>
          <w:sz w:val="24"/>
        </w:rPr>
      </w:pPr>
      <w:r w:rsidRPr="00214C11">
        <w:rPr>
          <w:rFonts w:ascii="宋体" w:hAnsi="宋体" w:hint="eastAsia"/>
          <w:sz w:val="24"/>
        </w:rPr>
        <w:t>（1）中国证监会批准发行非公开发行股票的批准文件。</w:t>
      </w:r>
    </w:p>
    <w:p w:rsidR="00187081" w:rsidRPr="00214C11" w:rsidRDefault="00796CAC" w:rsidP="0067482A">
      <w:pPr>
        <w:spacing w:line="360" w:lineRule="auto"/>
        <w:ind w:firstLineChars="200" w:firstLine="480"/>
        <w:rPr>
          <w:rFonts w:ascii="宋体" w:hAnsi="宋体"/>
          <w:sz w:val="24"/>
        </w:rPr>
      </w:pPr>
      <w:r w:rsidRPr="00214C11">
        <w:rPr>
          <w:rFonts w:ascii="宋体" w:hAnsi="宋体" w:hint="eastAsia"/>
          <w:sz w:val="24"/>
        </w:rPr>
        <w:t>（2）非公开发行股票有关发行数量、发行价格、锁定期等发行资料。</w:t>
      </w:r>
    </w:p>
    <w:p w:rsidR="00187081" w:rsidRPr="00214C11" w:rsidRDefault="00796CAC" w:rsidP="0067482A">
      <w:pPr>
        <w:spacing w:line="360" w:lineRule="auto"/>
        <w:ind w:firstLineChars="200" w:firstLine="480"/>
        <w:rPr>
          <w:rFonts w:ascii="宋体" w:hAnsi="宋体"/>
          <w:sz w:val="24"/>
        </w:rPr>
      </w:pPr>
      <w:r w:rsidRPr="00214C11">
        <w:rPr>
          <w:rFonts w:ascii="宋体" w:hAnsi="宋体" w:hint="eastAsia"/>
          <w:sz w:val="24"/>
        </w:rPr>
        <w:t>（3）非公开发行股票发行人与中国证券登记结算有限责任公司或中央国债登记结算有限责任公司签订的证券登记及服务协议。</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（4）基金拟认购的数量、价格、总成本、账面价值。</w:t>
      </w:r>
    </w:p>
    <w:p w:rsidR="00187081" w:rsidRPr="00214C11" w:rsidRDefault="00796CAC" w:rsidP="0067482A">
      <w:pPr>
        <w:spacing w:line="360" w:lineRule="auto"/>
        <w:ind w:firstLineChars="200" w:firstLine="480"/>
        <w:rPr>
          <w:rFonts w:ascii="宋体" w:hAnsi="宋体"/>
          <w:sz w:val="24"/>
        </w:rPr>
      </w:pPr>
      <w:r w:rsidRPr="00214C11">
        <w:rPr>
          <w:rFonts w:ascii="宋体" w:hAnsi="宋体"/>
          <w:sz w:val="24"/>
        </w:rPr>
        <w:lastRenderedPageBreak/>
        <w:t>4.基金管理人应在本基金投资非公开发行股票后两个交易日内，在中国证监会指定</w:t>
      </w:r>
      <w:r w:rsidR="007A33D9" w:rsidRPr="00214C11">
        <w:rPr>
          <w:rFonts w:ascii="宋体" w:hAnsi="宋体" w:hint="eastAsia"/>
          <w:sz w:val="24"/>
          <w:szCs w:val="24"/>
        </w:rPr>
        <w:t>媒介</w:t>
      </w:r>
      <w:r w:rsidRPr="00214C11">
        <w:rPr>
          <w:rFonts w:ascii="宋体" w:hAnsi="宋体" w:hint="eastAsia"/>
          <w:sz w:val="24"/>
        </w:rPr>
        <w:t>披露所投资非公开发行股票的名称、数量、总成本、账面价值，以及总成本和账面价值占基金资产净值的比例、锁定期等信息。</w:t>
      </w:r>
    </w:p>
    <w:p w:rsidR="00187081" w:rsidRPr="00214C11" w:rsidRDefault="00796CAC" w:rsidP="0067482A">
      <w:pPr>
        <w:spacing w:line="360" w:lineRule="auto"/>
        <w:ind w:firstLineChars="200" w:firstLine="480"/>
        <w:rPr>
          <w:rFonts w:ascii="宋体" w:hAnsi="宋体"/>
          <w:sz w:val="24"/>
        </w:rPr>
      </w:pPr>
      <w:r w:rsidRPr="00214C11">
        <w:rPr>
          <w:rFonts w:ascii="宋体" w:hAnsi="宋体" w:hint="eastAsia"/>
          <w:sz w:val="24"/>
        </w:rPr>
        <w:t>本基金有关投资流通受限证券比例如违反有关限制规定，在合理期限内未能进行及时调整，基金管理人应在两个工作日内编制临时报告书，予以公告。</w:t>
      </w:r>
    </w:p>
    <w:p w:rsidR="00187081" w:rsidRPr="00214C11" w:rsidRDefault="00796CAC" w:rsidP="0067482A">
      <w:pPr>
        <w:spacing w:line="360" w:lineRule="auto"/>
        <w:ind w:firstLineChars="200" w:firstLine="480"/>
        <w:rPr>
          <w:rFonts w:ascii="宋体" w:hAnsi="宋体"/>
          <w:sz w:val="24"/>
        </w:rPr>
      </w:pPr>
      <w:r w:rsidRPr="00214C11">
        <w:rPr>
          <w:rFonts w:ascii="宋体" w:hAnsi="宋体"/>
          <w:sz w:val="24"/>
        </w:rPr>
        <w:t>5.基金托管人根据有关规定有权对基金管理人进行以下事项监督：</w:t>
      </w:r>
    </w:p>
    <w:p w:rsidR="00187081" w:rsidRPr="00214C11" w:rsidRDefault="00796CAC" w:rsidP="0067482A">
      <w:pPr>
        <w:spacing w:line="360" w:lineRule="auto"/>
        <w:ind w:firstLineChars="200" w:firstLine="480"/>
        <w:rPr>
          <w:rFonts w:ascii="宋体" w:hAnsi="宋体"/>
          <w:sz w:val="24"/>
        </w:rPr>
      </w:pPr>
      <w:r w:rsidRPr="00214C11">
        <w:rPr>
          <w:rFonts w:ascii="宋体" w:hAnsi="宋体" w:hint="eastAsia"/>
          <w:sz w:val="24"/>
        </w:rPr>
        <w:t>（1）本基金投资流通受限证券时的法律法规遵守情况。</w:t>
      </w:r>
    </w:p>
    <w:p w:rsidR="00187081" w:rsidRPr="00214C11" w:rsidRDefault="00796CAC" w:rsidP="0067482A">
      <w:pPr>
        <w:spacing w:line="360" w:lineRule="auto"/>
        <w:ind w:firstLineChars="200" w:firstLine="480"/>
        <w:rPr>
          <w:rFonts w:ascii="宋体" w:hAnsi="宋体"/>
          <w:sz w:val="24"/>
        </w:rPr>
      </w:pPr>
      <w:r w:rsidRPr="00214C11">
        <w:rPr>
          <w:rFonts w:ascii="宋体" w:hAnsi="宋体" w:hint="eastAsia"/>
          <w:sz w:val="24"/>
        </w:rPr>
        <w:t>（2）在基金投资</w:t>
      </w:r>
      <w:r w:rsidR="0048085B" w:rsidRPr="00214C11">
        <w:rPr>
          <w:rFonts w:ascii="宋体" w:hAnsi="宋体" w:hint="eastAsia"/>
          <w:sz w:val="24"/>
        </w:rPr>
        <w:t>流通</w:t>
      </w:r>
      <w:r w:rsidRPr="00214C11">
        <w:rPr>
          <w:rFonts w:ascii="宋体" w:hAnsi="宋体" w:hint="eastAsia"/>
          <w:sz w:val="24"/>
        </w:rPr>
        <w:t>受限证券管理工作方面有关制度、流动性风险处置预案的建立与完善情况。</w:t>
      </w:r>
    </w:p>
    <w:p w:rsidR="00187081" w:rsidRPr="00214C11" w:rsidRDefault="00796CAC" w:rsidP="0067482A">
      <w:pPr>
        <w:spacing w:line="360" w:lineRule="auto"/>
        <w:ind w:firstLineChars="200" w:firstLine="480"/>
        <w:rPr>
          <w:rFonts w:ascii="宋体" w:hAnsi="宋体"/>
          <w:sz w:val="24"/>
        </w:rPr>
      </w:pPr>
      <w:r w:rsidRPr="00214C11">
        <w:rPr>
          <w:rFonts w:ascii="宋体" w:hAnsi="宋体" w:hint="eastAsia"/>
          <w:sz w:val="24"/>
        </w:rPr>
        <w:t>（3）有关比例限制的执行情况。</w:t>
      </w:r>
    </w:p>
    <w:p w:rsidR="00187081" w:rsidRPr="00214C11" w:rsidRDefault="00796CAC" w:rsidP="0067482A">
      <w:pPr>
        <w:spacing w:line="360" w:lineRule="auto"/>
        <w:ind w:firstLineChars="200" w:firstLine="480"/>
        <w:rPr>
          <w:rFonts w:ascii="宋体" w:hAnsi="宋体"/>
          <w:sz w:val="24"/>
        </w:rPr>
      </w:pPr>
      <w:r w:rsidRPr="00214C11">
        <w:rPr>
          <w:rFonts w:ascii="宋体" w:hAnsi="宋体" w:hint="eastAsia"/>
          <w:sz w:val="24"/>
        </w:rPr>
        <w:t>（4）信息披露情况。</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6.相关法律法规对基金投资流通受限证券有新规定的，从其规定。</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w:t>
      </w:r>
      <w:r w:rsidR="003C4212" w:rsidRPr="00214C11">
        <w:rPr>
          <w:rFonts w:ascii="宋体" w:hAnsi="宋体" w:cs="Arial" w:hint="eastAsia"/>
          <w:sz w:val="24"/>
          <w:szCs w:val="24"/>
        </w:rPr>
        <w:t>七</w:t>
      </w:r>
      <w:r w:rsidRPr="00214C11">
        <w:rPr>
          <w:rFonts w:ascii="宋体" w:hAnsi="宋体"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w:t>
      </w:r>
      <w:r w:rsidR="003C4212" w:rsidRPr="00214C11">
        <w:rPr>
          <w:rFonts w:ascii="宋体" w:hAnsi="宋体" w:cs="Arial" w:hint="eastAsia"/>
          <w:sz w:val="24"/>
          <w:szCs w:val="24"/>
        </w:rPr>
        <w:t>八</w:t>
      </w:r>
      <w:r w:rsidRPr="00214C11">
        <w:rPr>
          <w:rFonts w:ascii="宋体" w:hAnsi="宋体"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w:t>
      </w:r>
      <w:r w:rsidR="003C4212" w:rsidRPr="00214C11">
        <w:rPr>
          <w:rFonts w:ascii="宋体" w:hAnsi="宋体" w:cs="Arial" w:hint="eastAsia"/>
          <w:sz w:val="24"/>
          <w:szCs w:val="24"/>
        </w:rPr>
        <w:t>九</w:t>
      </w:r>
      <w:r w:rsidRPr="00214C11">
        <w:rPr>
          <w:rFonts w:ascii="宋体" w:hAnsi="宋体" w:hint="eastAsia"/>
          <w:sz w:val="24"/>
        </w:rPr>
        <w:t>）若基金托管人发现基金管理人依据交易程序已经生效的指令违反法律、</w:t>
      </w:r>
      <w:r w:rsidRPr="00214C11">
        <w:rPr>
          <w:rFonts w:ascii="宋体" w:hAnsi="宋体" w:hint="eastAsia"/>
          <w:sz w:val="24"/>
        </w:rPr>
        <w:lastRenderedPageBreak/>
        <w:t>行政法规和其他有关规定，或者违反《基金合同》约定的，应当立即通知基金管理人，由此造成的损失由基金管理人承担。</w:t>
      </w:r>
    </w:p>
    <w:p w:rsidR="001D1693" w:rsidRPr="00214C11" w:rsidRDefault="00796CAC" w:rsidP="001D1693">
      <w:pPr>
        <w:adjustRightInd w:val="0"/>
        <w:snapToGrid w:val="0"/>
        <w:spacing w:line="360" w:lineRule="auto"/>
        <w:ind w:firstLineChars="200" w:firstLine="480"/>
        <w:rPr>
          <w:rFonts w:ascii="宋体" w:hAnsi="宋体"/>
          <w:sz w:val="24"/>
        </w:rPr>
        <w:sectPr w:rsidR="001D1693" w:rsidRPr="00214C11" w:rsidSect="00F677E0">
          <w:footerReference w:type="default" r:id="rId13"/>
          <w:pgSz w:w="11906" w:h="16838" w:code="9"/>
          <w:pgMar w:top="1418" w:right="1701" w:bottom="1418" w:left="1701" w:header="851" w:footer="992" w:gutter="0"/>
          <w:pgNumType w:start="1"/>
          <w:cols w:space="425"/>
          <w:docGrid w:type="lines" w:linePitch="312"/>
        </w:sectPr>
      </w:pPr>
      <w:r w:rsidRPr="00214C11">
        <w:rPr>
          <w:rFonts w:ascii="宋体" w:hAnsi="宋体" w:hint="eastAsia"/>
          <w:sz w:val="24"/>
        </w:rPr>
        <w:t>（</w:t>
      </w:r>
      <w:r w:rsidR="007A33D9" w:rsidRPr="00214C11">
        <w:rPr>
          <w:rFonts w:ascii="宋体" w:hAnsi="宋体" w:cs="Arial" w:hint="eastAsia"/>
          <w:sz w:val="24"/>
          <w:szCs w:val="24"/>
        </w:rPr>
        <w:t>十</w:t>
      </w:r>
      <w:r w:rsidRPr="00214C11">
        <w:rPr>
          <w:rFonts w:ascii="宋体" w:hAnsi="宋体"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p>
    <w:p w:rsidR="00187081" w:rsidRPr="00214C11" w:rsidRDefault="00796CAC" w:rsidP="0067482A">
      <w:pPr>
        <w:keepNext/>
        <w:keepLines/>
        <w:spacing w:before="260" w:after="260" w:line="360" w:lineRule="auto"/>
        <w:jc w:val="center"/>
        <w:outlineLvl w:val="1"/>
        <w:rPr>
          <w:rFonts w:ascii="宋体" w:hAnsi="宋体"/>
          <w:sz w:val="30"/>
        </w:rPr>
      </w:pPr>
      <w:r w:rsidRPr="00214C11">
        <w:rPr>
          <w:rFonts w:ascii="宋体" w:hAnsi="宋体" w:hint="eastAsia"/>
          <w:b/>
          <w:sz w:val="30"/>
        </w:rPr>
        <w:lastRenderedPageBreak/>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（一）基金管理人对基金托管人履行托管职责情况进行核查，核查事项包括基金托管人安全保管基金财产、开设基金财产的资金账户和证券账户</w:t>
      </w:r>
      <w:r w:rsidR="0048085B" w:rsidRPr="00214C11">
        <w:rPr>
          <w:rFonts w:ascii="宋体" w:hAnsi="宋体" w:hint="eastAsia"/>
          <w:sz w:val="24"/>
        </w:rPr>
        <w:t>等投资所需账户</w:t>
      </w:r>
      <w:r w:rsidRPr="00214C11">
        <w:rPr>
          <w:rFonts w:ascii="宋体" w:hAnsi="宋体" w:hint="eastAsia"/>
          <w:sz w:val="24"/>
        </w:rPr>
        <w:t>、复核基金管理人计算的基金资产净值</w:t>
      </w:r>
      <w:r w:rsidR="007A33D9" w:rsidRPr="00214C11">
        <w:rPr>
          <w:rFonts w:ascii="宋体" w:hAnsi="宋体" w:cs="Arial" w:hint="eastAsia"/>
          <w:sz w:val="24"/>
          <w:szCs w:val="24"/>
        </w:rPr>
        <w:t>、基金份额净值</w:t>
      </w:r>
      <w:r w:rsidRPr="00214C11">
        <w:rPr>
          <w:rFonts w:ascii="宋体" w:hAnsi="宋体" w:hint="eastAsia"/>
          <w:sz w:val="24"/>
        </w:rPr>
        <w:t>、根据基金管理人指令办理清算交收、相关信息披露和监督基金投资运作等行为。</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187081" w:rsidRPr="00214C11" w:rsidRDefault="00187081" w:rsidP="0067482A">
      <w:pPr>
        <w:spacing w:line="360" w:lineRule="auto"/>
        <w:rPr>
          <w:rFonts w:ascii="宋体" w:hAnsi="宋体"/>
          <w:sz w:val="24"/>
        </w:rPr>
      </w:pPr>
    </w:p>
    <w:p w:rsidR="00CF50F2" w:rsidRPr="00214C11" w:rsidRDefault="00CF50F2" w:rsidP="00310C11">
      <w:pPr>
        <w:keepNext/>
        <w:keepLines/>
        <w:spacing w:before="260" w:after="260" w:line="360" w:lineRule="auto"/>
        <w:jc w:val="center"/>
        <w:outlineLvl w:val="1"/>
        <w:rPr>
          <w:rFonts w:ascii="宋体" w:hAnsi="宋体"/>
          <w:b/>
          <w:sz w:val="30"/>
        </w:rPr>
        <w:sectPr w:rsidR="00CF50F2" w:rsidRPr="00214C11" w:rsidSect="00F677E0">
          <w:footerReference w:type="default" r:id="rId14"/>
          <w:pgSz w:w="11906" w:h="16838" w:code="9"/>
          <w:pgMar w:top="1418" w:right="1701" w:bottom="1418" w:left="1701" w:header="851" w:footer="992" w:gutter="0"/>
          <w:pgNumType w:start="1"/>
          <w:cols w:space="425"/>
          <w:docGrid w:type="lines" w:linePitch="312"/>
        </w:sect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p>
    <w:p w:rsidR="00187081" w:rsidRPr="00214C11" w:rsidRDefault="00796CAC" w:rsidP="0067482A">
      <w:pPr>
        <w:keepNext/>
        <w:keepLines/>
        <w:spacing w:before="260" w:after="260" w:line="360" w:lineRule="auto"/>
        <w:jc w:val="center"/>
        <w:outlineLvl w:val="1"/>
        <w:rPr>
          <w:rFonts w:ascii="宋体" w:hAnsi="宋体"/>
          <w:sz w:val="30"/>
        </w:rPr>
      </w:pPr>
      <w:r w:rsidRPr="00214C11">
        <w:rPr>
          <w:rFonts w:ascii="宋体" w:hAnsi="宋体" w:hint="eastAsia"/>
          <w:b/>
          <w:sz w:val="30"/>
        </w:rPr>
        <w:lastRenderedPageBreak/>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（一）基金财产保管的原则</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1.基金财产应独立于基金管理人、基金托管人的固有财产。</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2.基金托管人应安全保管基金财产。</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3.基金托管人按照规定开设基金财产的资金账户和证券账户</w:t>
      </w:r>
      <w:r w:rsidR="0048085B" w:rsidRPr="00214C11">
        <w:rPr>
          <w:rFonts w:ascii="宋体" w:hAnsi="宋体" w:hint="eastAsia"/>
          <w:sz w:val="24"/>
        </w:rPr>
        <w:t>等投资所需账户</w:t>
      </w:r>
      <w:r w:rsidRPr="00214C11">
        <w:rPr>
          <w:rFonts w:ascii="宋体" w:hAnsi="宋体"/>
          <w:sz w:val="24"/>
        </w:rPr>
        <w:t>。</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4.基金托管人对所托管的不同基金财产分别设置账户，确保基金财产的完整与独立。</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w:t>
      </w:r>
      <w:r w:rsidRPr="00214C11">
        <w:rPr>
          <w:rFonts w:ascii="宋体" w:hAnsi="宋体" w:hint="eastAsia"/>
          <w:sz w:val="24"/>
        </w:rPr>
        <w:t>开户银行或登记结算机构扣收结算费和账户维护费等费用）。</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7.除依据法律法规和《基金合同》的规定外，基金托管人不得委托第三人托管基金财产。</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（二）基金募集期间及募集资金的验资</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1.基金募集期间募集的资金应存于基金管理人在</w:t>
      </w:r>
      <w:r w:rsidR="007A33D9" w:rsidRPr="00214C11">
        <w:rPr>
          <w:rFonts w:ascii="宋体" w:hAnsi="宋体" w:cs="Arial"/>
          <w:sz w:val="24"/>
          <w:szCs w:val="24"/>
        </w:rPr>
        <w:t>具有</w:t>
      </w:r>
      <w:r w:rsidRPr="00214C11">
        <w:rPr>
          <w:rFonts w:ascii="宋体" w:hAnsi="宋体"/>
          <w:sz w:val="24"/>
        </w:rPr>
        <w:t>托管</w:t>
      </w:r>
      <w:r w:rsidR="007A33D9" w:rsidRPr="00214C11">
        <w:rPr>
          <w:rFonts w:ascii="宋体" w:hAnsi="宋体" w:cs="Arial"/>
          <w:sz w:val="24"/>
          <w:szCs w:val="24"/>
        </w:rPr>
        <w:t>资格</w:t>
      </w:r>
      <w:r w:rsidRPr="00214C11">
        <w:rPr>
          <w:rFonts w:ascii="宋体" w:hAnsi="宋体"/>
          <w:sz w:val="24"/>
        </w:rPr>
        <w:t>的</w:t>
      </w:r>
      <w:r w:rsidR="007A33D9" w:rsidRPr="00214C11">
        <w:rPr>
          <w:rFonts w:ascii="宋体" w:hAnsi="宋体" w:cs="Arial"/>
          <w:sz w:val="24"/>
          <w:szCs w:val="24"/>
        </w:rPr>
        <w:t>商业银行</w:t>
      </w:r>
      <w:r w:rsidRPr="00214C11">
        <w:rPr>
          <w:rFonts w:ascii="宋体" w:hAnsi="宋体" w:hint="eastAsia"/>
          <w:sz w:val="24"/>
        </w:rPr>
        <w:t>开立的“基金募集专户”。该账户由基金管理人开立并管理。</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3.若基金募集期限届满，未能达到《基金合同》生效的条件，由基金管理人按规定办理退款等事宜。</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lastRenderedPageBreak/>
        <w:t>（三）基金银行账户的开立和管理</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1.基金托管人</w:t>
      </w:r>
      <w:r w:rsidR="002D0F0F" w:rsidRPr="00214C11">
        <w:rPr>
          <w:rFonts w:ascii="宋体" w:hAnsi="宋体" w:cs="Arial" w:hint="eastAsia"/>
          <w:sz w:val="24"/>
          <w:szCs w:val="24"/>
        </w:rPr>
        <w:t>应</w:t>
      </w:r>
      <w:r w:rsidR="007A33D9" w:rsidRPr="00214C11">
        <w:rPr>
          <w:rFonts w:ascii="宋体" w:hAnsi="宋体" w:cs="Arial" w:hint="eastAsia"/>
          <w:sz w:val="24"/>
          <w:szCs w:val="24"/>
        </w:rPr>
        <w:t>以</w:t>
      </w:r>
      <w:r w:rsidRPr="00214C11">
        <w:rPr>
          <w:rFonts w:ascii="宋体" w:hAnsi="宋体" w:hint="eastAsia"/>
          <w:sz w:val="24"/>
        </w:rPr>
        <w:t>基金的名义在其营业机构开立基金的银行账户，并根据基金管理人合法合规的指令办理资金收付。本基金的银行预留印鉴由基金托管人保管和使用。</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3.基金银行账户的开立和管理应符合银行业监督管理机构的有关规定。</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4.在符合法律法规规定的条件下，基金托管人可以通过基金托管人专用账户办理基金资产的支付。</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（四）基金证券账户和结算备付金账户的开立和管理</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1.基金托管人在中国证券登记结算有限责任公司</w:t>
      </w:r>
      <w:r w:rsidR="007A33D9" w:rsidRPr="00214C11">
        <w:rPr>
          <w:rFonts w:ascii="宋体" w:hAnsi="宋体" w:cs="Arial" w:hint="eastAsia"/>
          <w:sz w:val="24"/>
          <w:szCs w:val="24"/>
        </w:rPr>
        <w:t>上海分公司、深圳分公司</w:t>
      </w:r>
      <w:r w:rsidRPr="00214C11">
        <w:rPr>
          <w:rFonts w:ascii="宋体" w:hAnsi="宋体" w:hint="eastAsia"/>
          <w:sz w:val="24"/>
        </w:rPr>
        <w:t>为基金开立基金托管人与基金联名的证券账户。</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3.基金证券账户的开立和证券账户卡的保管由基金托管人负责，账户资产的管理和运用由基金管理人负责。</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证券账户开户费由本基金财产承担。此项开户费由基金管理人先行垫付</w:t>
      </w:r>
      <w:r w:rsidRPr="00214C11">
        <w:rPr>
          <w:rFonts w:ascii="宋体" w:hAnsi="宋体"/>
          <w:sz w:val="24"/>
        </w:rPr>
        <w:t>,待</w:t>
      </w:r>
      <w:r w:rsidR="00A01708" w:rsidRPr="00214C11">
        <w:rPr>
          <w:rFonts w:ascii="宋体" w:hAnsi="宋体" w:hint="eastAsia"/>
          <w:sz w:val="24"/>
        </w:rPr>
        <w:t>本基金成立</w:t>
      </w:r>
      <w:r w:rsidRPr="00214C11">
        <w:rPr>
          <w:rFonts w:ascii="宋体" w:hAnsi="宋体"/>
          <w:sz w:val="24"/>
        </w:rPr>
        <w:t>后,基金管理人可向基金托管人发送划款指令,将代垫开户费从本</w:t>
      </w:r>
      <w:r w:rsidR="00A01708" w:rsidRPr="00214C11">
        <w:rPr>
          <w:rFonts w:ascii="宋体" w:hAnsi="宋体" w:hint="eastAsia"/>
          <w:sz w:val="24"/>
        </w:rPr>
        <w:t>基金</w:t>
      </w:r>
      <w:r w:rsidRPr="00214C11">
        <w:rPr>
          <w:rFonts w:ascii="宋体" w:hAnsi="宋体"/>
          <w:sz w:val="24"/>
        </w:rPr>
        <w:t>托管资金账户中扣还基金管理人。账户开立后，基金托管人应及时将证券账户开通信息通知基金管理</w:t>
      </w:r>
      <w:r w:rsidRPr="00214C11">
        <w:rPr>
          <w:rFonts w:ascii="宋体" w:hAnsi="宋体" w:hint="eastAsia"/>
          <w:sz w:val="24"/>
        </w:rPr>
        <w:t>人。</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Pr="00214C11">
        <w:rPr>
          <w:rFonts w:ascii="宋体" w:hAnsi="宋体" w:hint="eastAsia"/>
          <w:sz w:val="24"/>
        </w:rPr>
        <w:t>保证金、交收资金等的收取按照中国证券登记结算有限责任公司的规定以及基金管理人与基金托管人签署的《托管银行证券资金结算协议》执行。</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lastRenderedPageBreak/>
        <w:t>（五）债券托管</w:t>
      </w:r>
      <w:r w:rsidR="007A33D9" w:rsidRPr="00214C11">
        <w:rPr>
          <w:rFonts w:ascii="宋体" w:hAnsi="宋体" w:cs="Arial" w:hint="eastAsia"/>
          <w:sz w:val="24"/>
          <w:szCs w:val="24"/>
        </w:rPr>
        <w:t>账户</w:t>
      </w:r>
      <w:r w:rsidRPr="00214C11">
        <w:rPr>
          <w:rFonts w:ascii="宋体" w:hAnsi="宋体" w:hint="eastAsia"/>
          <w:sz w:val="24"/>
        </w:rPr>
        <w:t>的</w:t>
      </w:r>
      <w:r w:rsidR="00416F02" w:rsidRPr="00214C11">
        <w:rPr>
          <w:rFonts w:ascii="宋体" w:hAnsi="宋体" w:hint="eastAsia"/>
          <w:sz w:val="24"/>
        </w:rPr>
        <w:t>开立</w:t>
      </w:r>
      <w:r w:rsidRPr="00214C11">
        <w:rPr>
          <w:rFonts w:ascii="宋体" w:hAnsi="宋体" w:hint="eastAsia"/>
          <w:sz w:val="24"/>
        </w:rPr>
        <w:t>和管理</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（六）其他账户的开立和管理</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1.</w:t>
      </w:r>
      <w:r w:rsidRPr="00214C11">
        <w:rPr>
          <w:rFonts w:ascii="宋体" w:hAnsi="宋体"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2.法律法规等有关规定对相关账户的开立和管理另有规定的，从其规定办理。</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（七）基金财产投资的有关有价凭证等的保管</w:t>
      </w:r>
    </w:p>
    <w:p w:rsidR="00187081" w:rsidRPr="00214C11" w:rsidRDefault="00796CAC" w:rsidP="0067482A">
      <w:pPr>
        <w:adjustRightInd w:val="0"/>
        <w:snapToGrid w:val="0"/>
        <w:spacing w:line="360" w:lineRule="auto"/>
        <w:ind w:firstLineChars="200" w:firstLine="480"/>
        <w:rPr>
          <w:rFonts w:ascii="宋体" w:hAnsi="宋体"/>
        </w:rPr>
      </w:pPr>
      <w:r w:rsidRPr="00214C11">
        <w:rPr>
          <w:rFonts w:ascii="宋体" w:hAnsi="宋体"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214C11">
        <w:rPr>
          <w:rFonts w:ascii="宋体" w:hAnsi="宋体"/>
          <w:sz w:val="24"/>
        </w:rPr>
        <w:t>/深圳分公司</w:t>
      </w:r>
      <w:r w:rsidRPr="00214C11">
        <w:rPr>
          <w:rFonts w:ascii="宋体" w:hAnsi="宋体"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的资产或其保管不承担任何责任。</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（八）与基金财产有关的重大合同的保管</w:t>
      </w:r>
    </w:p>
    <w:p w:rsidR="00DC3C9F" w:rsidRPr="00214C11" w:rsidRDefault="00796CAC" w:rsidP="00DC3C9F">
      <w:pPr>
        <w:adjustRightInd w:val="0"/>
        <w:snapToGrid w:val="0"/>
        <w:spacing w:line="360" w:lineRule="auto"/>
        <w:ind w:firstLineChars="200" w:firstLine="480"/>
        <w:rPr>
          <w:rFonts w:ascii="宋体" w:hAnsi="宋体"/>
          <w:sz w:val="24"/>
        </w:rPr>
        <w:sectPr w:rsidR="00DC3C9F" w:rsidRPr="00214C11" w:rsidSect="00F677E0">
          <w:footerReference w:type="default" r:id="rId15"/>
          <w:pgSz w:w="11906" w:h="16838" w:code="9"/>
          <w:pgMar w:top="1418" w:right="1701" w:bottom="1418" w:left="1701" w:header="851" w:footer="992" w:gutter="0"/>
          <w:pgNumType w:start="1"/>
          <w:cols w:space="425"/>
          <w:docGrid w:type="lines" w:linePitch="312"/>
        </w:sectPr>
      </w:pPr>
      <w:r w:rsidRPr="00214C11">
        <w:rPr>
          <w:rFonts w:ascii="宋体" w:hAnsi="宋体"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214C11">
        <w:rPr>
          <w:rFonts w:ascii="宋体" w:hAnsi="宋体"/>
          <w:sz w:val="24"/>
        </w:rPr>
        <w:t>15年。</w:t>
      </w: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p>
    <w:p w:rsidR="00187081" w:rsidRPr="00214C11" w:rsidRDefault="00796CAC" w:rsidP="0067482A">
      <w:pPr>
        <w:keepNext/>
        <w:keepLines/>
        <w:spacing w:before="260" w:after="260" w:line="360" w:lineRule="auto"/>
        <w:jc w:val="center"/>
        <w:outlineLvl w:val="1"/>
        <w:rPr>
          <w:rFonts w:ascii="宋体" w:hAnsi="宋体"/>
          <w:sz w:val="30"/>
        </w:rPr>
      </w:pPr>
      <w:r w:rsidRPr="00214C11">
        <w:rPr>
          <w:rFonts w:ascii="宋体" w:hAnsi="宋体" w:hint="eastAsia"/>
          <w:b/>
          <w:sz w:val="30"/>
        </w:rPr>
        <w:lastRenderedPageBreak/>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（一）基金管理人对发送指令人员的书面授权</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1.基金管理人应指定专人向基金托管人发送指令。</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2.基金管理人应向基金托管人提供书面授权文件，内容包括被授权人名单、预留印鉴及被授权人签字样本，授权文件应注明被授权人相应的权限。</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4.基金管理人和基金托管人对授权文件负有保密义务，其内容不得向被授权人及相关操作人员以外的任何人泄露。但法律法规规定或有权机关要求的除外。</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（二）指令的内容</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1.指令包括付款指令以及其他资金划拨指令等。</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2.基金管理人发给基金托管人的指令应写明款项事由、支付时间、到账时间、金额、账户等，加盖预留印鉴并由被授权人签字。</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（三）指令的发送、确认及执行的时间和程序</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1.指令的发送</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基金管理人发送指令应采用传真方式或双方协商一致的其他方式。</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w:t>
      </w:r>
      <w:r w:rsidR="007A33D9" w:rsidRPr="00214C11">
        <w:rPr>
          <w:rFonts w:ascii="宋体" w:hAnsi="宋体" w:cs="Arial" w:hint="eastAsia"/>
          <w:sz w:val="24"/>
          <w:szCs w:val="24"/>
        </w:rPr>
        <w:t>人员</w:t>
      </w:r>
      <w:r w:rsidRPr="00214C11">
        <w:rPr>
          <w:rFonts w:ascii="宋体" w:hAnsi="宋体" w:hint="eastAsia"/>
          <w:sz w:val="24"/>
        </w:rPr>
        <w:t>的授权，并且基金托管人根据本协议确认后，则对于此后该</w:t>
      </w:r>
      <w:r w:rsidR="007A33D9" w:rsidRPr="00214C11">
        <w:rPr>
          <w:rFonts w:ascii="宋体" w:hAnsi="宋体" w:cs="Arial" w:hint="eastAsia"/>
          <w:sz w:val="24"/>
          <w:szCs w:val="24"/>
        </w:rPr>
        <w:t>交易指令发送人员</w:t>
      </w:r>
      <w:r w:rsidRPr="00214C11">
        <w:rPr>
          <w:rFonts w:ascii="宋体" w:hAnsi="宋体" w:hint="eastAsia"/>
          <w:sz w:val="24"/>
        </w:rPr>
        <w:t>无权发送的指令，或超权限发送的指令，基金管理人不承担责任，授权已更改但未经基金托管人确认的情况除外。</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指令发出后，基金管理人应及时以电话方式向基金托管人确认。</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基金管理人应在交易结束后将银行间同业市场债券交易成交单加盖预留印鉴</w:t>
      </w:r>
      <w:r w:rsidRPr="00214C11">
        <w:rPr>
          <w:rFonts w:ascii="宋体" w:hAnsi="宋体" w:hint="eastAsia"/>
          <w:sz w:val="24"/>
        </w:rPr>
        <w:lastRenderedPageBreak/>
        <w:t>后及时传真给基金托管人，并电话确认。如果银行间簿记系统已经生成的交易需要取消或终止，基金管理人要书面通知基金托管人。</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2.指令的确认</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3.指令的时间和执行</w:t>
      </w:r>
    </w:p>
    <w:p w:rsidR="00187081" w:rsidRPr="00214C11" w:rsidRDefault="00796CAC" w:rsidP="0067482A">
      <w:pPr>
        <w:adjustRightInd w:val="0"/>
        <w:snapToGrid w:val="0"/>
        <w:spacing w:line="360" w:lineRule="auto"/>
        <w:ind w:firstLine="480"/>
        <w:rPr>
          <w:rFonts w:ascii="宋体" w:hAnsi="宋体"/>
          <w:shd w:val="pct15" w:color="auto" w:fill="FFFFFF"/>
        </w:rPr>
      </w:pPr>
      <w:r w:rsidRPr="00214C11">
        <w:rPr>
          <w:rFonts w:ascii="宋体" w:hAnsi="宋体" w:hint="eastAsia"/>
          <w:sz w:val="24"/>
        </w:rPr>
        <w:t>基金管理人尽量于划款前</w:t>
      </w:r>
      <w:r w:rsidRPr="00214C11">
        <w:rPr>
          <w:rFonts w:ascii="宋体" w:hAnsi="宋体"/>
          <w:sz w:val="24"/>
        </w:rPr>
        <w:t>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w:t>
      </w:r>
      <w:r w:rsidR="007A33D9" w:rsidRPr="00214C11">
        <w:rPr>
          <w:rFonts w:ascii="宋体" w:hAnsi="宋体" w:hint="eastAsia"/>
          <w:sz w:val="24"/>
        </w:rPr>
        <w:t>基金</w:t>
      </w:r>
      <w:r w:rsidRPr="00214C11">
        <w:rPr>
          <w:rFonts w:ascii="宋体" w:hAnsi="宋体" w:hint="eastAsia"/>
          <w:sz w:val="24"/>
        </w:rPr>
        <w:t>托管人。因基金管理人指令传输不及时，致使资金未能及时划入中登公司所造成的损失由基金管理人承担，包括赔偿在</w:t>
      </w:r>
      <w:r w:rsidR="002D7BFB" w:rsidRPr="00214C11">
        <w:rPr>
          <w:rFonts w:ascii="宋体" w:hAnsi="宋体" w:hint="eastAsia"/>
          <w:sz w:val="24"/>
        </w:rPr>
        <w:t>该交易</w:t>
      </w:r>
      <w:r w:rsidRPr="00214C11">
        <w:rPr>
          <w:rFonts w:ascii="宋体" w:hAnsi="宋体"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187081" w:rsidRPr="00214C11" w:rsidRDefault="00796CAC" w:rsidP="0067482A">
      <w:pPr>
        <w:adjustRightInd w:val="0"/>
        <w:snapToGrid w:val="0"/>
        <w:spacing w:line="360" w:lineRule="auto"/>
        <w:ind w:firstLine="480"/>
        <w:rPr>
          <w:rFonts w:ascii="宋体" w:hAnsi="宋体"/>
        </w:rPr>
      </w:pPr>
      <w:r w:rsidRPr="00214C11">
        <w:rPr>
          <w:rFonts w:ascii="宋体" w:hAnsi="宋体" w:hint="eastAsia"/>
          <w:sz w:val="24"/>
        </w:rPr>
        <w:t>（四）基金管理人发送错误指令的情形和处理程序</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基金管理人发送错误指令的情形包括指令违反法律法规和《基金合同》，指令发送人员无权或超越权限发送指令。</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基金托管人在履行监督职能时，发现基金管理人的指令错误时，有权拒绝执行，并及时通知基金管理人改正。如需撤销指令，基金管理人应出具书面说明，并加盖业务用章。</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（五）基金托管人依照法律法规暂缓、拒绝执行指令的情形和处理程序</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lastRenderedPageBreak/>
        <w:t>若基金托管人发现基金管理人的指令违反法律法规，或者违反《基金合同》约定的，应当拒绝执行，立即通知基金管理人。</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（六）基金托管人未按照基金管理人指令执行的处理方法</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基金托管人由于自身原因，未按照基金管理人发送的指令执行并对基金财产或投资人造成的直接损失，由基金托管人赔偿由此造成的直接损失</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（七）更换被授权人员的程序</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w:t>
      </w:r>
      <w:r w:rsidR="007A33D9" w:rsidRPr="00214C11">
        <w:rPr>
          <w:rFonts w:ascii="宋体" w:hAnsi="宋体" w:cs="Arial" w:hint="eastAsia"/>
          <w:sz w:val="24"/>
          <w:szCs w:val="24"/>
        </w:rPr>
        <w:t>接收</w:t>
      </w:r>
      <w:r w:rsidRPr="00214C11">
        <w:rPr>
          <w:rFonts w:ascii="宋体" w:hAnsi="宋体" w:hint="eastAsia"/>
          <w:sz w:val="24"/>
        </w:rPr>
        <w:t>基金管理人指令的人员，应提前通过录音电话通知基金管理人。</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（八）其他事项</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基金参与认购未上市债券时，基金管理人应代表本基金与对手方签署相关合同或协议，明确约定债券过户具体事宜。否则，基金管理人需对所认购债券的过户事宜承担相应责任。</w:t>
      </w:r>
    </w:p>
    <w:p w:rsidR="00187081" w:rsidRPr="00214C11" w:rsidRDefault="00187081" w:rsidP="0067482A">
      <w:pPr>
        <w:adjustRightInd w:val="0"/>
        <w:snapToGrid w:val="0"/>
        <w:spacing w:line="360" w:lineRule="auto"/>
        <w:rPr>
          <w:rFonts w:ascii="宋体" w:hAnsi="宋体"/>
          <w:sz w:val="24"/>
        </w:rPr>
      </w:pPr>
    </w:p>
    <w:p w:rsidR="00DC3C9F" w:rsidRPr="00214C11" w:rsidRDefault="00DC3C9F" w:rsidP="00310C11">
      <w:pPr>
        <w:keepNext/>
        <w:keepLines/>
        <w:spacing w:before="260" w:after="260" w:line="360" w:lineRule="auto"/>
        <w:jc w:val="center"/>
        <w:outlineLvl w:val="1"/>
        <w:rPr>
          <w:rFonts w:ascii="宋体" w:hAnsi="宋体"/>
          <w:b/>
          <w:sz w:val="30"/>
        </w:rPr>
        <w:sectPr w:rsidR="00DC3C9F" w:rsidRPr="00214C11" w:rsidSect="00F677E0">
          <w:footerReference w:type="default" r:id="rId16"/>
          <w:pgSz w:w="11906" w:h="16838" w:code="9"/>
          <w:pgMar w:top="1418" w:right="1701" w:bottom="1418" w:left="1701" w:header="851" w:footer="992" w:gutter="0"/>
          <w:pgNumType w:start="1"/>
          <w:cols w:space="425"/>
          <w:docGrid w:type="lines" w:linePitch="312"/>
        </w:sect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p>
    <w:p w:rsidR="00187081" w:rsidRPr="00214C11" w:rsidRDefault="00796CAC" w:rsidP="0067482A">
      <w:pPr>
        <w:keepNext/>
        <w:keepLines/>
        <w:spacing w:before="260" w:after="260" w:line="360" w:lineRule="auto"/>
        <w:jc w:val="center"/>
        <w:outlineLvl w:val="1"/>
        <w:rPr>
          <w:rFonts w:ascii="宋体" w:hAnsi="宋体"/>
          <w:sz w:val="30"/>
        </w:rPr>
      </w:pPr>
      <w:r w:rsidRPr="00214C11">
        <w:rPr>
          <w:rFonts w:ascii="宋体" w:hAnsi="宋体" w:hint="eastAsia"/>
          <w:b/>
          <w:sz w:val="30"/>
        </w:rPr>
        <w:lastRenderedPageBreak/>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（一）选择证券</w:t>
      </w:r>
      <w:r w:rsidR="00732EE7" w:rsidRPr="00214C11">
        <w:rPr>
          <w:rFonts w:ascii="宋体" w:hAnsi="宋体" w:cs="Arial" w:hint="eastAsia"/>
          <w:sz w:val="24"/>
          <w:szCs w:val="24"/>
        </w:rPr>
        <w:t>、期货</w:t>
      </w:r>
      <w:r w:rsidRPr="00214C11">
        <w:rPr>
          <w:rFonts w:ascii="宋体" w:hAnsi="宋体" w:hint="eastAsia"/>
          <w:sz w:val="24"/>
        </w:rPr>
        <w:t>买卖的证券</w:t>
      </w:r>
      <w:r w:rsidR="00732EE7" w:rsidRPr="00214C11">
        <w:rPr>
          <w:rFonts w:ascii="宋体" w:hAnsi="宋体" w:cs="Arial" w:hint="eastAsia"/>
          <w:sz w:val="24"/>
          <w:szCs w:val="24"/>
        </w:rPr>
        <w:t>、期货</w:t>
      </w:r>
      <w:r w:rsidRPr="00214C11">
        <w:rPr>
          <w:rFonts w:ascii="宋体" w:hAnsi="宋体" w:hint="eastAsia"/>
          <w:sz w:val="24"/>
        </w:rPr>
        <w:t>经营机构</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732EE7" w:rsidRPr="00214C11" w:rsidRDefault="00732EE7" w:rsidP="00732EE7">
      <w:pPr>
        <w:adjustRightInd w:val="0"/>
        <w:snapToGrid w:val="0"/>
        <w:spacing w:line="360" w:lineRule="auto"/>
        <w:ind w:firstLineChars="200" w:firstLine="480"/>
        <w:rPr>
          <w:rFonts w:ascii="宋体" w:hAnsi="宋体" w:cs="Arial"/>
          <w:sz w:val="24"/>
          <w:szCs w:val="24"/>
        </w:rPr>
      </w:pPr>
      <w:r w:rsidRPr="00214C11">
        <w:rPr>
          <w:rFonts w:ascii="宋体" w:hAnsi="宋体" w:cs="Arial" w:hint="eastAsia"/>
          <w:sz w:val="24"/>
          <w:szCs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（二）基金投资证券后的清算交收安排</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1.清算与交割</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基金管理人与基金托管人应根据有关法律法规及相关业务规则，签订《托管</w:t>
      </w:r>
    </w:p>
    <w:p w:rsidR="007A33D9" w:rsidRPr="00214C11" w:rsidRDefault="00796CAC" w:rsidP="00902E7F">
      <w:pPr>
        <w:adjustRightInd w:val="0"/>
        <w:snapToGrid w:val="0"/>
        <w:rPr>
          <w:rFonts w:ascii="宋体" w:hAnsi="宋体"/>
          <w:sz w:val="24"/>
        </w:rPr>
      </w:pPr>
      <w:r w:rsidRPr="00214C11">
        <w:rPr>
          <w:rFonts w:ascii="宋体" w:hAnsi="宋体" w:hint="eastAsia"/>
          <w:sz w:val="24"/>
        </w:rPr>
        <w:t>银行证券资金结算协议》，如投资港股通，还需签订《证券投资基金港股通结算补充协议》，用以具体明确基金管理人与基金托管人在证券交易资金结算业务中的责任。</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如果因为基金托管人自身原因在清算上造成基金财产的直接损失，应由基金托管人负责赔偿；如果因为基金管理人未事先通知基金托管人增加交易单元等事</w:t>
      </w:r>
      <w:r w:rsidRPr="00214C11">
        <w:rPr>
          <w:rFonts w:ascii="宋体" w:hAnsi="宋体" w:hint="eastAsia"/>
          <w:sz w:val="24"/>
        </w:rPr>
        <w:lastRenderedPageBreak/>
        <w:t>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187081" w:rsidRPr="00214C11" w:rsidRDefault="00796CAC" w:rsidP="0067482A">
      <w:pPr>
        <w:adjustRightInd w:val="0"/>
        <w:snapToGrid w:val="0"/>
        <w:spacing w:line="360" w:lineRule="auto"/>
        <w:ind w:firstLine="480"/>
        <w:rPr>
          <w:rFonts w:ascii="宋体" w:hAnsi="宋体"/>
          <w:color w:val="000000"/>
          <w:kern w:val="0"/>
          <w:sz w:val="24"/>
        </w:rPr>
      </w:pPr>
      <w:r w:rsidRPr="00214C11">
        <w:rPr>
          <w:rFonts w:ascii="宋体" w:hAnsi="宋体" w:hint="eastAsia"/>
          <w:color w:val="000000"/>
          <w:kern w:val="0"/>
          <w:sz w:val="24"/>
        </w:rPr>
        <w:t>基金管理人应采取合理、必要措施，确保</w:t>
      </w:r>
      <w:r w:rsidRPr="00214C11">
        <w:rPr>
          <w:rFonts w:ascii="宋体" w:hAnsi="宋体"/>
          <w:color w:val="000000"/>
          <w:kern w:val="0"/>
          <w:sz w:val="24"/>
        </w:rPr>
        <w:t>T日日终有足够的资金头寸完成 T+1日</w:t>
      </w:r>
      <w:r w:rsidRPr="00214C11">
        <w:rPr>
          <w:rFonts w:ascii="宋体" w:hAnsi="宋体" w:hint="eastAsia"/>
          <w:color w:val="000000"/>
          <w:kern w:val="0"/>
          <w:sz w:val="24"/>
        </w:rPr>
        <w:t>的</w:t>
      </w:r>
      <w:r w:rsidR="007A33D9" w:rsidRPr="00214C11">
        <w:rPr>
          <w:rFonts w:ascii="宋体" w:hAnsi="宋体" w:cs="宋体" w:hint="eastAsia"/>
          <w:color w:val="000000"/>
          <w:kern w:val="0"/>
          <w:sz w:val="24"/>
          <w:szCs w:val="24"/>
        </w:rPr>
        <w:t>投资交易</w:t>
      </w:r>
      <w:r w:rsidRPr="00214C11">
        <w:rPr>
          <w:rFonts w:ascii="宋体" w:hAnsi="宋体" w:hint="eastAsia"/>
          <w:color w:val="000000"/>
          <w:kern w:val="0"/>
          <w:sz w:val="24"/>
        </w:rPr>
        <w:t>资金</w:t>
      </w:r>
      <w:r w:rsidR="007A33D9" w:rsidRPr="00214C11">
        <w:rPr>
          <w:rFonts w:ascii="宋体" w:hAnsi="宋体" w:cs="宋体" w:hint="eastAsia"/>
          <w:color w:val="000000"/>
          <w:kern w:val="0"/>
          <w:sz w:val="24"/>
          <w:szCs w:val="24"/>
        </w:rPr>
        <w:t>结算</w:t>
      </w:r>
      <w:r w:rsidRPr="00214C11">
        <w:rPr>
          <w:rFonts w:ascii="宋体" w:hAnsi="宋体" w:hint="eastAsia"/>
          <w:color w:val="000000"/>
          <w:kern w:val="0"/>
          <w:sz w:val="24"/>
        </w:rPr>
        <w:t>；如因基金管理人原因导致资金头寸不足，基金管理人应在</w:t>
      </w:r>
      <w:r w:rsidRPr="00214C11">
        <w:rPr>
          <w:rFonts w:ascii="宋体" w:hAnsi="宋体"/>
          <w:color w:val="000000"/>
          <w:kern w:val="0"/>
          <w:sz w:val="24"/>
        </w:rPr>
        <w:t>T+1日上午12：00前补足透支款项，确保资金清算。如果未遵循上述规定备足资金头寸，影响基金资产的清算交收及基金托管人与中国证券登记结算</w:t>
      </w:r>
      <w:r w:rsidR="007A33D9" w:rsidRPr="00214C11">
        <w:rPr>
          <w:rFonts w:ascii="宋体" w:hAnsi="宋体" w:cs="宋体" w:hint="eastAsia"/>
          <w:color w:val="000000"/>
          <w:kern w:val="0"/>
          <w:sz w:val="24"/>
          <w:szCs w:val="24"/>
        </w:rPr>
        <w:t>有限公司</w:t>
      </w:r>
      <w:r w:rsidRPr="00214C11">
        <w:rPr>
          <w:rFonts w:ascii="宋体" w:hAnsi="宋体" w:hint="eastAsia"/>
          <w:color w:val="000000"/>
          <w:kern w:val="0"/>
          <w:sz w:val="24"/>
        </w:rPr>
        <w:t>之间的一级清算，由此给基金托管人、基金资产及基金托管人托管的其他资产造成的直接损失由基金管理人负责。</w:t>
      </w:r>
    </w:p>
    <w:p w:rsidR="00187081" w:rsidRPr="00214C11" w:rsidRDefault="00796CAC" w:rsidP="0067482A">
      <w:pPr>
        <w:adjustRightInd w:val="0"/>
        <w:snapToGrid w:val="0"/>
        <w:spacing w:line="360" w:lineRule="auto"/>
        <w:ind w:firstLine="480"/>
        <w:rPr>
          <w:rFonts w:ascii="宋体" w:hAnsi="宋体"/>
          <w:color w:val="000000"/>
          <w:kern w:val="0"/>
          <w:sz w:val="24"/>
        </w:rPr>
      </w:pPr>
      <w:r w:rsidRPr="00214C11">
        <w:rPr>
          <w:rFonts w:ascii="宋体" w:hAnsi="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w:t>
      </w:r>
      <w:r w:rsidR="007A33D9" w:rsidRPr="00214C11">
        <w:rPr>
          <w:rFonts w:ascii="宋体" w:hAnsi="宋体" w:cs="宋体" w:hint="eastAsia"/>
          <w:color w:val="000000"/>
          <w:kern w:val="0"/>
          <w:sz w:val="24"/>
          <w:szCs w:val="24"/>
        </w:rPr>
        <w:t>公司</w:t>
      </w:r>
      <w:r w:rsidRPr="00214C11">
        <w:rPr>
          <w:rFonts w:ascii="宋体" w:hAnsi="宋体" w:hint="eastAsia"/>
          <w:color w:val="000000"/>
          <w:kern w:val="0"/>
          <w:sz w:val="24"/>
        </w:rPr>
        <w:t>欠库扣款或对质押券进行处置造成的投资风险和损失由基金管理人承担。</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实行场内</w:t>
      </w:r>
      <w:r w:rsidRPr="00214C11">
        <w:rPr>
          <w:rFonts w:ascii="宋体" w:hAnsi="宋体"/>
          <w:sz w:val="24"/>
        </w:rPr>
        <w:t>T+0交收的资金清算按照基金托管人的相关规定流程执行。</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2.交易记录、资金和证券账目核对的时间和方式</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w:t>
      </w:r>
      <w:r w:rsidRPr="00214C11">
        <w:rPr>
          <w:rFonts w:ascii="宋体" w:hAnsi="宋体"/>
          <w:sz w:val="24"/>
        </w:rPr>
        <w:t>1）交易记录的核对</w:t>
      </w:r>
    </w:p>
    <w:p w:rsidR="00187081" w:rsidRPr="00214C11" w:rsidRDefault="00796CAC" w:rsidP="0067482A">
      <w:pPr>
        <w:adjustRightInd w:val="0"/>
        <w:snapToGrid w:val="0"/>
        <w:spacing w:line="360" w:lineRule="auto"/>
        <w:rPr>
          <w:rFonts w:ascii="宋体" w:hAnsi="宋体"/>
          <w:sz w:val="24"/>
        </w:rPr>
      </w:pPr>
      <w:r w:rsidRPr="00214C11">
        <w:rPr>
          <w:rFonts w:ascii="宋体" w:hAnsi="宋体" w:hint="eastAsia"/>
          <w:kern w:val="0"/>
          <w:sz w:val="24"/>
        </w:rPr>
        <w:t>基金管理</w:t>
      </w:r>
      <w:r w:rsidR="007A33D9" w:rsidRPr="00214C11">
        <w:rPr>
          <w:rFonts w:ascii="宋体" w:hAnsi="宋体" w:hint="eastAsia"/>
          <w:kern w:val="0"/>
          <w:sz w:val="24"/>
          <w:szCs w:val="24"/>
        </w:rPr>
        <w:t>人与基金托管</w:t>
      </w:r>
      <w:r w:rsidRPr="00214C11">
        <w:rPr>
          <w:rFonts w:ascii="宋体" w:hAnsi="宋体" w:hint="eastAsia"/>
          <w:kern w:val="0"/>
          <w:sz w:val="24"/>
        </w:rPr>
        <w:t>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w:t>
      </w:r>
      <w:r w:rsidRPr="00214C11">
        <w:rPr>
          <w:rFonts w:ascii="宋体" w:hAnsi="宋体"/>
          <w:sz w:val="24"/>
        </w:rPr>
        <w:t>2）资金账目的核对</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资金账目</w:t>
      </w:r>
      <w:r w:rsidR="007A33D9" w:rsidRPr="00214C11">
        <w:rPr>
          <w:rFonts w:ascii="宋体" w:hAnsi="宋体" w:cs="Arial" w:hint="eastAsia"/>
          <w:sz w:val="24"/>
          <w:szCs w:val="24"/>
        </w:rPr>
        <w:t>由基金管理人与基金托管人</w:t>
      </w:r>
      <w:r w:rsidRPr="00214C11">
        <w:rPr>
          <w:rFonts w:ascii="宋体" w:hAnsi="宋体" w:hint="eastAsia"/>
          <w:sz w:val="24"/>
        </w:rPr>
        <w:t>按日核实。</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w:t>
      </w:r>
      <w:r w:rsidRPr="00214C11">
        <w:rPr>
          <w:rFonts w:ascii="宋体" w:hAnsi="宋体"/>
          <w:sz w:val="24"/>
        </w:rPr>
        <w:t>3）证券账目的核对</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基金管理人和基金托管人每交易日结束后核对基金证券账目，确保双方账目相符。基金管理人和基金托管人每月月末核对</w:t>
      </w:r>
      <w:r w:rsidR="007A33D9" w:rsidRPr="00214C11">
        <w:rPr>
          <w:rFonts w:ascii="宋体" w:hAnsi="宋体" w:cs="Arial" w:hint="eastAsia"/>
          <w:sz w:val="24"/>
          <w:szCs w:val="24"/>
        </w:rPr>
        <w:t>实物</w:t>
      </w:r>
      <w:r w:rsidRPr="00214C11">
        <w:rPr>
          <w:rFonts w:ascii="宋体" w:hAnsi="宋体" w:hint="eastAsia"/>
          <w:sz w:val="24"/>
        </w:rPr>
        <w:t>证券账目。</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（三）基金申购和赎回业务处理的基本规定</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lastRenderedPageBreak/>
        <w:t>1.基金份额申购、赎回的确认、清算由基金管理人或其委托的</w:t>
      </w:r>
      <w:r w:rsidRPr="00214C11">
        <w:rPr>
          <w:rFonts w:ascii="宋体" w:hAnsi="宋体" w:hint="eastAsia"/>
          <w:sz w:val="24"/>
        </w:rPr>
        <w:t>登记机构负责。</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3.基金管理人应保证本基金（或本基金管理人委托）的</w:t>
      </w:r>
      <w:r w:rsidRPr="00214C11">
        <w:rPr>
          <w:rFonts w:ascii="宋体" w:hAnsi="宋体" w:hint="eastAsia"/>
          <w:sz w:val="24"/>
        </w:rPr>
        <w:t>登记机构每个工作日</w:t>
      </w:r>
      <w:r w:rsidRPr="00214C11">
        <w:rPr>
          <w:rFonts w:ascii="宋体" w:hAnsi="宋体"/>
          <w:sz w:val="24"/>
        </w:rPr>
        <w:t>15:00前向基金托管人发送前一开放日上述有关数据，并保证相关数据的准确、完整。</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4.</w:t>
      </w:r>
      <w:r w:rsidRPr="00214C11">
        <w:rPr>
          <w:rFonts w:ascii="宋体" w:hAnsi="宋体" w:hint="eastAsia"/>
          <w:sz w:val="24"/>
        </w:rPr>
        <w:t>登记机构应通过与基金托管人建立的加密系统发送有关数据</w:t>
      </w:r>
      <w:r w:rsidRPr="00214C11">
        <w:rPr>
          <w:rFonts w:ascii="宋体" w:hAnsi="宋体"/>
          <w:sz w:val="24"/>
        </w:rPr>
        <w:t>(包括电子数据和盖章生效的纸制清算汇总表)，如因各种原因，该系统无法正常发送，双方可协商解决处理方式。基金管理人向基金托管人发送的数据，双方各自按有关规定保存。</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5.如基金管理人委托其他机构办理本基金的注册登记业务，应保证上述相关事宜按时进行。否则，由基金管理人承担相应的责任。</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6.关于清算专用账户的设立和管理</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为满足申购、赎回</w:t>
      </w:r>
      <w:r w:rsidR="00A01708" w:rsidRPr="00214C11">
        <w:rPr>
          <w:rFonts w:ascii="宋体" w:hAnsi="宋体" w:hint="eastAsia"/>
          <w:sz w:val="24"/>
        </w:rPr>
        <w:t>及分红</w:t>
      </w:r>
      <w:r w:rsidRPr="00214C11">
        <w:rPr>
          <w:rFonts w:ascii="宋体" w:hAnsi="宋体" w:hint="eastAsia"/>
          <w:sz w:val="24"/>
        </w:rPr>
        <w:t>资金汇划的需要，由基金管理人开立资金清算的专用账户，该账户由登记机构管理。</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8.赎回</w:t>
      </w:r>
      <w:r w:rsidR="00A01708" w:rsidRPr="00214C11">
        <w:rPr>
          <w:rFonts w:ascii="宋体" w:hAnsi="宋体" w:hint="eastAsia"/>
          <w:sz w:val="24"/>
        </w:rPr>
        <w:t>和分红</w:t>
      </w:r>
      <w:r w:rsidRPr="00214C11">
        <w:rPr>
          <w:rFonts w:ascii="宋体" w:hAnsi="宋体" w:hint="eastAsia"/>
          <w:sz w:val="24"/>
        </w:rPr>
        <w:t>资金划拨规定</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拨付赎回款</w:t>
      </w:r>
      <w:r w:rsidR="00A01708" w:rsidRPr="00214C11">
        <w:rPr>
          <w:rFonts w:ascii="宋体" w:hAnsi="宋体" w:hint="eastAsia"/>
          <w:sz w:val="24"/>
        </w:rPr>
        <w:t>或进行基金分红</w:t>
      </w:r>
      <w:r w:rsidRPr="00214C11">
        <w:rPr>
          <w:rFonts w:ascii="宋体" w:hAnsi="宋体" w:hint="eastAsia"/>
          <w:sz w:val="24"/>
        </w:rPr>
        <w:t>时，如基金资金账户有足够的资金，基金托管人应按时拨付；因基金资金账户没有足够的资金，导致基金托管人不能按时拨付，如系基金管理人的原因造成，责任由基金管理人承担，基金托管人不承担垫款义务。</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9.资金指令</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除申购款项到达基金资金账户需双方按约定方式对账外，回购到期付款和与投资有关的付款、赎回</w:t>
      </w:r>
      <w:r w:rsidR="00A01708" w:rsidRPr="00214C11">
        <w:rPr>
          <w:rFonts w:ascii="宋体" w:hAnsi="宋体" w:hint="eastAsia"/>
          <w:sz w:val="24"/>
        </w:rPr>
        <w:t>和分红</w:t>
      </w:r>
      <w:r w:rsidRPr="00214C11">
        <w:rPr>
          <w:rFonts w:ascii="宋体" w:hAnsi="宋体" w:hint="eastAsia"/>
          <w:sz w:val="24"/>
        </w:rPr>
        <w:t>资金划拨时，基金管理人需向基金托管人下达指令。</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资金指令的格式、内容、发送、接收和确认方式等与投资指令相同。</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lastRenderedPageBreak/>
        <w:t>（四）申赎净额结算</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基金托管账户与“基金清算账户”间的资金结算遵循“全额清算、净额交收”的原则，每日</w:t>
      </w:r>
      <w:r w:rsidR="007A33D9" w:rsidRPr="00214C11">
        <w:rPr>
          <w:rFonts w:ascii="宋体" w:hAnsi="宋体" w:cs="Arial"/>
          <w:sz w:val="24"/>
          <w:szCs w:val="24"/>
        </w:rPr>
        <w:t>（</w:t>
      </w:r>
      <w:r w:rsidRPr="00214C11">
        <w:rPr>
          <w:rFonts w:ascii="宋体" w:hAnsi="宋体"/>
          <w:sz w:val="24"/>
        </w:rPr>
        <w:t>T</w:t>
      </w:r>
      <w:r w:rsidRPr="00214C11">
        <w:rPr>
          <w:rFonts w:ascii="宋体" w:hAnsi="宋体" w:hint="eastAsia"/>
          <w:sz w:val="24"/>
        </w:rPr>
        <w:t>日：资金交收日，下同</w:t>
      </w:r>
      <w:r w:rsidR="007A33D9" w:rsidRPr="00214C11">
        <w:rPr>
          <w:rFonts w:ascii="宋体" w:hAnsi="宋体" w:cs="Arial"/>
          <w:sz w:val="24"/>
          <w:szCs w:val="24"/>
        </w:rPr>
        <w:t>）</w:t>
      </w:r>
      <w:r w:rsidRPr="00214C11">
        <w:rPr>
          <w:rFonts w:ascii="宋体" w:hAnsi="宋体" w:hint="eastAsia"/>
          <w:sz w:val="24"/>
        </w:rPr>
        <w:t>按照托管账户应收资金</w:t>
      </w:r>
      <w:r w:rsidR="007A33D9" w:rsidRPr="00214C11">
        <w:rPr>
          <w:rFonts w:ascii="宋体" w:hAnsi="宋体" w:cs="Arial"/>
          <w:sz w:val="24"/>
          <w:szCs w:val="24"/>
        </w:rPr>
        <w:t>（</w:t>
      </w:r>
      <w:r w:rsidRPr="00214C11">
        <w:rPr>
          <w:rFonts w:ascii="宋体" w:hAnsi="宋体"/>
          <w:sz w:val="24"/>
        </w:rPr>
        <w:t>T-2</w:t>
      </w:r>
      <w:r w:rsidRPr="00214C11">
        <w:rPr>
          <w:rFonts w:ascii="宋体" w:hAnsi="宋体" w:hint="eastAsia"/>
          <w:sz w:val="24"/>
        </w:rPr>
        <w:t>日申购申请对应申购</w:t>
      </w:r>
      <w:r w:rsidR="007A33D9" w:rsidRPr="00214C11">
        <w:rPr>
          <w:rFonts w:ascii="宋体" w:hAnsi="宋体" w:cs="Arial" w:hint="eastAsia"/>
          <w:sz w:val="24"/>
          <w:szCs w:val="24"/>
        </w:rPr>
        <w:t>净额</w:t>
      </w:r>
      <w:r w:rsidRPr="00214C11">
        <w:rPr>
          <w:rFonts w:ascii="宋体" w:hAnsi="宋体" w:hint="eastAsia"/>
          <w:sz w:val="24"/>
        </w:rPr>
        <w:t>与</w:t>
      </w:r>
      <w:r w:rsidRPr="00214C11">
        <w:rPr>
          <w:rFonts w:ascii="宋体" w:hAnsi="宋体"/>
          <w:sz w:val="24"/>
        </w:rPr>
        <w:t>T-3</w:t>
      </w:r>
      <w:r w:rsidRPr="00214C11">
        <w:rPr>
          <w:rFonts w:ascii="宋体" w:hAnsi="宋体" w:hint="eastAsia"/>
          <w:sz w:val="24"/>
        </w:rPr>
        <w:t>日基金转换</w:t>
      </w:r>
      <w:r w:rsidR="007A33D9" w:rsidRPr="00214C11">
        <w:rPr>
          <w:rFonts w:ascii="宋体" w:hAnsi="宋体" w:cs="Arial" w:hint="eastAsia"/>
          <w:sz w:val="24"/>
          <w:szCs w:val="24"/>
        </w:rPr>
        <w:t>转入</w:t>
      </w:r>
      <w:r w:rsidRPr="00214C11">
        <w:rPr>
          <w:rFonts w:ascii="宋体" w:hAnsi="宋体" w:hint="eastAsia"/>
          <w:sz w:val="24"/>
        </w:rPr>
        <w:t>申请对应</w:t>
      </w:r>
      <w:r w:rsidR="007A33D9" w:rsidRPr="00214C11">
        <w:rPr>
          <w:rFonts w:ascii="宋体" w:hAnsi="宋体" w:cs="Arial" w:hint="eastAsia"/>
          <w:sz w:val="24"/>
          <w:szCs w:val="24"/>
        </w:rPr>
        <w:t>净额</w:t>
      </w:r>
      <w:r w:rsidRPr="00214C11">
        <w:rPr>
          <w:rFonts w:ascii="宋体" w:hAnsi="宋体" w:hint="eastAsia"/>
          <w:sz w:val="24"/>
        </w:rPr>
        <w:t>之和</w:t>
      </w:r>
      <w:r w:rsidR="007A33D9" w:rsidRPr="00214C11">
        <w:rPr>
          <w:rFonts w:ascii="宋体" w:hAnsi="宋体" w:cs="Arial"/>
          <w:sz w:val="24"/>
          <w:szCs w:val="24"/>
        </w:rPr>
        <w:t>）</w:t>
      </w:r>
      <w:r w:rsidRPr="00214C11">
        <w:rPr>
          <w:rFonts w:ascii="宋体" w:hAnsi="宋体" w:hint="eastAsia"/>
          <w:sz w:val="24"/>
        </w:rPr>
        <w:t>与应付资金</w:t>
      </w:r>
      <w:r w:rsidR="007A33D9" w:rsidRPr="00214C11">
        <w:rPr>
          <w:rFonts w:ascii="宋体" w:hAnsi="宋体" w:cs="Arial"/>
          <w:sz w:val="24"/>
          <w:szCs w:val="24"/>
        </w:rPr>
        <w:t>（</w:t>
      </w:r>
      <w:r w:rsidRPr="00214C11">
        <w:rPr>
          <w:rFonts w:ascii="宋体" w:hAnsi="宋体"/>
          <w:sz w:val="24"/>
        </w:rPr>
        <w:t>T-3</w:t>
      </w:r>
      <w:r w:rsidRPr="00214C11">
        <w:rPr>
          <w:rFonts w:ascii="宋体" w:hAnsi="宋体" w:hint="eastAsia"/>
          <w:sz w:val="24"/>
        </w:rPr>
        <w:t>日赎回申请对应赎回金额</w:t>
      </w:r>
      <w:r w:rsidR="007A33D9" w:rsidRPr="00214C11">
        <w:rPr>
          <w:rFonts w:ascii="宋体" w:hAnsi="宋体" w:cs="Arial" w:hint="eastAsia"/>
          <w:sz w:val="24"/>
          <w:szCs w:val="24"/>
        </w:rPr>
        <w:t>扣除归基金资产的费用</w:t>
      </w:r>
      <w:r w:rsidRPr="00214C11">
        <w:rPr>
          <w:rFonts w:ascii="宋体" w:hAnsi="宋体" w:hint="eastAsia"/>
          <w:sz w:val="24"/>
        </w:rPr>
        <w:t>与</w:t>
      </w:r>
      <w:r w:rsidRPr="00214C11">
        <w:rPr>
          <w:rFonts w:ascii="宋体" w:hAnsi="宋体"/>
          <w:sz w:val="24"/>
        </w:rPr>
        <w:t>T-3</w:t>
      </w:r>
      <w:r w:rsidRPr="00214C11">
        <w:rPr>
          <w:rFonts w:ascii="宋体" w:hAnsi="宋体" w:hint="eastAsia"/>
          <w:sz w:val="24"/>
        </w:rPr>
        <w:t>日基金转换</w:t>
      </w:r>
      <w:r w:rsidR="007A33D9" w:rsidRPr="00214C11">
        <w:rPr>
          <w:rFonts w:ascii="宋体" w:hAnsi="宋体" w:cs="Arial" w:hint="eastAsia"/>
          <w:sz w:val="24"/>
          <w:szCs w:val="24"/>
        </w:rPr>
        <w:t>转</w:t>
      </w:r>
      <w:r w:rsidRPr="00214C11">
        <w:rPr>
          <w:rFonts w:ascii="宋体" w:hAnsi="宋体" w:hint="eastAsia"/>
          <w:sz w:val="24"/>
        </w:rPr>
        <w:t>出申请对应金额</w:t>
      </w:r>
      <w:r w:rsidR="007A33D9" w:rsidRPr="00214C11">
        <w:rPr>
          <w:rFonts w:ascii="宋体" w:hAnsi="宋体" w:cs="Arial" w:hint="eastAsia"/>
          <w:sz w:val="24"/>
          <w:szCs w:val="24"/>
        </w:rPr>
        <w:t>扣除归基金资产的费用</w:t>
      </w:r>
      <w:r w:rsidRPr="00214C11">
        <w:rPr>
          <w:rFonts w:ascii="宋体" w:hAnsi="宋体" w:hint="eastAsia"/>
          <w:sz w:val="24"/>
        </w:rPr>
        <w:t>之和</w:t>
      </w:r>
      <w:r w:rsidR="007A33D9" w:rsidRPr="00214C11">
        <w:rPr>
          <w:rFonts w:ascii="宋体" w:hAnsi="宋体" w:cs="Arial"/>
          <w:sz w:val="24"/>
          <w:szCs w:val="24"/>
        </w:rPr>
        <w:t>）</w:t>
      </w:r>
      <w:r w:rsidRPr="00214C11">
        <w:rPr>
          <w:rFonts w:ascii="宋体" w:hAnsi="宋体" w:hint="eastAsia"/>
          <w:sz w:val="24"/>
        </w:rPr>
        <w:t>的差额来确定托管账户净应收额或净应付额，以此确定资金交收额。</w:t>
      </w:r>
      <w:r w:rsidR="007A33D9" w:rsidRPr="00214C11">
        <w:rPr>
          <w:rFonts w:ascii="宋体" w:hAnsi="宋体" w:cs="Arial" w:hint="eastAsia"/>
          <w:sz w:val="24"/>
          <w:szCs w:val="24"/>
        </w:rPr>
        <w:t>如</w:t>
      </w:r>
      <w:r w:rsidRPr="00214C11">
        <w:rPr>
          <w:rFonts w:ascii="宋体" w:hAnsi="宋体" w:hint="eastAsia"/>
          <w:sz w:val="24"/>
        </w:rPr>
        <w:t>存在托管账户净应收额时，基金管理人应在</w:t>
      </w:r>
      <w:r w:rsidRPr="00214C11">
        <w:rPr>
          <w:rFonts w:ascii="宋体" w:hAnsi="宋体"/>
          <w:sz w:val="24"/>
        </w:rPr>
        <w:t>T日15:00之前从基金清算账户划</w:t>
      </w:r>
      <w:r w:rsidR="007A33D9" w:rsidRPr="00214C11">
        <w:rPr>
          <w:rFonts w:ascii="宋体" w:hAnsi="宋体" w:cs="Arial" w:hint="eastAsia"/>
          <w:sz w:val="24"/>
          <w:szCs w:val="24"/>
        </w:rPr>
        <w:t>往</w:t>
      </w:r>
      <w:r w:rsidR="00FD47A7" w:rsidRPr="00214C11">
        <w:rPr>
          <w:rFonts w:ascii="宋体" w:hAnsi="宋体" w:hint="eastAsia"/>
          <w:sz w:val="24"/>
        </w:rPr>
        <w:t>基金托管账户</w:t>
      </w:r>
      <w:r w:rsidR="007A33D9" w:rsidRPr="00214C11">
        <w:rPr>
          <w:rFonts w:ascii="宋体" w:hAnsi="宋体" w:cs="Arial" w:hint="eastAsia"/>
          <w:sz w:val="24"/>
          <w:szCs w:val="24"/>
        </w:rPr>
        <w:t>，基金托管人在资金到账后应立即通知基金管理人，并将有关书面凭证传真给基金管理人进行账务管理；如</w:t>
      </w:r>
      <w:r w:rsidRPr="00214C11">
        <w:rPr>
          <w:rFonts w:ascii="宋体" w:hAnsi="宋体" w:hint="eastAsia"/>
          <w:sz w:val="24"/>
        </w:rPr>
        <w:t>存在托管账户净应付额时，基金管理人应在</w:t>
      </w:r>
      <w:r w:rsidRPr="00214C11">
        <w:rPr>
          <w:rFonts w:ascii="宋体" w:hAnsi="宋体"/>
          <w:sz w:val="24"/>
        </w:rPr>
        <w:t>T-1日将划款指令发送给基金托管人，基金托管人按基金管理人的划款指令将托管账户净应付额在T日12:00之前划往基金清算账户</w:t>
      </w:r>
      <w:r w:rsidR="007A33D9" w:rsidRPr="00214C11">
        <w:rPr>
          <w:rFonts w:ascii="宋体" w:hAnsi="宋体" w:cs="Arial" w:hint="eastAsia"/>
          <w:sz w:val="24"/>
          <w:szCs w:val="24"/>
        </w:rPr>
        <w:t>，</w:t>
      </w:r>
      <w:r w:rsidRPr="00214C11">
        <w:rPr>
          <w:rFonts w:ascii="宋体" w:hAnsi="宋体" w:hint="eastAsia"/>
          <w:sz w:val="24"/>
        </w:rPr>
        <w:t>基金托管人</w:t>
      </w:r>
      <w:r w:rsidR="007A33D9" w:rsidRPr="00214C11">
        <w:rPr>
          <w:rFonts w:ascii="宋体" w:hAnsi="宋体" w:cs="Arial" w:hint="eastAsia"/>
          <w:sz w:val="24"/>
          <w:szCs w:val="24"/>
        </w:rPr>
        <w:t>在资金划出后立即通知</w:t>
      </w:r>
      <w:r w:rsidRPr="00214C11">
        <w:rPr>
          <w:rFonts w:ascii="宋体" w:hAnsi="宋体" w:hint="eastAsia"/>
          <w:sz w:val="24"/>
        </w:rPr>
        <w:t>基金管理人</w:t>
      </w:r>
      <w:r w:rsidR="007A33D9" w:rsidRPr="00214C11">
        <w:rPr>
          <w:rFonts w:ascii="宋体" w:hAnsi="宋体" w:cs="Arial" w:hint="eastAsia"/>
          <w:sz w:val="24"/>
          <w:szCs w:val="24"/>
        </w:rPr>
        <w:t>，并将有关书面凭证交给</w:t>
      </w:r>
      <w:r w:rsidRPr="00214C11">
        <w:rPr>
          <w:rFonts w:ascii="宋体" w:hAnsi="宋体" w:hint="eastAsia"/>
          <w:sz w:val="24"/>
        </w:rPr>
        <w:t>基金管理人进行账务</w:t>
      </w:r>
      <w:r w:rsidR="007A33D9" w:rsidRPr="00214C11">
        <w:rPr>
          <w:rFonts w:ascii="宋体" w:hAnsi="宋体" w:cs="Arial" w:hint="eastAsia"/>
          <w:sz w:val="24"/>
          <w:szCs w:val="24"/>
        </w:rPr>
        <w:t>管理</w:t>
      </w:r>
      <w:r w:rsidRPr="00214C11">
        <w:rPr>
          <w:rFonts w:ascii="宋体" w:hAnsi="宋体" w:hint="eastAsia"/>
          <w:sz w:val="24"/>
        </w:rPr>
        <w:t>。</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（五）基金转换</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1.在本基金与基金管理人管理的其它基金开展转换业务之前，基金管理人应函告基金托管人并就相关事宜进行协商。</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2.基金托管人将根据基金管理人传送的基金转换数据进行账务处理，具体资金清算和数据传递的时间、程序及托管协议当事人承担的权责按基金管理人届时的公告执行。</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3.本基金开展基金转换业务应按相关法律法规规定及《基金合同》的约定进行公告。</w:t>
      </w:r>
    </w:p>
    <w:p w:rsidR="00187081" w:rsidRPr="00214C11" w:rsidRDefault="00796CAC" w:rsidP="0067482A">
      <w:pPr>
        <w:spacing w:line="360" w:lineRule="auto"/>
        <w:ind w:firstLine="480"/>
        <w:rPr>
          <w:rFonts w:ascii="宋体" w:hAnsi="宋体"/>
          <w:sz w:val="24"/>
        </w:rPr>
      </w:pPr>
      <w:r w:rsidRPr="00214C11">
        <w:rPr>
          <w:rFonts w:ascii="宋体" w:hAnsi="宋体" w:hint="eastAsia"/>
          <w:sz w:val="24"/>
        </w:rPr>
        <w:t>（六）投资银行存款的特别约定</w:t>
      </w:r>
    </w:p>
    <w:p w:rsidR="0032273D" w:rsidRPr="00214C11" w:rsidRDefault="0032273D" w:rsidP="0032273D">
      <w:pPr>
        <w:spacing w:line="360" w:lineRule="auto"/>
        <w:ind w:firstLine="480"/>
        <w:rPr>
          <w:rFonts w:ascii="宋体" w:hAnsi="宋体"/>
          <w:sz w:val="24"/>
        </w:rPr>
      </w:pPr>
      <w:r w:rsidRPr="00214C11">
        <w:rPr>
          <w:rFonts w:ascii="宋体" w:hAnsi="宋体"/>
          <w:sz w:val="24"/>
        </w:rPr>
        <w:t>1.本基金投资银行存款前，基金管理人应与存款银行签订具体存款协议，包括但不限于以下内容：。</w:t>
      </w:r>
    </w:p>
    <w:p w:rsidR="0032273D" w:rsidRPr="00214C11" w:rsidRDefault="0032273D" w:rsidP="0032273D">
      <w:pPr>
        <w:spacing w:line="360" w:lineRule="auto"/>
        <w:ind w:firstLine="480"/>
        <w:rPr>
          <w:rFonts w:ascii="宋体" w:hAnsi="宋体"/>
          <w:sz w:val="24"/>
        </w:rPr>
      </w:pPr>
      <w:r w:rsidRPr="00214C11">
        <w:rPr>
          <w:rFonts w:ascii="宋体" w:hAnsi="宋体" w:hint="eastAsia"/>
          <w:sz w:val="24"/>
        </w:rPr>
        <w:t>（</w:t>
      </w:r>
      <w:r w:rsidRPr="00214C11">
        <w:rPr>
          <w:rFonts w:ascii="宋体" w:hAnsi="宋体"/>
          <w:sz w:val="24"/>
        </w:rPr>
        <w:t>1）存款账户必须以本基金名义开立,并将基金托管人为本基金开立的基金银行账户指定为唯一回款账户，任何情况下，存款银行都不得将存款投资</w:t>
      </w:r>
      <w:r w:rsidRPr="00214C11">
        <w:rPr>
          <w:rFonts w:ascii="宋体" w:hAnsi="宋体" w:hint="eastAsia"/>
          <w:sz w:val="24"/>
        </w:rPr>
        <w:t>本息划往任何其他账户。</w:t>
      </w:r>
    </w:p>
    <w:p w:rsidR="0032273D" w:rsidRPr="00214C11" w:rsidRDefault="0032273D" w:rsidP="0032273D">
      <w:pPr>
        <w:spacing w:line="360" w:lineRule="auto"/>
        <w:ind w:firstLine="480"/>
        <w:rPr>
          <w:rFonts w:ascii="宋体" w:hAnsi="宋体"/>
          <w:sz w:val="24"/>
        </w:rPr>
      </w:pPr>
      <w:r w:rsidRPr="00214C11">
        <w:rPr>
          <w:rFonts w:ascii="宋体" w:hAnsi="宋体" w:hint="eastAsia"/>
          <w:sz w:val="24"/>
        </w:rPr>
        <w:t>（</w:t>
      </w:r>
      <w:r w:rsidRPr="00214C11">
        <w:rPr>
          <w:rFonts w:ascii="宋体" w:hAnsi="宋体"/>
          <w:sz w:val="24"/>
        </w:rPr>
        <w:t>2）存款银行不得接受基金管理人或基金托管人任何一方单方面提出的对存款进行更名、转让、挂失、质押、担保、撤销、变更印鉴及回款账户信息等可能导致财产转移的操作申请。</w:t>
      </w:r>
    </w:p>
    <w:p w:rsidR="0032273D" w:rsidRPr="00214C11" w:rsidRDefault="0032273D" w:rsidP="0032273D">
      <w:pPr>
        <w:spacing w:line="360" w:lineRule="auto"/>
        <w:ind w:firstLine="480"/>
        <w:rPr>
          <w:rFonts w:ascii="宋体" w:hAnsi="宋体"/>
          <w:sz w:val="24"/>
        </w:rPr>
      </w:pPr>
      <w:r w:rsidRPr="00214C11">
        <w:rPr>
          <w:rFonts w:ascii="宋体" w:hAnsi="宋体" w:hint="eastAsia"/>
          <w:sz w:val="24"/>
        </w:rPr>
        <w:lastRenderedPageBreak/>
        <w:t>（</w:t>
      </w:r>
      <w:r w:rsidRPr="00214C11">
        <w:rPr>
          <w:rFonts w:ascii="宋体" w:hAnsi="宋体"/>
          <w:sz w:val="24"/>
        </w:rPr>
        <w:t>3）约定存款证实书的具体传递交接方式及交接期限。</w:t>
      </w:r>
    </w:p>
    <w:p w:rsidR="0032273D" w:rsidRPr="00214C11" w:rsidRDefault="0032273D" w:rsidP="0032273D">
      <w:pPr>
        <w:spacing w:line="360" w:lineRule="auto"/>
        <w:ind w:firstLine="480"/>
        <w:rPr>
          <w:rFonts w:ascii="宋体" w:hAnsi="宋体"/>
          <w:sz w:val="24"/>
        </w:rPr>
      </w:pPr>
      <w:r w:rsidRPr="00214C11">
        <w:rPr>
          <w:rFonts w:ascii="宋体" w:hAnsi="宋体" w:hint="eastAsia"/>
          <w:sz w:val="24"/>
        </w:rPr>
        <w:t>（</w:t>
      </w:r>
      <w:r w:rsidRPr="00214C11">
        <w:rPr>
          <w:rFonts w:ascii="宋体" w:hAnsi="宋体"/>
          <w:sz w:val="24"/>
        </w:rPr>
        <w:t>4）资金划转过程中需要使用存款银行过渡账户的，存款银行须保证资金在过渡账户中不出现滞留，不被挪用。</w:t>
      </w:r>
    </w:p>
    <w:p w:rsidR="0032273D" w:rsidRPr="00214C11" w:rsidRDefault="0032273D" w:rsidP="0032273D">
      <w:pPr>
        <w:spacing w:line="360" w:lineRule="auto"/>
        <w:ind w:firstLine="480"/>
        <w:rPr>
          <w:rFonts w:ascii="宋体" w:hAnsi="宋体"/>
          <w:sz w:val="24"/>
        </w:rPr>
      </w:pPr>
      <w:r w:rsidRPr="00214C11">
        <w:rPr>
          <w:rFonts w:ascii="宋体" w:hAnsi="宋体"/>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D81D99" w:rsidRPr="00214C11" w:rsidRDefault="0032273D" w:rsidP="00D5585F">
      <w:pPr>
        <w:spacing w:line="360" w:lineRule="auto"/>
        <w:ind w:firstLine="480"/>
        <w:rPr>
          <w:rFonts w:ascii="宋体" w:hAnsi="宋体"/>
          <w:sz w:val="24"/>
        </w:rPr>
        <w:sectPr w:rsidR="00D81D99" w:rsidRPr="00214C11" w:rsidSect="00A0626A">
          <w:footerReference w:type="default" r:id="rId17"/>
          <w:pgSz w:w="11906" w:h="16838" w:code="9"/>
          <w:pgMar w:top="1418" w:right="1701" w:bottom="1418" w:left="1701" w:header="851" w:footer="992" w:gutter="0"/>
          <w:pgNumType w:start="1"/>
          <w:cols w:space="425"/>
          <w:docGrid w:type="lines" w:linePitch="312"/>
        </w:sectPr>
      </w:pPr>
      <w:r w:rsidRPr="00214C11">
        <w:rPr>
          <w:rFonts w:ascii="宋体" w:hAnsi="宋体"/>
          <w:sz w:val="24"/>
        </w:rPr>
        <w:t xml:space="preserve">3. </w:t>
      </w:r>
      <w:r w:rsidRPr="00214C11">
        <w:rPr>
          <w:rFonts w:ascii="宋体" w:hAnsi="宋体"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bookmarkStart w:id="85" w:name="_Toc124325892"/>
    </w:p>
    <w:p w:rsidR="00187081" w:rsidRPr="00214C11" w:rsidRDefault="00796CAC" w:rsidP="0067482A">
      <w:pPr>
        <w:keepNext/>
        <w:keepLines/>
        <w:spacing w:before="260" w:after="260" w:line="360" w:lineRule="auto"/>
        <w:jc w:val="center"/>
        <w:outlineLvl w:val="1"/>
        <w:rPr>
          <w:rFonts w:ascii="宋体" w:hAnsi="宋体"/>
          <w:sz w:val="30"/>
        </w:rPr>
      </w:pPr>
      <w:r w:rsidRPr="00214C11">
        <w:rPr>
          <w:rFonts w:ascii="宋体" w:hAnsi="宋体" w:hint="eastAsia"/>
          <w:b/>
          <w:sz w:val="30"/>
        </w:rPr>
        <w:lastRenderedPageBreak/>
        <w:t xml:space="preserve"> 八、基金资产净值计算和会计核算</w:t>
      </w:r>
      <w:bookmarkEnd w:id="85"/>
    </w:p>
    <w:p w:rsidR="00187081" w:rsidRPr="00214C11" w:rsidRDefault="00796CAC" w:rsidP="0067482A">
      <w:pPr>
        <w:adjustRightInd w:val="0"/>
        <w:snapToGrid w:val="0"/>
        <w:spacing w:line="360" w:lineRule="auto"/>
        <w:ind w:firstLineChars="200" w:firstLine="480"/>
        <w:outlineLvl w:val="0"/>
        <w:rPr>
          <w:rFonts w:ascii="宋体" w:hAnsi="宋体"/>
          <w:sz w:val="24"/>
        </w:rPr>
      </w:pPr>
      <w:r w:rsidRPr="00214C11">
        <w:rPr>
          <w:rFonts w:ascii="宋体" w:hAnsi="宋体" w:hint="eastAsia"/>
          <w:sz w:val="24"/>
        </w:rPr>
        <w:t>（一）基金资产净值的计算、复核与完成的时间及程序</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1.基金资产净值是指基金资产总值减去负债后的金额。</w:t>
      </w:r>
      <w:r w:rsidRPr="00214C11">
        <w:rPr>
          <w:rFonts w:ascii="宋体" w:hAnsi="宋体" w:hint="eastAsia"/>
          <w:sz w:val="24"/>
        </w:rPr>
        <w:t>基金份额净值是</w:t>
      </w:r>
      <w:r w:rsidR="00804372" w:rsidRPr="00214C11">
        <w:rPr>
          <w:rFonts w:ascii="宋体" w:hAnsi="宋体" w:cs="Arial" w:hint="eastAsia"/>
          <w:sz w:val="24"/>
        </w:rPr>
        <w:t>指</w:t>
      </w:r>
      <w:r w:rsidRPr="00214C11">
        <w:rPr>
          <w:rFonts w:ascii="宋体" w:hAnsi="宋体" w:hint="eastAsia"/>
          <w:sz w:val="24"/>
        </w:rPr>
        <w:t>基金资产净值除以基金份额</w:t>
      </w:r>
      <w:r w:rsidR="00804372" w:rsidRPr="00214C11">
        <w:rPr>
          <w:rFonts w:ascii="宋体" w:hAnsi="宋体" w:cs="Arial" w:hint="eastAsia"/>
          <w:sz w:val="24"/>
        </w:rPr>
        <w:t>总数，基金份额净值</w:t>
      </w:r>
      <w:r w:rsidRPr="00214C11">
        <w:rPr>
          <w:rFonts w:ascii="宋体" w:hAnsi="宋体" w:hint="eastAsia"/>
          <w:sz w:val="24"/>
        </w:rPr>
        <w:t>的计算，精确到</w:t>
      </w:r>
      <w:r w:rsidRPr="00214C11">
        <w:rPr>
          <w:rFonts w:ascii="宋体" w:hAnsi="宋体"/>
        </w:rPr>
        <w:t>0.00</w:t>
      </w:r>
      <w:r w:rsidR="002207AE" w:rsidRPr="00214C11">
        <w:rPr>
          <w:rFonts w:ascii="宋体" w:hAnsi="宋体" w:hint="eastAsia"/>
        </w:rPr>
        <w:t>0</w:t>
      </w:r>
      <w:r w:rsidRPr="00214C11">
        <w:rPr>
          <w:rFonts w:ascii="宋体" w:hAnsi="宋体"/>
        </w:rPr>
        <w:t>1</w:t>
      </w:r>
      <w:r w:rsidRPr="00214C11">
        <w:rPr>
          <w:rFonts w:ascii="宋体" w:hAnsi="宋体" w:hint="eastAsia"/>
          <w:sz w:val="24"/>
        </w:rPr>
        <w:t>元，小数点后</w:t>
      </w:r>
      <w:r w:rsidR="00804372" w:rsidRPr="00214C11">
        <w:rPr>
          <w:rFonts w:ascii="宋体" w:hAnsi="宋体" w:cs="Arial" w:hint="eastAsia"/>
          <w:sz w:val="24"/>
        </w:rPr>
        <w:t>第</w:t>
      </w:r>
      <w:r w:rsidR="002207AE" w:rsidRPr="00214C11">
        <w:rPr>
          <w:rFonts w:ascii="宋体" w:hAnsi="宋体" w:cs="Arial" w:hint="eastAsia"/>
          <w:sz w:val="24"/>
        </w:rPr>
        <w:t>5</w:t>
      </w:r>
      <w:r w:rsidRPr="00214C11">
        <w:rPr>
          <w:rFonts w:ascii="宋体" w:hAnsi="宋体" w:hint="eastAsia"/>
          <w:sz w:val="24"/>
        </w:rPr>
        <w:t>位四舍五入</w:t>
      </w:r>
      <w:r w:rsidR="00804372" w:rsidRPr="00214C11">
        <w:rPr>
          <w:rFonts w:ascii="宋体" w:hAnsi="宋体" w:cs="Arial" w:hint="eastAsia"/>
          <w:sz w:val="24"/>
        </w:rPr>
        <w:t>，</w:t>
      </w:r>
      <w:r w:rsidRPr="00214C11">
        <w:rPr>
          <w:rFonts w:ascii="宋体" w:hAnsi="宋体" w:hint="eastAsia"/>
          <w:sz w:val="24"/>
        </w:rPr>
        <w:t>国家另有规定的，从其规定。</w:t>
      </w:r>
    </w:p>
    <w:p w:rsidR="00187081" w:rsidRPr="00214C11" w:rsidRDefault="00BC419D" w:rsidP="0067482A">
      <w:pPr>
        <w:adjustRightInd w:val="0"/>
        <w:snapToGrid w:val="0"/>
        <w:spacing w:line="360" w:lineRule="auto"/>
        <w:ind w:firstLine="480"/>
        <w:rPr>
          <w:rFonts w:ascii="宋体" w:hAnsi="宋体"/>
          <w:sz w:val="24"/>
        </w:rPr>
      </w:pPr>
      <w:r w:rsidRPr="00214C11">
        <w:rPr>
          <w:rFonts w:ascii="宋体" w:hAnsi="宋体" w:cs="Arial" w:hint="eastAsia"/>
          <w:sz w:val="24"/>
        </w:rPr>
        <w:t>基金管理人</w:t>
      </w:r>
      <w:r w:rsidR="00796CAC" w:rsidRPr="00214C11">
        <w:rPr>
          <w:rFonts w:ascii="宋体" w:hAnsi="宋体" w:hint="eastAsia"/>
          <w:sz w:val="24"/>
        </w:rPr>
        <w:t>每个</w:t>
      </w:r>
      <w:r w:rsidRPr="00214C11">
        <w:rPr>
          <w:rFonts w:ascii="宋体" w:hAnsi="宋体" w:cs="Arial" w:hint="eastAsia"/>
          <w:sz w:val="24"/>
        </w:rPr>
        <w:t>工作日</w:t>
      </w:r>
      <w:r w:rsidR="00796CAC" w:rsidRPr="00214C11">
        <w:rPr>
          <w:rFonts w:ascii="宋体" w:hAnsi="宋体" w:hint="eastAsia"/>
          <w:sz w:val="24"/>
        </w:rPr>
        <w:t>计算基金资产净值及基金份额净值，</w:t>
      </w:r>
      <w:r w:rsidRPr="00214C11">
        <w:rPr>
          <w:rFonts w:ascii="宋体" w:hAnsi="宋体" w:cs="Arial" w:hint="eastAsia"/>
          <w:sz w:val="24"/>
        </w:rPr>
        <w:t>经基金托管人复核，</w:t>
      </w:r>
      <w:r w:rsidR="00796CAC" w:rsidRPr="00214C11">
        <w:rPr>
          <w:rFonts w:ascii="宋体" w:hAnsi="宋体" w:hint="eastAsia"/>
          <w:sz w:val="24"/>
        </w:rPr>
        <w:t>按规定公告。</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2.基金管理人应每</w:t>
      </w:r>
      <w:r w:rsidR="00C043A3" w:rsidRPr="00214C11">
        <w:rPr>
          <w:rFonts w:ascii="宋体" w:hAnsi="宋体" w:hint="eastAsia"/>
          <w:sz w:val="24"/>
        </w:rPr>
        <w:t>估值</w:t>
      </w:r>
      <w:r w:rsidRPr="00214C11">
        <w:rPr>
          <w:rFonts w:ascii="宋体" w:hAnsi="宋体" w:hint="eastAsia"/>
          <w:sz w:val="24"/>
        </w:rPr>
        <w:t>日对基金资产估值。但基金管理人根据法律法规或《基金合同》的规定暂停估值时除外。基金管理人每个</w:t>
      </w:r>
      <w:r w:rsidR="00C043A3" w:rsidRPr="00214C11">
        <w:rPr>
          <w:rFonts w:ascii="宋体" w:hAnsi="宋体" w:hint="eastAsia"/>
          <w:sz w:val="24"/>
        </w:rPr>
        <w:t>估值</w:t>
      </w:r>
      <w:r w:rsidRPr="00214C11">
        <w:rPr>
          <w:rFonts w:ascii="宋体" w:hAnsi="宋体" w:hint="eastAsia"/>
          <w:sz w:val="24"/>
        </w:rPr>
        <w:t>日对基金资产估值后，将基金份额净值结果发送基金托管人，经基金托管人复核无误后，由基金管理人对外公布。</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（二）基金资产估值方法和特殊情形的处理</w:t>
      </w:r>
    </w:p>
    <w:p w:rsidR="00187081" w:rsidRPr="00214C11" w:rsidRDefault="00E7399C" w:rsidP="0067482A">
      <w:pPr>
        <w:adjustRightInd w:val="0"/>
        <w:snapToGrid w:val="0"/>
        <w:spacing w:line="360" w:lineRule="auto"/>
        <w:ind w:firstLine="480"/>
        <w:rPr>
          <w:rFonts w:ascii="宋体" w:hAnsi="宋体"/>
          <w:sz w:val="24"/>
        </w:rPr>
      </w:pPr>
      <w:r w:rsidRPr="00214C11">
        <w:rPr>
          <w:rFonts w:ascii="宋体" w:hAnsi="宋体" w:hint="eastAsia"/>
          <w:sz w:val="24"/>
        </w:rPr>
        <w:t>1.</w:t>
      </w:r>
      <w:r w:rsidR="00796CAC" w:rsidRPr="00214C11">
        <w:rPr>
          <w:rFonts w:ascii="宋体" w:hAnsi="宋体" w:hint="eastAsia"/>
          <w:sz w:val="24"/>
        </w:rPr>
        <w:t>估值对象</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基金所拥有的股票、</w:t>
      </w:r>
      <w:r w:rsidR="009C1B1C" w:rsidRPr="00214C11">
        <w:rPr>
          <w:rFonts w:ascii="宋体" w:hAnsi="宋体" w:hint="eastAsia"/>
          <w:sz w:val="24"/>
        </w:rPr>
        <w:t>股指期货合约、</w:t>
      </w:r>
      <w:r w:rsidRPr="00214C11">
        <w:rPr>
          <w:rFonts w:ascii="宋体" w:hAnsi="宋体" w:hint="eastAsia"/>
          <w:sz w:val="24"/>
        </w:rPr>
        <w:t>债券和银行存款本息、应收款项、其它投资等资产。</w:t>
      </w:r>
    </w:p>
    <w:p w:rsidR="00187081" w:rsidRPr="00214C11" w:rsidRDefault="00E7399C" w:rsidP="0067482A">
      <w:pPr>
        <w:adjustRightInd w:val="0"/>
        <w:snapToGrid w:val="0"/>
        <w:spacing w:line="360" w:lineRule="auto"/>
        <w:ind w:firstLine="480"/>
        <w:rPr>
          <w:rFonts w:ascii="宋体" w:hAnsi="宋体"/>
          <w:sz w:val="24"/>
        </w:rPr>
      </w:pPr>
      <w:r w:rsidRPr="00214C11">
        <w:rPr>
          <w:rFonts w:ascii="宋体" w:hAnsi="宋体" w:hint="eastAsia"/>
          <w:sz w:val="24"/>
        </w:rPr>
        <w:t>2.</w:t>
      </w:r>
      <w:r w:rsidR="00796CAC" w:rsidRPr="00214C11">
        <w:rPr>
          <w:rFonts w:ascii="宋体" w:hAnsi="宋体" w:hint="eastAsia"/>
          <w:sz w:val="24"/>
        </w:rPr>
        <w:t>估值方法</w:t>
      </w:r>
    </w:p>
    <w:p w:rsidR="009C1B1C" w:rsidRPr="00214C11" w:rsidRDefault="00796CAC" w:rsidP="009C1B1C">
      <w:pPr>
        <w:autoSpaceDE w:val="0"/>
        <w:autoSpaceDN w:val="0"/>
        <w:spacing w:line="360" w:lineRule="auto"/>
        <w:ind w:firstLineChars="200" w:firstLine="480"/>
        <w:textAlignment w:val="bottom"/>
        <w:rPr>
          <w:bCs/>
          <w:sz w:val="24"/>
        </w:rPr>
      </w:pPr>
      <w:r w:rsidRPr="00214C11">
        <w:rPr>
          <w:rFonts w:hint="eastAsia"/>
          <w:sz w:val="24"/>
        </w:rPr>
        <w:t>（</w:t>
      </w:r>
      <w:r w:rsidRPr="00214C11">
        <w:rPr>
          <w:sz w:val="24"/>
        </w:rPr>
        <w:t>1</w:t>
      </w:r>
      <w:r w:rsidRPr="00214C11">
        <w:rPr>
          <w:rFonts w:hint="eastAsia"/>
          <w:sz w:val="24"/>
        </w:rPr>
        <w:t>）</w:t>
      </w:r>
      <w:r w:rsidR="009C1B1C" w:rsidRPr="00214C11">
        <w:rPr>
          <w:rFonts w:hint="eastAsia"/>
          <w:bCs/>
          <w:sz w:val="24"/>
        </w:rPr>
        <w:t>证券交易所上市的有价证券的</w:t>
      </w:r>
      <w:r w:rsidRPr="00214C11">
        <w:rPr>
          <w:rFonts w:hint="eastAsia"/>
          <w:sz w:val="24"/>
        </w:rPr>
        <w:t>估值</w:t>
      </w:r>
    </w:p>
    <w:p w:rsidR="009326E5" w:rsidRPr="00214C11" w:rsidRDefault="009326E5" w:rsidP="009326E5">
      <w:pPr>
        <w:spacing w:line="360" w:lineRule="auto"/>
        <w:ind w:firstLineChars="200" w:firstLine="480"/>
        <w:rPr>
          <w:bCs/>
          <w:sz w:val="24"/>
        </w:rPr>
      </w:pPr>
      <w:r w:rsidRPr="00214C11">
        <w:rPr>
          <w:bCs/>
          <w:sz w:val="24"/>
        </w:rPr>
        <w:t>1</w:t>
      </w:r>
      <w:r w:rsidRPr="00214C11">
        <w:rPr>
          <w:bCs/>
          <w:sz w:val="24"/>
        </w:rPr>
        <w:t>）交易所上市的有价证券（包括股票、权证等），以其估值日在证券交易所挂牌的市价（收盘价）估值；估值日无交易的，且最近交易日后经济环境未发生重大变化</w:t>
      </w:r>
      <w:r w:rsidRPr="00214C11">
        <w:rPr>
          <w:rFonts w:hint="eastAsia"/>
          <w:bCs/>
          <w:sz w:val="24"/>
        </w:rPr>
        <w:t>或</w:t>
      </w:r>
      <w:r w:rsidRPr="00214C11">
        <w:rPr>
          <w:bCs/>
          <w:sz w:val="24"/>
        </w:rPr>
        <w:t>证券发行机构未发生影响证券价格的重大事件的，以最近交易日的市价（收盘价）估值；如最近交易日后经济环境发生了重大变化</w:t>
      </w:r>
      <w:r w:rsidRPr="00214C11">
        <w:rPr>
          <w:rFonts w:hint="eastAsia"/>
          <w:bCs/>
          <w:sz w:val="24"/>
        </w:rPr>
        <w:t>或</w:t>
      </w:r>
      <w:r w:rsidRPr="00214C11">
        <w:rPr>
          <w:bCs/>
          <w:sz w:val="24"/>
        </w:rPr>
        <w:t>证券发行机构发生影响证券价格的重大事件的，可参考类似投资品种的现行市价及重大变化因素，调整最近交易市价，确定公允价格</w:t>
      </w:r>
      <w:r w:rsidRPr="00214C11">
        <w:rPr>
          <w:rFonts w:hint="eastAsia"/>
          <w:bCs/>
          <w:sz w:val="24"/>
        </w:rPr>
        <w:t>；</w:t>
      </w:r>
    </w:p>
    <w:p w:rsidR="009326E5" w:rsidRPr="00214C11" w:rsidRDefault="009326E5" w:rsidP="009326E5">
      <w:pPr>
        <w:spacing w:line="360" w:lineRule="auto"/>
        <w:ind w:firstLineChars="200" w:firstLine="480"/>
        <w:rPr>
          <w:rFonts w:hAnsi="宋体"/>
          <w:sz w:val="24"/>
          <w:szCs w:val="24"/>
        </w:rPr>
      </w:pPr>
      <w:r w:rsidRPr="00214C11">
        <w:rPr>
          <w:bCs/>
          <w:sz w:val="24"/>
        </w:rPr>
        <w:t>2</w:t>
      </w:r>
      <w:r w:rsidRPr="00214C11">
        <w:rPr>
          <w:bCs/>
          <w:sz w:val="24"/>
        </w:rPr>
        <w:t>）</w:t>
      </w:r>
      <w:r w:rsidRPr="00214C11">
        <w:rPr>
          <w:bCs/>
          <w:sz w:val="24"/>
          <w:szCs w:val="24"/>
        </w:rPr>
        <w:t>交易所上市</w:t>
      </w:r>
      <w:r w:rsidRPr="00214C11">
        <w:rPr>
          <w:rFonts w:hint="eastAsia"/>
          <w:bCs/>
          <w:sz w:val="24"/>
          <w:szCs w:val="24"/>
        </w:rPr>
        <w:t>交易或挂牌转让的固定收益品种（基金合同另有规定的除外），选取估值日第三方估值机构提供的相应品种对应的估值净价估值，具体估值机构由基金管理人与托管人另行协商约定</w:t>
      </w:r>
      <w:r w:rsidRPr="00214C11">
        <w:rPr>
          <w:rFonts w:hint="eastAsia"/>
          <w:bCs/>
          <w:sz w:val="24"/>
          <w:szCs w:val="24"/>
        </w:rPr>
        <w:t>.</w:t>
      </w:r>
      <w:r w:rsidRPr="00214C11">
        <w:rPr>
          <w:rFonts w:hint="eastAsia"/>
          <w:bCs/>
          <w:sz w:val="24"/>
          <w:szCs w:val="24"/>
        </w:rPr>
        <w:t>；</w:t>
      </w:r>
    </w:p>
    <w:p w:rsidR="009326E5" w:rsidRPr="00214C11" w:rsidRDefault="009326E5" w:rsidP="009326E5">
      <w:pPr>
        <w:spacing w:line="360" w:lineRule="auto"/>
        <w:ind w:firstLineChars="200" w:firstLine="480"/>
        <w:rPr>
          <w:bCs/>
          <w:sz w:val="24"/>
        </w:rPr>
      </w:pPr>
      <w:r w:rsidRPr="00214C11">
        <w:rPr>
          <w:rFonts w:hint="eastAsia"/>
          <w:bCs/>
          <w:sz w:val="24"/>
        </w:rPr>
        <w:t>3</w:t>
      </w:r>
      <w:r w:rsidRPr="00214C11">
        <w:rPr>
          <w:bCs/>
          <w:sz w:val="24"/>
        </w:rPr>
        <w:t>）</w:t>
      </w:r>
      <w:r w:rsidRPr="00214C11">
        <w:rPr>
          <w:rFonts w:hint="eastAsia"/>
          <w:bCs/>
          <w:sz w:val="24"/>
        </w:rPr>
        <w:t>交易所上市交易的可转换债券按估值日收盘价减去债券收盘价中所含的债券应收利息得到的净价进行估值；估值日没有交易的，且最近交易日后经济环境</w:t>
      </w:r>
      <w:r w:rsidRPr="00214C11">
        <w:rPr>
          <w:rFonts w:hint="eastAsia"/>
          <w:bCs/>
          <w:sz w:val="24"/>
        </w:rPr>
        <w:lastRenderedPageBreak/>
        <w:t>未发生重大变化，按最近交易日固定收益品种收盘价减去固定收益品种收盘价中所含的固定收益品种应收利息得到的净价进行估值。如最近交易日后经济环境发生了重大变化的，可参考类似投资品种的现行市价及重大变化因素，调整最近交易市价，确定公允价格；</w:t>
      </w:r>
    </w:p>
    <w:p w:rsidR="009326E5" w:rsidRPr="00214C11" w:rsidRDefault="009326E5" w:rsidP="009326E5">
      <w:pPr>
        <w:spacing w:line="360" w:lineRule="auto"/>
        <w:ind w:firstLineChars="200" w:firstLine="480"/>
        <w:rPr>
          <w:rFonts w:ascii="宋体" w:hAnsi="宋体"/>
          <w:bCs/>
          <w:sz w:val="24"/>
        </w:rPr>
      </w:pPr>
      <w:r w:rsidRPr="00214C11">
        <w:rPr>
          <w:rFonts w:ascii="宋体" w:hAnsi="宋体" w:hint="eastAsia"/>
          <w:bCs/>
          <w:sz w:val="24"/>
        </w:rPr>
        <w:t>交易所上市实行全价交易的</w:t>
      </w:r>
      <w:r w:rsidRPr="00214C11">
        <w:rPr>
          <w:rFonts w:hint="eastAsia"/>
          <w:bCs/>
          <w:sz w:val="24"/>
        </w:rPr>
        <w:t>固定收益品种</w:t>
      </w:r>
      <w:r w:rsidRPr="00214C11">
        <w:rPr>
          <w:rFonts w:ascii="宋体" w:hAnsi="宋体" w:hint="eastAsia"/>
          <w:bCs/>
          <w:sz w:val="24"/>
        </w:rPr>
        <w:t>（可转债除外），选取第三方估值机构提供的估值全价减去估值全价中所含的</w:t>
      </w:r>
      <w:r w:rsidRPr="00214C11">
        <w:rPr>
          <w:rFonts w:hint="eastAsia"/>
          <w:bCs/>
          <w:sz w:val="24"/>
        </w:rPr>
        <w:t>固定收益品种</w:t>
      </w:r>
      <w:r w:rsidRPr="00214C11">
        <w:rPr>
          <w:rFonts w:ascii="宋体" w:hAnsi="宋体" w:hint="eastAsia"/>
          <w:bCs/>
          <w:sz w:val="24"/>
        </w:rPr>
        <w:t>（税后）应收利息得到的净价进行估值；</w:t>
      </w:r>
    </w:p>
    <w:p w:rsidR="009326E5" w:rsidRPr="00214C11" w:rsidRDefault="009326E5" w:rsidP="009326E5">
      <w:pPr>
        <w:spacing w:line="360" w:lineRule="auto"/>
        <w:ind w:firstLineChars="200" w:firstLine="480"/>
        <w:rPr>
          <w:bCs/>
          <w:sz w:val="24"/>
        </w:rPr>
      </w:pPr>
      <w:r w:rsidRPr="00214C11">
        <w:rPr>
          <w:rFonts w:hint="eastAsia"/>
          <w:bCs/>
          <w:sz w:val="24"/>
        </w:rPr>
        <w:t>4</w:t>
      </w:r>
      <w:r w:rsidRPr="00214C11">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9326E5" w:rsidRPr="00214C11" w:rsidRDefault="009326E5" w:rsidP="009326E5">
      <w:pPr>
        <w:spacing w:line="360" w:lineRule="auto"/>
        <w:ind w:firstLineChars="200" w:firstLine="480"/>
        <w:rPr>
          <w:bCs/>
          <w:sz w:val="24"/>
        </w:rPr>
      </w:pPr>
      <w:r w:rsidRPr="00214C11">
        <w:rPr>
          <w:rFonts w:hint="eastAsia"/>
          <w:bCs/>
          <w:sz w:val="24"/>
        </w:rPr>
        <w:t>（</w:t>
      </w:r>
      <w:r w:rsidRPr="00214C11">
        <w:rPr>
          <w:bCs/>
          <w:sz w:val="24"/>
        </w:rPr>
        <w:t>2</w:t>
      </w:r>
      <w:r w:rsidRPr="00214C11">
        <w:rPr>
          <w:rFonts w:hint="eastAsia"/>
          <w:bCs/>
          <w:sz w:val="24"/>
        </w:rPr>
        <w:t>）</w:t>
      </w:r>
      <w:r w:rsidRPr="00214C11">
        <w:rPr>
          <w:bCs/>
          <w:sz w:val="24"/>
        </w:rPr>
        <w:t>处于未上市期间的有价证券应区分如下情况处理：</w:t>
      </w:r>
    </w:p>
    <w:p w:rsidR="009326E5" w:rsidRPr="00214C11" w:rsidRDefault="009326E5" w:rsidP="009326E5">
      <w:pPr>
        <w:spacing w:line="360" w:lineRule="auto"/>
        <w:ind w:firstLineChars="200" w:firstLine="480"/>
        <w:rPr>
          <w:bCs/>
          <w:sz w:val="24"/>
        </w:rPr>
      </w:pPr>
      <w:r w:rsidRPr="00214C11">
        <w:rPr>
          <w:rFonts w:hint="eastAsia"/>
          <w:bCs/>
          <w:sz w:val="24"/>
        </w:rPr>
        <w:t>1</w:t>
      </w:r>
      <w:r w:rsidRPr="00214C11">
        <w:rPr>
          <w:bCs/>
          <w:sz w:val="24"/>
        </w:rPr>
        <w:t>）送股、转增股、配股和公开增发的新股，按估值日在证券交易所挂牌的同一股票的估值方法估值；该日无交易</w:t>
      </w:r>
      <w:r w:rsidRPr="00214C11">
        <w:rPr>
          <w:rFonts w:hint="eastAsia"/>
          <w:bCs/>
          <w:sz w:val="24"/>
        </w:rPr>
        <w:t>；</w:t>
      </w:r>
      <w:r w:rsidRPr="00214C11">
        <w:rPr>
          <w:bCs/>
          <w:sz w:val="24"/>
        </w:rPr>
        <w:t>的，以最近一日的市价（收盘价）估值；</w:t>
      </w:r>
    </w:p>
    <w:p w:rsidR="009326E5" w:rsidRPr="00214C11" w:rsidRDefault="009326E5" w:rsidP="009326E5">
      <w:pPr>
        <w:spacing w:line="360" w:lineRule="auto"/>
        <w:ind w:firstLineChars="200" w:firstLine="480"/>
        <w:rPr>
          <w:bCs/>
          <w:sz w:val="24"/>
        </w:rPr>
      </w:pPr>
      <w:r w:rsidRPr="00214C11">
        <w:rPr>
          <w:bCs/>
          <w:sz w:val="24"/>
        </w:rPr>
        <w:t>2</w:t>
      </w:r>
      <w:r w:rsidRPr="00214C11">
        <w:rPr>
          <w:bCs/>
          <w:sz w:val="24"/>
        </w:rPr>
        <w:t>）首次公开发行未上市的股票、债券和权证，采用估值技术确定公允价值，在估值技术难以可靠计量公允价值的情况下，按成本估值</w:t>
      </w:r>
      <w:r w:rsidRPr="00214C11">
        <w:rPr>
          <w:rFonts w:hint="eastAsia"/>
          <w:bCs/>
          <w:sz w:val="24"/>
        </w:rPr>
        <w:t>；</w:t>
      </w:r>
    </w:p>
    <w:p w:rsidR="009326E5" w:rsidRPr="00214C11" w:rsidRDefault="009326E5" w:rsidP="009326E5">
      <w:pPr>
        <w:spacing w:line="360" w:lineRule="auto"/>
        <w:ind w:firstLineChars="200" w:firstLine="480"/>
        <w:rPr>
          <w:bCs/>
          <w:sz w:val="24"/>
        </w:rPr>
      </w:pPr>
      <w:r w:rsidRPr="00214C11">
        <w:rPr>
          <w:bCs/>
          <w:sz w:val="24"/>
        </w:rPr>
        <w:t>3</w:t>
      </w:r>
      <w:r w:rsidRPr="00214C11">
        <w:rPr>
          <w:bCs/>
          <w:sz w:val="24"/>
        </w:rPr>
        <w:t>）首次公开发行有明确锁定期的股票，同一股票在交易所上市后，按交易所上市的同一股票的估值方法估值；非公开发行有明确锁定期的股票，按监管机构或行业协会有关</w:t>
      </w:r>
      <w:r w:rsidRPr="00214C11">
        <w:rPr>
          <w:rFonts w:hint="eastAsia"/>
          <w:bCs/>
          <w:sz w:val="24"/>
        </w:rPr>
        <w:t>规定</w:t>
      </w:r>
      <w:r w:rsidRPr="00214C11">
        <w:rPr>
          <w:bCs/>
          <w:sz w:val="24"/>
        </w:rPr>
        <w:t>确定公允价值。</w:t>
      </w:r>
    </w:p>
    <w:p w:rsidR="009326E5" w:rsidRPr="00214C11" w:rsidRDefault="009326E5" w:rsidP="009326E5">
      <w:pPr>
        <w:spacing w:line="360" w:lineRule="auto"/>
        <w:ind w:firstLineChars="200" w:firstLine="480"/>
        <w:rPr>
          <w:bCs/>
          <w:sz w:val="24"/>
        </w:rPr>
      </w:pPr>
      <w:r w:rsidRPr="00214C11">
        <w:rPr>
          <w:rFonts w:hint="eastAsia"/>
          <w:bCs/>
          <w:sz w:val="24"/>
        </w:rPr>
        <w:t>（</w:t>
      </w:r>
      <w:r w:rsidRPr="00214C11">
        <w:rPr>
          <w:bCs/>
          <w:sz w:val="24"/>
        </w:rPr>
        <w:t>3</w:t>
      </w:r>
      <w:r w:rsidRPr="00214C11">
        <w:rPr>
          <w:rFonts w:hint="eastAsia"/>
          <w:bCs/>
          <w:sz w:val="24"/>
        </w:rPr>
        <w:t>）对</w:t>
      </w:r>
      <w:r w:rsidRPr="00214C11">
        <w:rPr>
          <w:bCs/>
          <w:sz w:val="24"/>
        </w:rPr>
        <w:t>全国银行间债券市场</w:t>
      </w:r>
      <w:r w:rsidRPr="00214C11">
        <w:rPr>
          <w:rFonts w:hint="eastAsia"/>
          <w:bCs/>
          <w:sz w:val="24"/>
        </w:rPr>
        <w:t>上的</w:t>
      </w:r>
      <w:r w:rsidRPr="00214C11">
        <w:rPr>
          <w:bCs/>
          <w:sz w:val="24"/>
        </w:rPr>
        <w:t>固定收益品种，</w:t>
      </w:r>
      <w:r w:rsidRPr="00214C11">
        <w:rPr>
          <w:rFonts w:hint="eastAsia"/>
          <w:bCs/>
          <w:sz w:val="24"/>
        </w:rPr>
        <w:t>按照第三方估值机构提供的相应品种当日的估值净价估值</w:t>
      </w:r>
      <w:r w:rsidRPr="00214C11">
        <w:rPr>
          <w:bCs/>
          <w:sz w:val="24"/>
        </w:rPr>
        <w:t>。</w:t>
      </w:r>
    </w:p>
    <w:p w:rsidR="009326E5" w:rsidRPr="00214C11" w:rsidRDefault="009B3101" w:rsidP="009326E5">
      <w:pPr>
        <w:spacing w:line="360" w:lineRule="auto"/>
        <w:ind w:firstLineChars="200" w:firstLine="480"/>
        <w:rPr>
          <w:bCs/>
          <w:sz w:val="24"/>
        </w:rPr>
      </w:pPr>
      <w:r w:rsidRPr="00214C11">
        <w:rPr>
          <w:rFonts w:hint="eastAsia"/>
          <w:bCs/>
          <w:sz w:val="24"/>
        </w:rPr>
        <w:t>（</w:t>
      </w:r>
      <w:r w:rsidR="009326E5" w:rsidRPr="00214C11">
        <w:rPr>
          <w:rFonts w:hint="eastAsia"/>
          <w:bCs/>
          <w:sz w:val="24"/>
        </w:rPr>
        <w:t>4</w:t>
      </w:r>
      <w:r w:rsidRPr="00214C11">
        <w:rPr>
          <w:rFonts w:hint="eastAsia"/>
          <w:bCs/>
          <w:sz w:val="24"/>
        </w:rPr>
        <w:t>）</w:t>
      </w:r>
      <w:r w:rsidR="009326E5" w:rsidRPr="00214C11">
        <w:rPr>
          <w:rFonts w:hint="eastAsia"/>
          <w:bCs/>
          <w:sz w:val="24"/>
        </w:rPr>
        <w:t>同一固定收益品种同时在两个或两个以上市场交易的，按所处的市场分别估值。</w:t>
      </w:r>
    </w:p>
    <w:p w:rsidR="009326E5" w:rsidRPr="00214C11" w:rsidRDefault="009B3101" w:rsidP="009326E5">
      <w:pPr>
        <w:spacing w:line="360" w:lineRule="auto"/>
        <w:ind w:firstLineChars="200" w:firstLine="480"/>
        <w:rPr>
          <w:bCs/>
          <w:sz w:val="24"/>
        </w:rPr>
      </w:pPr>
      <w:r w:rsidRPr="00214C11">
        <w:rPr>
          <w:rFonts w:hint="eastAsia"/>
          <w:bCs/>
          <w:sz w:val="24"/>
        </w:rPr>
        <w:t>（</w:t>
      </w:r>
      <w:r w:rsidR="009326E5" w:rsidRPr="00214C11">
        <w:rPr>
          <w:rFonts w:hint="eastAsia"/>
          <w:bCs/>
          <w:sz w:val="24"/>
        </w:rPr>
        <w:t>5</w:t>
      </w:r>
      <w:r w:rsidRPr="00214C11">
        <w:rPr>
          <w:rFonts w:hint="eastAsia"/>
          <w:bCs/>
          <w:sz w:val="24"/>
        </w:rPr>
        <w:t>）</w:t>
      </w:r>
      <w:r w:rsidR="009326E5" w:rsidRPr="00214C11">
        <w:rPr>
          <w:rFonts w:hint="eastAsia"/>
          <w:bCs/>
          <w:sz w:val="24"/>
        </w:rPr>
        <w:t>本基金投资股指期货合约，一般以估值当日结算价进行估值，估值当日无结算价的，且最近交易日后经济环境未发生重大变化的，采用最近交易日结算价估值。</w:t>
      </w:r>
    </w:p>
    <w:p w:rsidR="009326E5" w:rsidRPr="00214C11" w:rsidRDefault="009B3101" w:rsidP="009326E5">
      <w:pPr>
        <w:spacing w:line="360" w:lineRule="auto"/>
        <w:ind w:firstLineChars="200" w:firstLine="480"/>
        <w:rPr>
          <w:bCs/>
          <w:sz w:val="24"/>
        </w:rPr>
      </w:pPr>
      <w:r w:rsidRPr="00214C11">
        <w:rPr>
          <w:rFonts w:hint="eastAsia"/>
          <w:bCs/>
          <w:sz w:val="24"/>
        </w:rPr>
        <w:t>（</w:t>
      </w:r>
      <w:r w:rsidR="00991EE2" w:rsidRPr="00214C11">
        <w:rPr>
          <w:rFonts w:hint="eastAsia"/>
          <w:bCs/>
          <w:sz w:val="24"/>
        </w:rPr>
        <w:t>6</w:t>
      </w:r>
      <w:r w:rsidRPr="00214C11">
        <w:rPr>
          <w:rFonts w:hint="eastAsia"/>
          <w:bCs/>
          <w:sz w:val="24"/>
        </w:rPr>
        <w:t>）</w:t>
      </w:r>
      <w:r w:rsidR="009326E5" w:rsidRPr="00214C11">
        <w:rPr>
          <w:bCs/>
          <w:sz w:val="24"/>
        </w:rPr>
        <w:t>如有确凿证据表明按上述方法进行估值不能客观反映其公允价值的，基金管理人可根据具体情况与基金托管人商定后，按最能反映公允价值的价格估值。</w:t>
      </w:r>
    </w:p>
    <w:p w:rsidR="009326E5" w:rsidRPr="00214C11" w:rsidRDefault="009B3101" w:rsidP="009326E5">
      <w:pPr>
        <w:spacing w:line="360" w:lineRule="auto"/>
        <w:ind w:firstLineChars="200" w:firstLine="480"/>
        <w:rPr>
          <w:bCs/>
          <w:sz w:val="24"/>
        </w:rPr>
      </w:pPr>
      <w:r w:rsidRPr="00214C11">
        <w:rPr>
          <w:rFonts w:hint="eastAsia"/>
          <w:bCs/>
          <w:sz w:val="24"/>
        </w:rPr>
        <w:t>（</w:t>
      </w:r>
      <w:r w:rsidR="00991EE2" w:rsidRPr="00214C11">
        <w:rPr>
          <w:rFonts w:hint="eastAsia"/>
          <w:bCs/>
          <w:sz w:val="24"/>
        </w:rPr>
        <w:t>7</w:t>
      </w:r>
      <w:r w:rsidRPr="00214C11">
        <w:rPr>
          <w:rFonts w:hint="eastAsia"/>
          <w:bCs/>
          <w:sz w:val="24"/>
        </w:rPr>
        <w:t>）</w:t>
      </w:r>
      <w:r w:rsidR="009326E5" w:rsidRPr="00214C11">
        <w:rPr>
          <w:bCs/>
          <w:sz w:val="24"/>
        </w:rPr>
        <w:t>相关法律法规以及监管部门有强制规定的，从其规定。如有新增事项，按国家最新规定估值。</w:t>
      </w:r>
    </w:p>
    <w:p w:rsidR="00187081" w:rsidRPr="00214C11" w:rsidRDefault="00796CAC" w:rsidP="0067482A">
      <w:pPr>
        <w:autoSpaceDE w:val="0"/>
        <w:autoSpaceDN w:val="0"/>
        <w:spacing w:line="360" w:lineRule="auto"/>
        <w:ind w:firstLineChars="200" w:firstLine="480"/>
        <w:textAlignment w:val="bottom"/>
        <w:rPr>
          <w:bCs/>
          <w:sz w:val="24"/>
        </w:rPr>
      </w:pPr>
      <w:r w:rsidRPr="00214C11">
        <w:rPr>
          <w:rFonts w:hint="eastAsia"/>
          <w:bCs/>
          <w:sz w:val="24"/>
        </w:rPr>
        <w:t>如基金管理人或基金托管人发现基金估值违反</w:t>
      </w:r>
      <w:r w:rsidR="009C1B1C" w:rsidRPr="00214C11">
        <w:rPr>
          <w:rFonts w:hint="eastAsia"/>
          <w:bCs/>
          <w:sz w:val="24"/>
        </w:rPr>
        <w:t>基金合同</w:t>
      </w:r>
      <w:r w:rsidRPr="00214C11">
        <w:rPr>
          <w:rFonts w:hint="eastAsia"/>
          <w:bCs/>
          <w:sz w:val="24"/>
        </w:rPr>
        <w:t>订明的估值方法、程</w:t>
      </w:r>
      <w:r w:rsidRPr="00214C11">
        <w:rPr>
          <w:rFonts w:hint="eastAsia"/>
          <w:bCs/>
          <w:sz w:val="24"/>
        </w:rPr>
        <w:lastRenderedPageBreak/>
        <w:t>序及相关法律法规的规定或者未能充分维护基金份额持有人利益时，应立即通知对方，共同查明原因，双方协商解决。</w:t>
      </w:r>
    </w:p>
    <w:p w:rsidR="00187081" w:rsidRPr="00214C11" w:rsidRDefault="00796CAC" w:rsidP="0067482A">
      <w:pPr>
        <w:autoSpaceDE w:val="0"/>
        <w:autoSpaceDN w:val="0"/>
        <w:spacing w:line="360" w:lineRule="auto"/>
        <w:ind w:firstLineChars="200" w:firstLine="480"/>
        <w:textAlignment w:val="bottom"/>
        <w:rPr>
          <w:bCs/>
          <w:sz w:val="24"/>
        </w:rPr>
      </w:pPr>
      <w:r w:rsidRPr="00214C11">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9C1B1C" w:rsidRPr="00214C11">
        <w:rPr>
          <w:rFonts w:hint="eastAsia"/>
          <w:bCs/>
          <w:sz w:val="24"/>
        </w:rPr>
        <w:t>的意见</w:t>
      </w:r>
      <w:r w:rsidRPr="00214C11">
        <w:rPr>
          <w:rFonts w:hint="eastAsia"/>
          <w:bCs/>
          <w:sz w:val="24"/>
        </w:rPr>
        <w:t>，按照基金管理人对基金资产净值的计算结果对外予以公布。</w:t>
      </w:r>
    </w:p>
    <w:p w:rsidR="00187081" w:rsidRPr="00214C11" w:rsidRDefault="00C21114" w:rsidP="00D5585F">
      <w:pPr>
        <w:autoSpaceDE w:val="0"/>
        <w:autoSpaceDN w:val="0"/>
        <w:spacing w:line="360" w:lineRule="auto"/>
        <w:ind w:firstLineChars="200" w:firstLine="480"/>
        <w:textAlignment w:val="bottom"/>
        <w:rPr>
          <w:bCs/>
          <w:sz w:val="24"/>
        </w:rPr>
      </w:pPr>
      <w:r w:rsidRPr="00214C11">
        <w:rPr>
          <w:rFonts w:hint="eastAsia"/>
          <w:bCs/>
          <w:sz w:val="24"/>
        </w:rPr>
        <w:t>1</w:t>
      </w:r>
      <w:r w:rsidR="009E7DB9" w:rsidRPr="00214C11">
        <w:rPr>
          <w:rFonts w:hint="eastAsia"/>
          <w:bCs/>
          <w:sz w:val="24"/>
        </w:rPr>
        <w:t>.</w:t>
      </w:r>
      <w:r w:rsidR="00796CAC" w:rsidRPr="00214C11">
        <w:rPr>
          <w:rFonts w:hint="eastAsia"/>
          <w:bCs/>
          <w:sz w:val="24"/>
        </w:rPr>
        <w:t>特殊情形的处理</w:t>
      </w:r>
    </w:p>
    <w:p w:rsidR="00187081" w:rsidRPr="00214C11" w:rsidRDefault="00796CAC" w:rsidP="00D5585F">
      <w:pPr>
        <w:autoSpaceDE w:val="0"/>
        <w:autoSpaceDN w:val="0"/>
        <w:spacing w:line="360" w:lineRule="auto"/>
        <w:ind w:firstLineChars="200" w:firstLine="420"/>
        <w:textAlignment w:val="bottom"/>
        <w:rPr>
          <w:bCs/>
        </w:rPr>
      </w:pPr>
      <w:r w:rsidRPr="00214C11">
        <w:rPr>
          <w:rFonts w:hint="eastAsia"/>
          <w:bCs/>
        </w:rPr>
        <w:t>基金管理人、基金托管人按估值方法的第</w:t>
      </w:r>
      <w:r w:rsidR="009C1B1C" w:rsidRPr="00214C11">
        <w:rPr>
          <w:rFonts w:hint="eastAsia"/>
          <w:bCs/>
        </w:rPr>
        <w:t>（</w:t>
      </w:r>
      <w:r w:rsidR="0090512D" w:rsidRPr="00214C11">
        <w:rPr>
          <w:rFonts w:hint="eastAsia"/>
          <w:bCs/>
        </w:rPr>
        <w:t>7</w:t>
      </w:r>
      <w:r w:rsidR="009C1B1C" w:rsidRPr="00214C11">
        <w:rPr>
          <w:rFonts w:hint="eastAsia"/>
          <w:bCs/>
        </w:rPr>
        <w:t>）</w:t>
      </w:r>
      <w:r w:rsidRPr="00214C11">
        <w:rPr>
          <w:rFonts w:hint="eastAsia"/>
          <w:bCs/>
        </w:rPr>
        <w:t>项进行估值时，所造成的误差不作为基金份额净值错误处理。</w:t>
      </w:r>
    </w:p>
    <w:p w:rsidR="009C1B1C" w:rsidRPr="00214C11" w:rsidRDefault="009C1B1C" w:rsidP="00D5585F">
      <w:pPr>
        <w:autoSpaceDE w:val="0"/>
        <w:autoSpaceDN w:val="0"/>
        <w:spacing w:line="360" w:lineRule="auto"/>
        <w:ind w:firstLineChars="200" w:firstLine="480"/>
        <w:textAlignment w:val="bottom"/>
        <w:rPr>
          <w:bCs/>
          <w:sz w:val="24"/>
        </w:rPr>
      </w:pPr>
      <w:r w:rsidRPr="00214C11">
        <w:rPr>
          <w:rFonts w:hint="eastAsia"/>
          <w:bCs/>
          <w:sz w:val="24"/>
        </w:rPr>
        <w:t>由于不可抗力原因，或由于证券、期货交易所或登记结算公司发送的数据错误等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187081" w:rsidRPr="00214C11" w:rsidRDefault="00796CAC" w:rsidP="00D5585F">
      <w:pPr>
        <w:autoSpaceDE w:val="0"/>
        <w:autoSpaceDN w:val="0"/>
        <w:spacing w:line="360" w:lineRule="auto"/>
        <w:ind w:firstLineChars="200" w:firstLine="480"/>
        <w:textAlignment w:val="bottom"/>
        <w:rPr>
          <w:bCs/>
          <w:sz w:val="24"/>
        </w:rPr>
      </w:pPr>
      <w:r w:rsidRPr="00214C11">
        <w:rPr>
          <w:rFonts w:hint="eastAsia"/>
          <w:bCs/>
          <w:sz w:val="24"/>
        </w:rPr>
        <w:t>（三）基金份额净值错误的处理方式</w:t>
      </w:r>
    </w:p>
    <w:p w:rsidR="00187081" w:rsidRPr="00214C11" w:rsidRDefault="00796CAC" w:rsidP="00D5585F">
      <w:pPr>
        <w:autoSpaceDE w:val="0"/>
        <w:autoSpaceDN w:val="0"/>
        <w:spacing w:line="360" w:lineRule="auto"/>
        <w:ind w:firstLineChars="200" w:firstLine="480"/>
        <w:textAlignment w:val="bottom"/>
        <w:rPr>
          <w:bCs/>
          <w:sz w:val="24"/>
        </w:rPr>
      </w:pPr>
      <w:r w:rsidRPr="00214C11">
        <w:rPr>
          <w:bCs/>
          <w:sz w:val="24"/>
        </w:rPr>
        <w:t>1.</w:t>
      </w:r>
      <w:r w:rsidRPr="00214C11">
        <w:rPr>
          <w:bCs/>
          <w:sz w:val="24"/>
        </w:rPr>
        <w:t>当基金份额净值小数点后</w:t>
      </w:r>
      <w:r w:rsidR="002207AE" w:rsidRPr="00214C11">
        <w:rPr>
          <w:rFonts w:hint="eastAsia"/>
          <w:bCs/>
          <w:sz w:val="24"/>
        </w:rPr>
        <w:t>4</w:t>
      </w:r>
      <w:r w:rsidRPr="00214C11">
        <w:rPr>
          <w:rFonts w:hint="eastAsia"/>
          <w:bCs/>
          <w:sz w:val="24"/>
        </w:rPr>
        <w:t>位以内</w:t>
      </w:r>
      <w:r w:rsidRPr="00214C11">
        <w:rPr>
          <w:bCs/>
          <w:sz w:val="24"/>
        </w:rPr>
        <w:t>(</w:t>
      </w:r>
      <w:r w:rsidRPr="00214C11">
        <w:rPr>
          <w:bCs/>
          <w:sz w:val="24"/>
        </w:rPr>
        <w:t>含第</w:t>
      </w:r>
      <w:r w:rsidR="002207AE" w:rsidRPr="00214C11">
        <w:rPr>
          <w:rFonts w:hint="eastAsia"/>
          <w:bCs/>
          <w:sz w:val="24"/>
        </w:rPr>
        <w:t>4</w:t>
      </w:r>
      <w:r w:rsidRPr="00214C11">
        <w:rPr>
          <w:rFonts w:hint="eastAsia"/>
          <w:bCs/>
          <w:sz w:val="24"/>
        </w:rPr>
        <w:t>位</w:t>
      </w:r>
      <w:r w:rsidRPr="00214C11">
        <w:rPr>
          <w:bCs/>
          <w:sz w:val="24"/>
        </w:rPr>
        <w:t>)</w:t>
      </w:r>
      <w:r w:rsidRPr="00214C11">
        <w:rPr>
          <w:bCs/>
          <w:sz w:val="24"/>
        </w:rPr>
        <w:t>发生差错时，视为基金份额净值错误；基金份额净值出现错误时，基金管理人应当立即予以纠正，通报基金托管人，并采取合理的措施防止损失进一步扩大；错误偏差达到基金</w:t>
      </w:r>
      <w:r w:rsidR="0090512D" w:rsidRPr="00214C11">
        <w:rPr>
          <w:rFonts w:hint="eastAsia"/>
          <w:bCs/>
          <w:sz w:val="24"/>
        </w:rPr>
        <w:t>份额</w:t>
      </w:r>
      <w:r w:rsidRPr="00214C11">
        <w:rPr>
          <w:bCs/>
          <w:sz w:val="24"/>
        </w:rPr>
        <w:t>净值的</w:t>
      </w:r>
      <w:r w:rsidRPr="00214C11">
        <w:rPr>
          <w:bCs/>
          <w:sz w:val="24"/>
        </w:rPr>
        <w:t>0.25%</w:t>
      </w:r>
      <w:r w:rsidRPr="00214C11">
        <w:rPr>
          <w:bCs/>
          <w:sz w:val="24"/>
        </w:rPr>
        <w:t>时，基金管理人应当通报基金托管人并报中国证监会备案；错误偏差达到基金</w:t>
      </w:r>
      <w:r w:rsidR="0090512D" w:rsidRPr="00214C11">
        <w:rPr>
          <w:rFonts w:hint="eastAsia"/>
          <w:bCs/>
          <w:sz w:val="24"/>
        </w:rPr>
        <w:t>份额</w:t>
      </w:r>
      <w:r w:rsidRPr="00214C11">
        <w:rPr>
          <w:bCs/>
          <w:sz w:val="24"/>
        </w:rPr>
        <w:t>净值的</w:t>
      </w:r>
      <w:r w:rsidRPr="00214C11">
        <w:rPr>
          <w:bCs/>
          <w:sz w:val="24"/>
        </w:rPr>
        <w:t>0.5%</w:t>
      </w:r>
      <w:r w:rsidRPr="00214C11">
        <w:rPr>
          <w:bCs/>
          <w:sz w:val="24"/>
        </w:rPr>
        <w:t>时，基金管理人应当公告；当发生净值计算错误时，由基金管理人负责处理，由此给基金份额持有人和基金造成损失的，应由基金管理人先行赔付，基金管理人按差错情形，有权向其他当事人追偿。</w:t>
      </w:r>
    </w:p>
    <w:p w:rsidR="00187081" w:rsidRPr="00214C11" w:rsidRDefault="00796CAC" w:rsidP="00D5585F">
      <w:pPr>
        <w:autoSpaceDE w:val="0"/>
        <w:autoSpaceDN w:val="0"/>
        <w:spacing w:line="360" w:lineRule="auto"/>
        <w:ind w:firstLineChars="200" w:firstLine="480"/>
        <w:textAlignment w:val="bottom"/>
        <w:rPr>
          <w:bCs/>
          <w:sz w:val="24"/>
        </w:rPr>
      </w:pPr>
      <w:r w:rsidRPr="00214C11">
        <w:rPr>
          <w:bCs/>
          <w:sz w:val="24"/>
        </w:rPr>
        <w:t>2.</w:t>
      </w:r>
      <w:r w:rsidRPr="00214C11">
        <w:rPr>
          <w:bCs/>
          <w:sz w:val="24"/>
        </w:rPr>
        <w:t>当基金份额净值计算差错给基金和基金份额持有人造成损失需要进行赔偿时，基金管理人和基金托管人应根据实际情况界定双方承担的责任，经确认后按以下条款进行赔偿：</w:t>
      </w:r>
    </w:p>
    <w:p w:rsidR="00187081" w:rsidRPr="00214C11" w:rsidRDefault="00796CAC" w:rsidP="00D5585F">
      <w:pPr>
        <w:autoSpaceDE w:val="0"/>
        <w:autoSpaceDN w:val="0"/>
        <w:spacing w:line="360" w:lineRule="auto"/>
        <w:ind w:firstLineChars="200" w:firstLine="480"/>
        <w:textAlignment w:val="bottom"/>
        <w:rPr>
          <w:bCs/>
          <w:sz w:val="24"/>
        </w:rPr>
      </w:pPr>
      <w:r w:rsidRPr="00214C11">
        <w:rPr>
          <w:bCs/>
          <w:sz w:val="24"/>
        </w:rPr>
        <w:t>(1)</w:t>
      </w:r>
      <w:r w:rsidRPr="00214C11">
        <w:rPr>
          <w:bCs/>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187081" w:rsidRPr="00214C11" w:rsidRDefault="00796CAC" w:rsidP="00D5585F">
      <w:pPr>
        <w:autoSpaceDE w:val="0"/>
        <w:autoSpaceDN w:val="0"/>
        <w:spacing w:line="360" w:lineRule="auto"/>
        <w:ind w:firstLineChars="200" w:firstLine="480"/>
        <w:textAlignment w:val="bottom"/>
        <w:rPr>
          <w:bCs/>
          <w:sz w:val="24"/>
        </w:rPr>
      </w:pPr>
      <w:r w:rsidRPr="00214C11">
        <w:rPr>
          <w:bCs/>
          <w:sz w:val="24"/>
        </w:rPr>
        <w:t>(2)</w:t>
      </w:r>
      <w:r w:rsidRPr="00214C11">
        <w:rPr>
          <w:rFonts w:hint="eastAsia"/>
          <w:bCs/>
          <w:sz w:val="24"/>
        </w:rPr>
        <w:t>若基金管理人计算的基金份额净值已由基金托管人复核确认后公告，而且基金托管人未对计算过程提出疑义或要求基金管理人书面说明，基金份额净值出</w:t>
      </w:r>
      <w:r w:rsidRPr="00214C11">
        <w:rPr>
          <w:rFonts w:hint="eastAsia"/>
          <w:bCs/>
          <w:sz w:val="24"/>
        </w:rPr>
        <w:lastRenderedPageBreak/>
        <w:t>错且造成基金份额持有人损失的，应根据法律法规的规定对投资者或基金支付赔偿金，就实际向投资者或基金支付的赔偿金额，基金管理人与基金托管人按照管理费和托管费的比例各自承担相应的责任。</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(3)如基金管理人和基金托管人对基金份额</w:t>
      </w:r>
      <w:r w:rsidRPr="00214C11">
        <w:rPr>
          <w:rFonts w:ascii="宋体" w:hAnsi="宋体" w:hint="eastAsia"/>
          <w:sz w:val="24"/>
        </w:rPr>
        <w:t>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(4)</w:t>
      </w:r>
      <w:r w:rsidRPr="00214C11">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187081" w:rsidRPr="00214C11" w:rsidRDefault="00D30603" w:rsidP="0067482A">
      <w:pPr>
        <w:adjustRightInd w:val="0"/>
        <w:snapToGrid w:val="0"/>
        <w:spacing w:line="360" w:lineRule="auto"/>
        <w:ind w:firstLineChars="200" w:firstLine="480"/>
        <w:rPr>
          <w:rFonts w:ascii="宋体" w:hAnsi="宋体"/>
          <w:sz w:val="24"/>
        </w:rPr>
      </w:pPr>
      <w:r w:rsidRPr="00214C11">
        <w:rPr>
          <w:rFonts w:ascii="宋体" w:hAnsi="宋体" w:cs="Arial"/>
          <w:sz w:val="24"/>
          <w:szCs w:val="24"/>
        </w:rPr>
        <w:t>3</w:t>
      </w:r>
      <w:r w:rsidR="00796CAC" w:rsidRPr="00214C11">
        <w:rPr>
          <w:rFonts w:ascii="宋体" w:hAnsi="宋体"/>
          <w:sz w:val="24"/>
        </w:rPr>
        <w:t>.基金管理人和基金托管人由于各自技术系统设置而产生的净值计算尾差，以基金管理人计算结果为准。</w:t>
      </w:r>
    </w:p>
    <w:p w:rsidR="00187081" w:rsidRPr="00214C11" w:rsidRDefault="00D30603" w:rsidP="0067482A">
      <w:pPr>
        <w:adjustRightInd w:val="0"/>
        <w:snapToGrid w:val="0"/>
        <w:spacing w:line="360" w:lineRule="auto"/>
        <w:ind w:firstLineChars="200" w:firstLine="480"/>
        <w:rPr>
          <w:rFonts w:ascii="宋体" w:hAnsi="宋体"/>
          <w:sz w:val="24"/>
        </w:rPr>
      </w:pPr>
      <w:r w:rsidRPr="00214C11">
        <w:rPr>
          <w:rFonts w:ascii="宋体" w:hAnsi="宋体" w:cs="Arial"/>
          <w:sz w:val="24"/>
          <w:szCs w:val="24"/>
        </w:rPr>
        <w:t>4</w:t>
      </w:r>
      <w:r w:rsidR="00796CAC" w:rsidRPr="00214C11">
        <w:rPr>
          <w:rFonts w:ascii="宋体" w:hAnsi="宋体"/>
          <w:sz w:val="24"/>
        </w:rPr>
        <w:t>.前述内容如法律法规或者监管部门另有规定的，从其规定。如果行业另有通行做法，双方当事人应本着平等和保护基金份额持有人利益的原则进行协商。</w:t>
      </w:r>
    </w:p>
    <w:p w:rsidR="00187081" w:rsidRPr="00214C11" w:rsidRDefault="00796CAC" w:rsidP="0067482A">
      <w:pPr>
        <w:adjustRightInd w:val="0"/>
        <w:snapToGrid w:val="0"/>
        <w:spacing w:line="360" w:lineRule="auto"/>
        <w:ind w:firstLineChars="200" w:firstLine="480"/>
        <w:outlineLvl w:val="0"/>
        <w:rPr>
          <w:rFonts w:ascii="宋体" w:hAnsi="宋体"/>
          <w:sz w:val="24"/>
        </w:rPr>
      </w:pPr>
      <w:r w:rsidRPr="00214C11">
        <w:rPr>
          <w:rFonts w:ascii="宋体" w:hAnsi="宋体" w:hint="eastAsia"/>
          <w:sz w:val="24"/>
        </w:rPr>
        <w:t>（四）暂停估值的情形</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1.基金投资所涉及的证券</w:t>
      </w:r>
      <w:r w:rsidR="0096483B" w:rsidRPr="00214C11">
        <w:rPr>
          <w:rFonts w:ascii="宋体" w:hAnsi="宋体" w:cs="Arial" w:hint="eastAsia"/>
          <w:sz w:val="24"/>
          <w:szCs w:val="24"/>
        </w:rPr>
        <w:t>、期货</w:t>
      </w:r>
      <w:r w:rsidRPr="00214C11">
        <w:rPr>
          <w:rFonts w:ascii="宋体" w:hAnsi="宋体" w:hint="eastAsia"/>
          <w:sz w:val="24"/>
        </w:rPr>
        <w:t>交易市场遇法定节假日或因其他原因暂停营业时；</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2.因不可抗力致使基金管理人、基金托管人无法准确评估基金资产价值时；</w:t>
      </w:r>
    </w:p>
    <w:p w:rsidR="00F77501" w:rsidRPr="00214C11" w:rsidRDefault="00F77501" w:rsidP="00F77501">
      <w:pPr>
        <w:adjustRightInd w:val="0"/>
        <w:snapToGrid w:val="0"/>
        <w:spacing w:line="360" w:lineRule="auto"/>
        <w:ind w:firstLineChars="200" w:firstLine="480"/>
        <w:rPr>
          <w:rFonts w:ascii="宋体" w:hAnsi="宋体"/>
          <w:sz w:val="24"/>
        </w:rPr>
      </w:pPr>
      <w:r w:rsidRPr="00214C11">
        <w:rPr>
          <w:rFonts w:ascii="宋体" w:hAnsi="宋体" w:hint="eastAsia"/>
          <w:sz w:val="24"/>
        </w:rPr>
        <w:t>3</w:t>
      </w:r>
      <w:r w:rsidRPr="00214C11">
        <w:rPr>
          <w:rFonts w:ascii="宋体" w:hAnsi="宋体"/>
          <w:sz w:val="24"/>
        </w:rPr>
        <w:t>.</w:t>
      </w:r>
      <w:r w:rsidRPr="00214C11">
        <w:rPr>
          <w:rFonts w:ascii="宋体" w:hAnsi="宋体" w:hint="eastAsia"/>
          <w:sz w:val="24"/>
        </w:rPr>
        <w:t>占基金相当比例的投资品种的估值出现重大转变，而基金管理人为保障基金份额持有人的利益，决定延迟估值时；</w:t>
      </w:r>
    </w:p>
    <w:p w:rsidR="00F77501" w:rsidRPr="00214C11" w:rsidRDefault="00F77501" w:rsidP="00F77501">
      <w:pPr>
        <w:adjustRightInd w:val="0"/>
        <w:snapToGrid w:val="0"/>
        <w:spacing w:line="360" w:lineRule="auto"/>
        <w:ind w:firstLineChars="200" w:firstLine="480"/>
        <w:rPr>
          <w:rFonts w:ascii="宋体" w:hAnsi="宋体"/>
          <w:sz w:val="24"/>
        </w:rPr>
      </w:pPr>
      <w:r w:rsidRPr="00214C11">
        <w:rPr>
          <w:rFonts w:ascii="宋体" w:hAnsi="宋体" w:hint="eastAsia"/>
          <w:sz w:val="24"/>
        </w:rPr>
        <w:t>4</w:t>
      </w:r>
      <w:r w:rsidRPr="00214C11">
        <w:rPr>
          <w:rFonts w:ascii="宋体" w:hAnsi="宋体"/>
          <w:sz w:val="24"/>
        </w:rPr>
        <w:t>.</w:t>
      </w:r>
      <w:r w:rsidRPr="00214C11">
        <w:rPr>
          <w:rFonts w:ascii="宋体" w:hAnsi="宋体" w:hint="eastAsia"/>
          <w:sz w:val="24"/>
        </w:rPr>
        <w:t>出现基金管理人认为属于会导致基金管理人不能出售或评估基金资产的紧急事故的任何情况；</w:t>
      </w:r>
    </w:p>
    <w:p w:rsidR="00187081" w:rsidRPr="00214C11" w:rsidRDefault="00F77501" w:rsidP="0067482A">
      <w:pPr>
        <w:adjustRightInd w:val="0"/>
        <w:snapToGrid w:val="0"/>
        <w:spacing w:line="360" w:lineRule="auto"/>
        <w:ind w:firstLineChars="200" w:firstLine="480"/>
        <w:rPr>
          <w:rFonts w:ascii="宋体" w:hAnsi="宋体"/>
          <w:sz w:val="24"/>
        </w:rPr>
      </w:pPr>
      <w:r w:rsidRPr="00214C11">
        <w:rPr>
          <w:rFonts w:ascii="宋体" w:hAnsi="宋体" w:cs="Arial" w:hint="eastAsia"/>
          <w:sz w:val="24"/>
          <w:szCs w:val="24"/>
        </w:rPr>
        <w:t>5</w:t>
      </w:r>
      <w:r w:rsidR="00796CAC" w:rsidRPr="00214C11">
        <w:rPr>
          <w:rFonts w:ascii="宋体" w:hAnsi="宋体"/>
          <w:sz w:val="24"/>
        </w:rPr>
        <w:t>.中国证监会和《基金合同》认定的其他情形。</w:t>
      </w:r>
    </w:p>
    <w:p w:rsidR="00187081" w:rsidRPr="00214C11" w:rsidRDefault="00796CAC" w:rsidP="0067482A">
      <w:pPr>
        <w:adjustRightInd w:val="0"/>
        <w:snapToGrid w:val="0"/>
        <w:spacing w:line="360" w:lineRule="auto"/>
        <w:ind w:firstLineChars="200" w:firstLine="480"/>
        <w:outlineLvl w:val="0"/>
        <w:rPr>
          <w:rFonts w:ascii="宋体" w:hAnsi="宋体"/>
          <w:sz w:val="24"/>
        </w:rPr>
      </w:pPr>
      <w:r w:rsidRPr="00214C11">
        <w:rPr>
          <w:rFonts w:ascii="宋体" w:hAnsi="宋体" w:hint="eastAsia"/>
          <w:sz w:val="24"/>
        </w:rPr>
        <w:t>（五）基金会计制度</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按国家有关部门规定的会计制度执行。</w:t>
      </w:r>
    </w:p>
    <w:p w:rsidR="00187081" w:rsidRPr="00214C11" w:rsidRDefault="00796CAC" w:rsidP="0067482A">
      <w:pPr>
        <w:adjustRightInd w:val="0"/>
        <w:snapToGrid w:val="0"/>
        <w:spacing w:line="360" w:lineRule="auto"/>
        <w:ind w:firstLineChars="200" w:firstLine="480"/>
        <w:outlineLvl w:val="0"/>
        <w:rPr>
          <w:rFonts w:ascii="宋体" w:hAnsi="宋体"/>
          <w:sz w:val="24"/>
        </w:rPr>
      </w:pPr>
      <w:r w:rsidRPr="00214C11">
        <w:rPr>
          <w:rFonts w:ascii="宋体" w:hAnsi="宋体" w:hint="eastAsia"/>
          <w:sz w:val="24"/>
        </w:rPr>
        <w:t>（六）基金账册的建立</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187081" w:rsidRPr="00214C11" w:rsidRDefault="00796CAC" w:rsidP="0067482A">
      <w:pPr>
        <w:adjustRightInd w:val="0"/>
        <w:snapToGrid w:val="0"/>
        <w:spacing w:line="360" w:lineRule="auto"/>
        <w:ind w:firstLineChars="200" w:firstLine="480"/>
        <w:outlineLvl w:val="0"/>
        <w:rPr>
          <w:rFonts w:ascii="宋体" w:hAnsi="宋体"/>
          <w:sz w:val="24"/>
        </w:rPr>
      </w:pPr>
      <w:r w:rsidRPr="00214C11">
        <w:rPr>
          <w:rFonts w:ascii="宋体" w:hAnsi="宋体" w:hint="eastAsia"/>
          <w:sz w:val="24"/>
        </w:rPr>
        <w:lastRenderedPageBreak/>
        <w:t>（七）基金财务报表与报告的编制和复核</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1.财务报表的编制</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基金财务报表由基金管理人编制，基金托管人复核。</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2.报表复核</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3.财务报表的编制与复核时间安排</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(1)报表的编制</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基金管理人应当在每月结束后</w:t>
      </w:r>
      <w:r w:rsidRPr="00214C11">
        <w:rPr>
          <w:rFonts w:ascii="宋体" w:hAnsi="宋体"/>
          <w:sz w:val="24"/>
        </w:rPr>
        <w:t>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(2)报表的复核</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基金管理人应留足充分的时间，便于基金托管人复核相关报表及报告。</w:t>
      </w:r>
    </w:p>
    <w:p w:rsidR="007A33D9" w:rsidRPr="00214C11" w:rsidRDefault="007A33D9" w:rsidP="007A33D9">
      <w:pPr>
        <w:adjustRightInd w:val="0"/>
        <w:snapToGrid w:val="0"/>
        <w:spacing w:line="360" w:lineRule="auto"/>
        <w:rPr>
          <w:rFonts w:ascii="宋体" w:hAnsi="宋体" w:cs="Arial"/>
          <w:sz w:val="24"/>
          <w:szCs w:val="24"/>
        </w:rPr>
      </w:pPr>
    </w:p>
    <w:p w:rsidR="00DC3C9F" w:rsidRPr="00214C11" w:rsidRDefault="00DC3C9F" w:rsidP="00310C11">
      <w:pPr>
        <w:keepNext/>
        <w:keepLines/>
        <w:spacing w:before="260" w:after="260" w:line="360" w:lineRule="auto"/>
        <w:jc w:val="center"/>
        <w:outlineLvl w:val="1"/>
        <w:rPr>
          <w:rFonts w:ascii="宋体" w:hAnsi="宋体"/>
          <w:b/>
          <w:sz w:val="30"/>
        </w:rPr>
        <w:sectPr w:rsidR="00DC3C9F" w:rsidRPr="00214C11" w:rsidSect="00A0626A">
          <w:footerReference w:type="default" r:id="rId18"/>
          <w:pgSz w:w="11906" w:h="16838" w:code="9"/>
          <w:pgMar w:top="1418" w:right="1701" w:bottom="1418" w:left="1701" w:header="851" w:footer="992" w:gutter="0"/>
          <w:pgNumType w:start="1"/>
          <w:cols w:space="425"/>
          <w:docGrid w:type="lines" w:linePitch="312"/>
        </w:sectPr>
      </w:pPr>
      <w:bookmarkStart w:id="86" w:name="_Toc124325893"/>
    </w:p>
    <w:p w:rsidR="00187081" w:rsidRPr="00214C11" w:rsidRDefault="00796CAC" w:rsidP="0067482A">
      <w:pPr>
        <w:keepNext/>
        <w:keepLines/>
        <w:spacing w:before="260" w:after="260" w:line="360" w:lineRule="auto"/>
        <w:jc w:val="center"/>
        <w:outlineLvl w:val="1"/>
        <w:rPr>
          <w:rFonts w:ascii="宋体" w:hAnsi="宋体"/>
          <w:sz w:val="30"/>
        </w:rPr>
      </w:pPr>
      <w:r w:rsidRPr="00214C11">
        <w:rPr>
          <w:rFonts w:ascii="宋体" w:hAnsi="宋体" w:hint="eastAsia"/>
          <w:b/>
          <w:sz w:val="30"/>
        </w:rPr>
        <w:lastRenderedPageBreak/>
        <w:t>九、基金收益分配</w:t>
      </w:r>
      <w:bookmarkEnd w:id="86"/>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基金收益分配是指按规定将基金的可分配收益按基金份额进行比例分配。</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（一）基金收益分配的原则</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基金收益分配应遵循下列原则：</w:t>
      </w:r>
    </w:p>
    <w:p w:rsidR="00BF2D9A" w:rsidRPr="00214C11" w:rsidRDefault="00BF2D9A" w:rsidP="00BF2D9A">
      <w:pPr>
        <w:spacing w:line="360" w:lineRule="auto"/>
        <w:ind w:firstLineChars="225" w:firstLine="540"/>
        <w:rPr>
          <w:bCs/>
          <w:sz w:val="24"/>
        </w:rPr>
      </w:pPr>
      <w:r w:rsidRPr="00214C11">
        <w:rPr>
          <w:rFonts w:hint="eastAsia"/>
          <w:bCs/>
          <w:sz w:val="24"/>
        </w:rPr>
        <w:t>1</w:t>
      </w:r>
      <w:r w:rsidRPr="00214C11">
        <w:rPr>
          <w:bCs/>
          <w:sz w:val="24"/>
        </w:rPr>
        <w:t>、本基金</w:t>
      </w:r>
      <w:r w:rsidRPr="00214C11">
        <w:rPr>
          <w:rFonts w:hint="eastAsia"/>
          <w:bCs/>
          <w:sz w:val="24"/>
        </w:rPr>
        <w:t>场外</w:t>
      </w:r>
      <w:r w:rsidRPr="00214C11">
        <w:rPr>
          <w:bCs/>
          <w:sz w:val="24"/>
        </w:rPr>
        <w:t>收益分配方式分两种：现金分红与红利再投资，投资者可选择现金红利或将现金红利自动转为基金份额进行再投资；若投资者不选择，本基金默认的收益分配方式是现金分红；</w:t>
      </w:r>
      <w:r w:rsidRPr="00214C11">
        <w:rPr>
          <w:rFonts w:hint="eastAsia"/>
          <w:bCs/>
          <w:sz w:val="24"/>
        </w:rPr>
        <w:t>本基金场内收益分配方式为现金分红；</w:t>
      </w:r>
    </w:p>
    <w:p w:rsidR="00BF2D9A" w:rsidRPr="00214C11" w:rsidRDefault="00BF2D9A" w:rsidP="00BF2D9A">
      <w:pPr>
        <w:spacing w:line="360" w:lineRule="auto"/>
        <w:ind w:firstLineChars="225" w:firstLine="540"/>
        <w:rPr>
          <w:bCs/>
          <w:sz w:val="24"/>
        </w:rPr>
      </w:pPr>
      <w:r w:rsidRPr="00214C11">
        <w:rPr>
          <w:rFonts w:hint="eastAsia"/>
          <w:bCs/>
          <w:sz w:val="24"/>
        </w:rPr>
        <w:t>2</w:t>
      </w:r>
      <w:r w:rsidRPr="00214C11">
        <w:rPr>
          <w:bCs/>
          <w:sz w:val="24"/>
        </w:rPr>
        <w:t>、基金收益分配后基金份额净值不能低于面值</w:t>
      </w:r>
      <w:r w:rsidRPr="00214C11">
        <w:rPr>
          <w:rFonts w:hint="eastAsia"/>
          <w:bCs/>
          <w:sz w:val="24"/>
        </w:rPr>
        <w:t>，</w:t>
      </w:r>
      <w:r w:rsidRPr="00214C11">
        <w:rPr>
          <w:bCs/>
          <w:sz w:val="24"/>
        </w:rPr>
        <w:t>即基金收益分配基准日的基金份额净值减去每单位基金份额收益分配金额后不能低于面值</w:t>
      </w:r>
      <w:r w:rsidRPr="00214C11">
        <w:rPr>
          <w:rFonts w:hint="eastAsia"/>
          <w:bCs/>
          <w:sz w:val="24"/>
        </w:rPr>
        <w:t>；</w:t>
      </w:r>
    </w:p>
    <w:p w:rsidR="00BF2D9A" w:rsidRPr="00214C11" w:rsidRDefault="00BF2D9A" w:rsidP="00BF2D9A">
      <w:pPr>
        <w:spacing w:line="360" w:lineRule="auto"/>
        <w:ind w:firstLineChars="225" w:firstLine="540"/>
        <w:rPr>
          <w:bCs/>
          <w:sz w:val="24"/>
        </w:rPr>
      </w:pPr>
      <w:r w:rsidRPr="00214C11">
        <w:rPr>
          <w:rFonts w:hint="eastAsia"/>
          <w:bCs/>
          <w:sz w:val="24"/>
        </w:rPr>
        <w:t>3</w:t>
      </w:r>
      <w:r w:rsidRPr="00214C11">
        <w:rPr>
          <w:bCs/>
          <w:sz w:val="24"/>
        </w:rPr>
        <w:t>、每一基金份额享有同等分配权；</w:t>
      </w:r>
    </w:p>
    <w:p w:rsidR="00BF2D9A" w:rsidRPr="00214C11" w:rsidRDefault="00BF2D9A" w:rsidP="00BF2D9A">
      <w:pPr>
        <w:spacing w:line="360" w:lineRule="auto"/>
        <w:ind w:firstLineChars="225" w:firstLine="540"/>
        <w:rPr>
          <w:bCs/>
          <w:sz w:val="24"/>
        </w:rPr>
      </w:pPr>
      <w:r w:rsidRPr="00214C11">
        <w:rPr>
          <w:rFonts w:hint="eastAsia"/>
          <w:bCs/>
          <w:sz w:val="24"/>
        </w:rPr>
        <w:t>4</w:t>
      </w:r>
      <w:r w:rsidRPr="00214C11">
        <w:rPr>
          <w:bCs/>
          <w:sz w:val="24"/>
        </w:rPr>
        <w:t>、法律法规或监管机关另有规定的，从其规定。</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hint="eastAsia"/>
          <w:sz w:val="24"/>
        </w:rPr>
        <w:t>（二）基金收益分配的时间和程序</w:t>
      </w:r>
    </w:p>
    <w:p w:rsidR="00187081" w:rsidRPr="00214C11" w:rsidRDefault="00796CAC" w:rsidP="0067482A">
      <w:pPr>
        <w:numPr>
          <w:ilvl w:val="0"/>
          <w:numId w:val="8"/>
        </w:numPr>
        <w:adjustRightInd w:val="0"/>
        <w:snapToGrid w:val="0"/>
        <w:spacing w:line="360" w:lineRule="auto"/>
        <w:ind w:left="0" w:firstLine="420"/>
        <w:rPr>
          <w:rStyle w:val="read"/>
          <w:rFonts w:ascii="宋体"/>
        </w:rPr>
      </w:pPr>
      <w:r w:rsidRPr="00214C11">
        <w:rPr>
          <w:rStyle w:val="read"/>
          <w:rFonts w:ascii="宋体" w:hint="eastAsia"/>
        </w:rPr>
        <w:t>本基金收益分配方案由基金管理人拟订</w:t>
      </w:r>
      <w:r w:rsidR="0006511C" w:rsidRPr="00214C11">
        <w:rPr>
          <w:rStyle w:val="read"/>
          <w:rFonts w:ascii="宋体" w:hAnsi="宋体" w:hint="eastAsia"/>
          <w:sz w:val="24"/>
        </w:rPr>
        <w:t>、</w:t>
      </w:r>
      <w:r w:rsidRPr="00214C11">
        <w:rPr>
          <w:rStyle w:val="read"/>
          <w:rFonts w:ascii="宋体" w:hint="eastAsia"/>
        </w:rPr>
        <w:t>基金托管人</w:t>
      </w:r>
      <w:r w:rsidR="0006511C" w:rsidRPr="00214C11">
        <w:rPr>
          <w:rStyle w:val="read"/>
          <w:rFonts w:ascii="宋体" w:hAnsi="宋体" w:hint="eastAsia"/>
          <w:sz w:val="24"/>
        </w:rPr>
        <w:t>核实后</w:t>
      </w:r>
      <w:r w:rsidRPr="00214C11">
        <w:rPr>
          <w:rStyle w:val="read"/>
          <w:rFonts w:ascii="宋体" w:hint="eastAsia"/>
        </w:rPr>
        <w:t>，在</w:t>
      </w:r>
      <w:r w:rsidRPr="00214C11">
        <w:rPr>
          <w:rStyle w:val="read"/>
          <w:rFonts w:ascii="宋体"/>
        </w:rPr>
        <w:t>2</w:t>
      </w:r>
      <w:r w:rsidRPr="00214C11">
        <w:rPr>
          <w:rStyle w:val="read"/>
          <w:rFonts w:ascii="宋体" w:hint="eastAsia"/>
        </w:rPr>
        <w:t>个工作日内在指定</w:t>
      </w:r>
      <w:r w:rsidR="0006511C" w:rsidRPr="00214C11">
        <w:rPr>
          <w:rStyle w:val="read"/>
          <w:rFonts w:ascii="宋体" w:hAnsi="宋体" w:hint="eastAsia"/>
          <w:sz w:val="24"/>
        </w:rPr>
        <w:t>媒介</w:t>
      </w:r>
      <w:r w:rsidRPr="00214C11">
        <w:rPr>
          <w:rStyle w:val="read"/>
          <w:rFonts w:ascii="宋体" w:hint="eastAsia"/>
        </w:rPr>
        <w:t>公告并报中国证监会备案。基金收益分配方案公告后</w:t>
      </w:r>
      <w:r w:rsidRPr="00214C11">
        <w:rPr>
          <w:rStyle w:val="read"/>
          <w:rFonts w:ascii="宋体"/>
        </w:rPr>
        <w:t>(依据具体方案的规定)，基金管理人就支付的现金红利向基金托管人发送划款指令，基金托管人按照基金管理人的指令及时进行分红资金的划付。</w:t>
      </w:r>
    </w:p>
    <w:p w:rsidR="0006511C" w:rsidRPr="00214C11" w:rsidRDefault="00796CAC" w:rsidP="0006511C">
      <w:pPr>
        <w:numPr>
          <w:ilvl w:val="0"/>
          <w:numId w:val="8"/>
        </w:numPr>
        <w:adjustRightInd w:val="0"/>
        <w:snapToGrid w:val="0"/>
        <w:spacing w:line="360" w:lineRule="auto"/>
        <w:ind w:left="0" w:firstLine="426"/>
        <w:rPr>
          <w:rStyle w:val="read"/>
          <w:rFonts w:ascii="宋体" w:hAnsi="宋体"/>
          <w:sz w:val="24"/>
        </w:rPr>
      </w:pPr>
      <w:r w:rsidRPr="00214C11">
        <w:rPr>
          <w:rStyle w:val="read"/>
          <w:rFonts w:ascii="宋体" w:hAnsi="宋体" w:hint="eastAsia"/>
        </w:rPr>
        <w:t>基金红利发放日距离收益分配基准日（即可供分配利润计算截止日）的时间不得超过15个工作日。</w:t>
      </w:r>
    </w:p>
    <w:p w:rsidR="0006511C" w:rsidRPr="00214C11" w:rsidRDefault="0006511C" w:rsidP="0006511C">
      <w:pPr>
        <w:numPr>
          <w:ilvl w:val="0"/>
          <w:numId w:val="8"/>
        </w:numPr>
        <w:adjustRightInd w:val="0"/>
        <w:snapToGrid w:val="0"/>
        <w:spacing w:line="360" w:lineRule="auto"/>
        <w:ind w:left="0" w:firstLine="426"/>
        <w:rPr>
          <w:rStyle w:val="read"/>
          <w:rFonts w:ascii="宋体" w:hAnsi="宋体"/>
          <w:sz w:val="24"/>
        </w:rPr>
      </w:pPr>
      <w:r w:rsidRPr="00214C11">
        <w:rPr>
          <w:rStyle w:val="read"/>
          <w:rFonts w:ascii="宋体" w:hAnsi="宋体" w:hint="eastAsia"/>
          <w:sz w:val="24"/>
        </w:rPr>
        <w:t>法律法规或监管机关另有规定的，从其规定。</w:t>
      </w:r>
    </w:p>
    <w:p w:rsidR="00DC3C9F" w:rsidRPr="00214C11" w:rsidRDefault="00DC3C9F" w:rsidP="00310C11">
      <w:pPr>
        <w:keepNext/>
        <w:keepLines/>
        <w:spacing w:before="260" w:after="260" w:line="360" w:lineRule="auto"/>
        <w:jc w:val="center"/>
        <w:outlineLvl w:val="1"/>
        <w:rPr>
          <w:rFonts w:ascii="宋体" w:hAnsi="宋体"/>
          <w:b/>
          <w:sz w:val="30"/>
        </w:rPr>
        <w:sectPr w:rsidR="00DC3C9F" w:rsidRPr="00214C11" w:rsidSect="00A0626A">
          <w:footerReference w:type="default" r:id="rId19"/>
          <w:pgSz w:w="11906" w:h="16838" w:code="9"/>
          <w:pgMar w:top="1418" w:right="1701" w:bottom="1418" w:left="1701" w:header="851" w:footer="992" w:gutter="0"/>
          <w:pgNumType w:start="1"/>
          <w:cols w:space="425"/>
          <w:docGrid w:type="lines" w:linePitch="312"/>
        </w:sectPr>
      </w:pPr>
      <w:bookmarkStart w:id="87" w:name="_Toc124325894"/>
    </w:p>
    <w:p w:rsidR="00187081" w:rsidRPr="00214C11" w:rsidRDefault="00796CAC" w:rsidP="0067482A">
      <w:pPr>
        <w:keepNext/>
        <w:keepLines/>
        <w:spacing w:before="260" w:after="260" w:line="360" w:lineRule="auto"/>
        <w:jc w:val="center"/>
        <w:outlineLvl w:val="1"/>
        <w:rPr>
          <w:rFonts w:ascii="宋体" w:hAnsi="宋体"/>
          <w:sz w:val="30"/>
        </w:rPr>
      </w:pPr>
      <w:r w:rsidRPr="00214C11">
        <w:rPr>
          <w:rFonts w:ascii="宋体" w:hAnsi="宋体" w:hint="eastAsia"/>
          <w:b/>
          <w:sz w:val="30"/>
        </w:rPr>
        <w:lastRenderedPageBreak/>
        <w:t>十、基金信息披露</w:t>
      </w:r>
      <w:bookmarkEnd w:id="87"/>
    </w:p>
    <w:p w:rsidR="00187081" w:rsidRPr="00214C11" w:rsidRDefault="00796CAC" w:rsidP="0067482A">
      <w:pPr>
        <w:adjustRightInd w:val="0"/>
        <w:snapToGrid w:val="0"/>
        <w:spacing w:line="360" w:lineRule="auto"/>
        <w:ind w:firstLineChars="200" w:firstLine="480"/>
        <w:outlineLvl w:val="0"/>
        <w:rPr>
          <w:rFonts w:ascii="宋体" w:hAnsi="宋体"/>
          <w:sz w:val="24"/>
        </w:rPr>
      </w:pPr>
      <w:r w:rsidRPr="00214C11">
        <w:rPr>
          <w:rFonts w:ascii="宋体" w:hAnsi="宋体" w:hint="eastAsia"/>
          <w:sz w:val="24"/>
        </w:rPr>
        <w:t>（一）保密义务</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基金托管人和基金管理人应按法律法规、《基金合同》的有关规定进行信息披露，拟公开披露的信息在公开披露之前应予保密。除按《基金法》</w:t>
      </w:r>
      <w:r w:rsidR="007A33D9" w:rsidRPr="00214C11">
        <w:rPr>
          <w:rFonts w:ascii="宋体" w:hAnsi="宋体" w:cs="Arial" w:hint="eastAsia"/>
          <w:sz w:val="24"/>
          <w:szCs w:val="24"/>
        </w:rPr>
        <w:t>、</w:t>
      </w:r>
      <w:r w:rsidRPr="00214C11">
        <w:rPr>
          <w:rFonts w:ascii="宋体" w:hAnsi="宋体" w:hint="eastAsia"/>
          <w:sz w:val="24"/>
        </w:rPr>
        <w:t>《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1.非因基金管理人和基金托管人的原因导致保密信息被披露、泄露或公开；</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2.基金管理人和基金托管人为遵守和服从法院判决或裁定、仲裁裁决或中国证监会等监管机构的命令、决定所做出的信息披露或公开。</w:t>
      </w:r>
    </w:p>
    <w:p w:rsidR="00187081" w:rsidRPr="00214C11" w:rsidRDefault="00796CAC" w:rsidP="0067482A">
      <w:pPr>
        <w:adjustRightInd w:val="0"/>
        <w:snapToGrid w:val="0"/>
        <w:spacing w:line="360" w:lineRule="auto"/>
        <w:ind w:firstLineChars="200" w:firstLine="480"/>
        <w:outlineLvl w:val="0"/>
        <w:rPr>
          <w:rFonts w:ascii="宋体" w:hAnsi="宋体"/>
          <w:sz w:val="24"/>
        </w:rPr>
      </w:pPr>
      <w:r w:rsidRPr="00214C11">
        <w:rPr>
          <w:rFonts w:ascii="宋体" w:hAnsi="宋体" w:hint="eastAsia"/>
          <w:sz w:val="24"/>
        </w:rPr>
        <w:t>（二）信息披露的内容</w:t>
      </w:r>
    </w:p>
    <w:p w:rsidR="00187081" w:rsidRPr="00214C11" w:rsidRDefault="00796CAC" w:rsidP="0067482A">
      <w:pPr>
        <w:spacing w:line="360" w:lineRule="auto"/>
        <w:ind w:firstLineChars="200" w:firstLine="480"/>
        <w:rPr>
          <w:rFonts w:ascii="宋体" w:hAnsi="宋体"/>
          <w:sz w:val="24"/>
        </w:rPr>
      </w:pPr>
      <w:r w:rsidRPr="00214C11">
        <w:rPr>
          <w:rFonts w:ascii="宋体" w:hAnsi="宋体" w:hint="eastAsia"/>
          <w:sz w:val="24"/>
        </w:rPr>
        <w:t>基金的信息披露内容主要包括基金招募说明书、《基金合同》、托管协议、基金份额发售公告、《基金合同》生效公告、基金资产净值、基金份额净值、</w:t>
      </w:r>
      <w:r w:rsidR="007A33D9" w:rsidRPr="00214C11">
        <w:rPr>
          <w:rFonts w:ascii="宋体" w:hAnsi="宋体" w:cs="Arial" w:hint="eastAsia"/>
          <w:sz w:val="24"/>
          <w:szCs w:val="24"/>
        </w:rPr>
        <w:t>基金份额</w:t>
      </w:r>
      <w:r w:rsidRPr="00214C11">
        <w:rPr>
          <w:rFonts w:ascii="宋体" w:hAnsi="宋体" w:hint="eastAsia"/>
          <w:sz w:val="24"/>
        </w:rPr>
        <w:t>申购、赎回价格、基金定期报告</w:t>
      </w:r>
      <w:r w:rsidR="007A33D9" w:rsidRPr="00214C11">
        <w:rPr>
          <w:rFonts w:ascii="宋体" w:hAnsi="宋体" w:cs="Arial" w:hint="eastAsia"/>
          <w:sz w:val="24"/>
          <w:szCs w:val="24"/>
        </w:rPr>
        <w:t>（</w:t>
      </w:r>
      <w:r w:rsidRPr="00214C11">
        <w:rPr>
          <w:rFonts w:ascii="宋体" w:hAnsi="宋体" w:hint="eastAsia"/>
          <w:sz w:val="24"/>
        </w:rPr>
        <w:t>包括基金年度报告、基金半年度报告和基金季度报告</w:t>
      </w:r>
      <w:r w:rsidR="007A33D9" w:rsidRPr="00214C11">
        <w:rPr>
          <w:rFonts w:ascii="宋体" w:hAnsi="宋体" w:cs="Arial" w:hint="eastAsia"/>
          <w:sz w:val="24"/>
          <w:szCs w:val="24"/>
        </w:rPr>
        <w:t>）</w:t>
      </w:r>
      <w:r w:rsidRPr="00214C11">
        <w:rPr>
          <w:rFonts w:ascii="宋体" w:hAnsi="宋体" w:hint="eastAsia"/>
          <w:sz w:val="24"/>
        </w:rPr>
        <w:t>、临时报告、澄清公告、基金份额持有人大会决议、中国证监会规定的其他信息。基金年度报告需经具有从事证券相关业务资格的会计师事务所审计后，方可披露。</w:t>
      </w:r>
    </w:p>
    <w:p w:rsidR="00187081" w:rsidRPr="00214C11" w:rsidRDefault="00796CAC" w:rsidP="0067482A">
      <w:pPr>
        <w:adjustRightInd w:val="0"/>
        <w:snapToGrid w:val="0"/>
        <w:spacing w:line="360" w:lineRule="auto"/>
        <w:ind w:firstLineChars="200" w:firstLine="480"/>
        <w:outlineLvl w:val="0"/>
        <w:rPr>
          <w:rFonts w:ascii="宋体" w:hAnsi="宋体"/>
          <w:sz w:val="24"/>
        </w:rPr>
      </w:pPr>
      <w:r w:rsidRPr="00214C11">
        <w:rPr>
          <w:rFonts w:ascii="宋体" w:hAnsi="宋体" w:hint="eastAsia"/>
          <w:sz w:val="24"/>
        </w:rPr>
        <w:t>（三）基金托管人和基金管理人在信息披露中的职责和信息披露程序</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1.职责</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w:t>
      </w:r>
      <w:r w:rsidR="007A33D9" w:rsidRPr="00214C11">
        <w:rPr>
          <w:rFonts w:ascii="宋体" w:hAnsi="宋体" w:cs="Arial" w:hint="eastAsia"/>
          <w:sz w:val="24"/>
          <w:szCs w:val="24"/>
        </w:rPr>
        <w:t>本章第（二）条</w:t>
      </w:r>
      <w:r w:rsidRPr="00214C11">
        <w:rPr>
          <w:rFonts w:ascii="宋体" w:hAnsi="宋体" w:hint="eastAsia"/>
          <w:sz w:val="24"/>
        </w:rPr>
        <w:t>规定的应由基金托管人复核的事项进行复核，基金托管人复核无误后，由基金管理人予以公布。</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对于不需要基金托管人</w:t>
      </w:r>
      <w:r w:rsidR="007A33D9" w:rsidRPr="00214C11">
        <w:rPr>
          <w:rFonts w:ascii="宋体" w:hAnsi="宋体" w:cs="Arial" w:hint="eastAsia"/>
          <w:sz w:val="24"/>
          <w:szCs w:val="24"/>
        </w:rPr>
        <w:t>(或基金管理人)</w:t>
      </w:r>
      <w:r w:rsidRPr="00214C11">
        <w:rPr>
          <w:rFonts w:ascii="宋体" w:hAnsi="宋体" w:hint="eastAsia"/>
          <w:sz w:val="24"/>
        </w:rPr>
        <w:t>复核的信息，基金管理人</w:t>
      </w:r>
      <w:r w:rsidR="007A33D9" w:rsidRPr="00214C11">
        <w:rPr>
          <w:rFonts w:ascii="宋体" w:hAnsi="宋体" w:cs="Arial" w:hint="eastAsia"/>
          <w:sz w:val="24"/>
          <w:szCs w:val="24"/>
        </w:rPr>
        <w:t>(或基金托管人)</w:t>
      </w:r>
      <w:r w:rsidRPr="00214C11">
        <w:rPr>
          <w:rFonts w:ascii="宋体" w:hAnsi="宋体" w:hint="eastAsia"/>
          <w:sz w:val="24"/>
        </w:rPr>
        <w:t>在公告前应告知基金托管人</w:t>
      </w:r>
      <w:r w:rsidR="007A33D9" w:rsidRPr="00214C11">
        <w:rPr>
          <w:rFonts w:ascii="宋体" w:hAnsi="宋体" w:cs="Arial" w:hint="eastAsia"/>
          <w:sz w:val="24"/>
          <w:szCs w:val="24"/>
        </w:rPr>
        <w:t>(或基金管理人)</w:t>
      </w:r>
      <w:r w:rsidRPr="00214C11">
        <w:rPr>
          <w:rFonts w:ascii="宋体" w:hAnsi="宋体" w:hint="eastAsia"/>
          <w:sz w:val="24"/>
        </w:rPr>
        <w:t>。</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基金管理人和基金托管人应积极配合、互相监督，保证其履行按照法定方式和限时披露的义务。</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基金管理人应当在中国证监会规定的时间内，将应予披露的基金信息通过指</w:t>
      </w:r>
      <w:r w:rsidRPr="00214C11">
        <w:rPr>
          <w:rFonts w:ascii="宋体" w:hAnsi="宋体" w:hint="eastAsia"/>
          <w:sz w:val="24"/>
        </w:rPr>
        <w:lastRenderedPageBreak/>
        <w:t>定媒介披露。根据法律法规应由基金托管人公开披露的信息，基金托管人将通过指定媒介或基金托管人的互联网网站公开披露。</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当出现下述情况时，基金管理人和基金托管人可暂停或延迟披露基金相关信息：</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(1)不可抗力；</w:t>
      </w:r>
    </w:p>
    <w:p w:rsidR="00187081" w:rsidRPr="00214C11" w:rsidRDefault="00796CAC" w:rsidP="0067482A">
      <w:pPr>
        <w:adjustRightInd w:val="0"/>
        <w:snapToGrid w:val="0"/>
        <w:spacing w:line="360" w:lineRule="auto"/>
        <w:ind w:firstLine="480"/>
        <w:rPr>
          <w:rFonts w:ascii="宋体" w:hAnsi="宋体"/>
          <w:sz w:val="24"/>
        </w:rPr>
      </w:pPr>
      <w:r w:rsidRPr="00214C11">
        <w:rPr>
          <w:rFonts w:ascii="宋体" w:hAnsi="宋体"/>
          <w:sz w:val="24"/>
        </w:rPr>
        <w:t>(2)</w:t>
      </w:r>
      <w:r w:rsidR="007A33D9" w:rsidRPr="00214C11">
        <w:rPr>
          <w:rFonts w:ascii="宋体" w:hAnsi="宋体" w:cs="Arial" w:hint="eastAsia"/>
          <w:sz w:val="24"/>
          <w:szCs w:val="24"/>
        </w:rPr>
        <w:t>发生</w:t>
      </w:r>
      <w:r w:rsidRPr="00214C11">
        <w:rPr>
          <w:rFonts w:ascii="宋体" w:hAnsi="宋体" w:hint="eastAsia"/>
          <w:sz w:val="24"/>
        </w:rPr>
        <w:t>暂停</w:t>
      </w:r>
      <w:r w:rsidR="007A33D9" w:rsidRPr="00214C11">
        <w:rPr>
          <w:rFonts w:ascii="宋体" w:hAnsi="宋体" w:cs="Arial" w:hint="eastAsia"/>
          <w:sz w:val="24"/>
          <w:szCs w:val="24"/>
        </w:rPr>
        <w:t>估值的情形</w:t>
      </w:r>
      <w:r w:rsidRPr="00214C11">
        <w:rPr>
          <w:rFonts w:ascii="宋体" w:hAnsi="宋体" w:hint="eastAsia"/>
          <w:sz w:val="24"/>
        </w:rPr>
        <w:t>；</w:t>
      </w:r>
    </w:p>
    <w:p w:rsidR="00187081" w:rsidRPr="00214C11" w:rsidRDefault="007A33D9" w:rsidP="0067482A">
      <w:pPr>
        <w:adjustRightInd w:val="0"/>
        <w:snapToGrid w:val="0"/>
        <w:spacing w:line="360" w:lineRule="auto"/>
        <w:ind w:firstLineChars="200" w:firstLine="480"/>
        <w:rPr>
          <w:rFonts w:ascii="宋体" w:hAnsi="宋体"/>
          <w:sz w:val="24"/>
        </w:rPr>
      </w:pPr>
      <w:r w:rsidRPr="00214C11">
        <w:rPr>
          <w:rFonts w:ascii="宋体" w:hAnsi="宋体" w:cs="Arial" w:hint="eastAsia"/>
          <w:sz w:val="24"/>
          <w:szCs w:val="24"/>
        </w:rPr>
        <w:t>(3</w:t>
      </w:r>
      <w:r w:rsidR="00796CAC" w:rsidRPr="00214C11">
        <w:rPr>
          <w:rFonts w:ascii="宋体" w:hAnsi="宋体"/>
          <w:sz w:val="24"/>
        </w:rPr>
        <w:t>)法律法规、《基金合同》或中国证监会规定的情况。</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2.程序</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3.信息文本的存放</w:t>
      </w:r>
    </w:p>
    <w:p w:rsidR="00187081" w:rsidRPr="00214C11" w:rsidRDefault="00796CAC" w:rsidP="0067482A">
      <w:pPr>
        <w:spacing w:line="360" w:lineRule="auto"/>
        <w:ind w:firstLineChars="200" w:firstLine="480"/>
        <w:rPr>
          <w:rFonts w:ascii="宋体" w:hAnsi="宋体"/>
          <w:sz w:val="24"/>
        </w:rPr>
      </w:pPr>
      <w:r w:rsidRPr="00214C11">
        <w:rPr>
          <w:rFonts w:ascii="宋体" w:hAnsi="宋体" w:hint="eastAsia"/>
          <w:sz w:val="24"/>
        </w:rPr>
        <w:t>予以披露的信息文本，存放在基金管理人</w:t>
      </w:r>
      <w:r w:rsidRPr="00214C11">
        <w:rPr>
          <w:rFonts w:ascii="宋体" w:hAnsi="宋体"/>
          <w:sz w:val="24"/>
        </w:rPr>
        <w:t>/基金托管人处，投资者可以免费查阅。在支付工本费后可在合理时间获得上述文件的复制件或复印件。基金管理人和基金托管人应保证文本的内容与所公告的内容完全一致。</w:t>
      </w:r>
    </w:p>
    <w:p w:rsidR="00187081" w:rsidRPr="00214C11" w:rsidRDefault="00187081" w:rsidP="0067482A">
      <w:pPr>
        <w:spacing w:line="360" w:lineRule="auto"/>
        <w:rPr>
          <w:rFonts w:ascii="宋体" w:hAnsi="宋体"/>
          <w:sz w:val="24"/>
        </w:rPr>
      </w:pPr>
    </w:p>
    <w:p w:rsidR="00DC3C9F" w:rsidRPr="00214C11" w:rsidRDefault="00DC3C9F" w:rsidP="00310C11">
      <w:pPr>
        <w:keepNext/>
        <w:keepLines/>
        <w:spacing w:before="260" w:after="260" w:line="360" w:lineRule="auto"/>
        <w:jc w:val="center"/>
        <w:outlineLvl w:val="1"/>
        <w:rPr>
          <w:rFonts w:ascii="宋体" w:hAnsi="宋体"/>
          <w:b/>
          <w:sz w:val="30"/>
        </w:rPr>
        <w:sectPr w:rsidR="00DC3C9F" w:rsidRPr="00214C11" w:rsidSect="00A0626A">
          <w:footerReference w:type="default" r:id="rId20"/>
          <w:pgSz w:w="11906" w:h="16838" w:code="9"/>
          <w:pgMar w:top="1418" w:right="1701" w:bottom="1418" w:left="1701" w:header="851" w:footer="992" w:gutter="0"/>
          <w:pgNumType w:start="1"/>
          <w:cols w:space="425"/>
          <w:docGrid w:type="lines" w:linePitch="312"/>
        </w:sectPr>
      </w:pPr>
      <w:bookmarkStart w:id="88" w:name="_Toc124325895"/>
    </w:p>
    <w:p w:rsidR="00187081" w:rsidRPr="00214C11" w:rsidRDefault="00796CAC" w:rsidP="0067482A">
      <w:pPr>
        <w:keepNext/>
        <w:keepLines/>
        <w:spacing w:before="260" w:after="260" w:line="360" w:lineRule="auto"/>
        <w:jc w:val="center"/>
        <w:outlineLvl w:val="1"/>
        <w:rPr>
          <w:rFonts w:ascii="宋体" w:hAnsi="宋体"/>
          <w:sz w:val="30"/>
        </w:rPr>
      </w:pPr>
      <w:r w:rsidRPr="00214C11">
        <w:rPr>
          <w:rFonts w:ascii="宋体" w:hAnsi="宋体" w:hint="eastAsia"/>
          <w:b/>
          <w:sz w:val="30"/>
        </w:rPr>
        <w:lastRenderedPageBreak/>
        <w:t>十一、基金费用</w:t>
      </w:r>
      <w:bookmarkEnd w:id="88"/>
    </w:p>
    <w:p w:rsidR="00187081" w:rsidRPr="00214C11" w:rsidRDefault="00796CAC" w:rsidP="0067482A">
      <w:pPr>
        <w:adjustRightInd w:val="0"/>
        <w:snapToGrid w:val="0"/>
        <w:spacing w:line="360" w:lineRule="auto"/>
        <w:ind w:firstLineChars="200" w:firstLine="480"/>
        <w:outlineLvl w:val="0"/>
        <w:rPr>
          <w:rFonts w:ascii="宋体" w:hAnsi="宋体"/>
          <w:sz w:val="24"/>
        </w:rPr>
      </w:pPr>
      <w:r w:rsidRPr="00214C11">
        <w:rPr>
          <w:rFonts w:ascii="宋体" w:hAnsi="宋体" w:hint="eastAsia"/>
          <w:sz w:val="24"/>
        </w:rPr>
        <w:t>（一）基金管理费的计提比例和计提方法</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本基金的管理费按前一日基金资产净值的</w:t>
      </w:r>
      <w:r w:rsidR="00AC713D" w:rsidRPr="00214C11">
        <w:rPr>
          <w:rFonts w:ascii="宋体" w:hAnsi="宋体" w:hint="eastAsia"/>
          <w:sz w:val="24"/>
        </w:rPr>
        <w:t>1</w:t>
      </w:r>
      <w:r w:rsidR="007A33D9" w:rsidRPr="00214C11">
        <w:rPr>
          <w:rFonts w:ascii="宋体" w:hAnsi="宋体" w:cs="Arial" w:hint="eastAsia"/>
          <w:sz w:val="24"/>
          <w:szCs w:val="24"/>
        </w:rPr>
        <w:t>.</w:t>
      </w:r>
      <w:r w:rsidR="008034A5" w:rsidRPr="00214C11">
        <w:rPr>
          <w:rFonts w:ascii="宋体" w:hAnsi="宋体" w:cs="Arial" w:hint="eastAsia"/>
          <w:sz w:val="24"/>
          <w:szCs w:val="24"/>
        </w:rPr>
        <w:t>5</w:t>
      </w:r>
      <w:r w:rsidRPr="00214C11">
        <w:rPr>
          <w:rFonts w:ascii="宋体" w:hAnsi="宋体"/>
          <w:sz w:val="24"/>
        </w:rPr>
        <w:t>%年费率计提。管理费的计算方法如下：</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H＝E×年管理费率÷当年天数</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H为每日应计提的基金管理费</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E为前一日的基金资产净值</w:t>
      </w:r>
    </w:p>
    <w:p w:rsidR="00187081" w:rsidRPr="00214C11" w:rsidRDefault="00796CAC" w:rsidP="0067482A">
      <w:pPr>
        <w:adjustRightInd w:val="0"/>
        <w:snapToGrid w:val="0"/>
        <w:spacing w:line="360" w:lineRule="auto"/>
        <w:ind w:firstLineChars="200" w:firstLine="480"/>
        <w:outlineLvl w:val="0"/>
        <w:rPr>
          <w:rFonts w:ascii="宋体" w:hAnsi="宋体"/>
          <w:sz w:val="24"/>
        </w:rPr>
      </w:pPr>
      <w:r w:rsidRPr="00214C11">
        <w:rPr>
          <w:rFonts w:ascii="宋体" w:hAnsi="宋体" w:hint="eastAsia"/>
          <w:sz w:val="24"/>
        </w:rPr>
        <w:t>（二）基金托管费的计提比例和计提方法</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本基金的托管费按前一日基金资产净值的</w:t>
      </w:r>
      <w:r w:rsidR="007A33D9" w:rsidRPr="00214C11">
        <w:rPr>
          <w:rFonts w:ascii="宋体" w:hAnsi="宋体" w:cs="Arial" w:hint="eastAsia"/>
          <w:sz w:val="24"/>
          <w:szCs w:val="24"/>
        </w:rPr>
        <w:t>0.</w:t>
      </w:r>
      <w:r w:rsidR="00AC713D" w:rsidRPr="00214C11">
        <w:rPr>
          <w:rFonts w:ascii="宋体" w:hAnsi="宋体" w:cs="Arial" w:hint="eastAsia"/>
          <w:sz w:val="24"/>
          <w:szCs w:val="24"/>
        </w:rPr>
        <w:t>2</w:t>
      </w:r>
      <w:r w:rsidR="00873357" w:rsidRPr="00214C11">
        <w:rPr>
          <w:rFonts w:ascii="宋体" w:hAnsi="宋体" w:cs="Arial" w:hint="eastAsia"/>
          <w:sz w:val="24"/>
          <w:szCs w:val="24"/>
        </w:rPr>
        <w:t>5</w:t>
      </w:r>
      <w:r w:rsidRPr="00214C11">
        <w:rPr>
          <w:rFonts w:ascii="宋体" w:hAnsi="宋体"/>
          <w:sz w:val="24"/>
        </w:rPr>
        <w:t>%年费率计提。托管费的计算方法如下：</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H＝E×年托管费率÷当年天数</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H为每日应计提的基金托管费</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E为前一日的基金资产净值</w:t>
      </w:r>
    </w:p>
    <w:p w:rsidR="00187081" w:rsidRPr="00214C11" w:rsidRDefault="007A33D9" w:rsidP="0067482A">
      <w:pPr>
        <w:adjustRightInd w:val="0"/>
        <w:snapToGrid w:val="0"/>
        <w:spacing w:line="360" w:lineRule="auto"/>
        <w:ind w:firstLineChars="200" w:firstLine="480"/>
        <w:outlineLvl w:val="0"/>
        <w:rPr>
          <w:rFonts w:ascii="宋体" w:hAnsi="宋体"/>
          <w:sz w:val="24"/>
        </w:rPr>
      </w:pPr>
      <w:r w:rsidRPr="00214C11">
        <w:rPr>
          <w:rFonts w:ascii="宋体" w:hAnsi="宋体" w:hint="eastAsia"/>
          <w:sz w:val="24"/>
        </w:rPr>
        <w:t>（</w:t>
      </w:r>
      <w:r w:rsidR="008034A5" w:rsidRPr="00214C11">
        <w:rPr>
          <w:rFonts w:ascii="宋体" w:hAnsi="宋体" w:hint="eastAsia"/>
          <w:sz w:val="24"/>
        </w:rPr>
        <w:t>三</w:t>
      </w:r>
      <w:r w:rsidRPr="00214C11">
        <w:rPr>
          <w:rFonts w:ascii="宋体" w:hAnsi="宋体" w:hint="eastAsia"/>
          <w:sz w:val="24"/>
        </w:rPr>
        <w:t>）</w:t>
      </w:r>
      <w:r w:rsidR="00796CAC" w:rsidRPr="00214C11">
        <w:rPr>
          <w:rFonts w:ascii="宋体" w:hAnsi="宋体" w:hint="eastAsia"/>
          <w:sz w:val="24"/>
        </w:rPr>
        <w:t>账户开户费用、证券</w:t>
      </w:r>
      <w:r w:rsidR="0096483B" w:rsidRPr="00214C11">
        <w:rPr>
          <w:rFonts w:ascii="宋体" w:hAnsi="宋体" w:hint="eastAsia"/>
          <w:sz w:val="24"/>
        </w:rPr>
        <w:t>/期货</w:t>
      </w:r>
      <w:r w:rsidR="00796CAC" w:rsidRPr="00214C11">
        <w:rPr>
          <w:rFonts w:ascii="宋体" w:hAnsi="宋体" w:hint="eastAsia"/>
          <w:sz w:val="24"/>
        </w:rPr>
        <w:t>交易结算费用、基金财产划拨支付的银行费用、账户维护费、《基金合同》生效后的信息披露费用、基金份额持有人大会费用、《基金合同》生效后与基金有关的会计师</w:t>
      </w:r>
      <w:r w:rsidRPr="00214C11">
        <w:rPr>
          <w:rFonts w:ascii="宋体" w:hAnsi="宋体" w:hint="eastAsia"/>
          <w:sz w:val="24"/>
        </w:rPr>
        <w:t>费</w:t>
      </w:r>
      <w:r w:rsidR="0096483B" w:rsidRPr="00214C11">
        <w:rPr>
          <w:rFonts w:ascii="宋体" w:hAnsi="宋体" w:hint="eastAsia"/>
          <w:sz w:val="24"/>
        </w:rPr>
        <w:t>、</w:t>
      </w:r>
      <w:r w:rsidR="00796CAC" w:rsidRPr="00214C11">
        <w:rPr>
          <w:rFonts w:ascii="宋体" w:hAnsi="宋体" w:hint="eastAsia"/>
          <w:sz w:val="24"/>
        </w:rPr>
        <w:t>律师费</w:t>
      </w:r>
      <w:r w:rsidR="005667F7" w:rsidRPr="00214C11">
        <w:rPr>
          <w:rFonts w:ascii="宋体" w:hAnsi="宋体" w:hint="eastAsia"/>
          <w:sz w:val="24"/>
        </w:rPr>
        <w:t>、</w:t>
      </w:r>
      <w:r w:rsidR="0096483B" w:rsidRPr="00214C11">
        <w:rPr>
          <w:rFonts w:ascii="宋体" w:hAnsi="宋体" w:hint="eastAsia"/>
          <w:sz w:val="24"/>
        </w:rPr>
        <w:t>诉讼费</w:t>
      </w:r>
      <w:r w:rsidR="005667F7" w:rsidRPr="00214C11">
        <w:rPr>
          <w:rFonts w:ascii="宋体" w:hAnsi="宋体" w:hint="eastAsia"/>
          <w:sz w:val="24"/>
        </w:rPr>
        <w:t>和仲裁费</w:t>
      </w:r>
      <w:r w:rsidR="00796CAC" w:rsidRPr="00214C11">
        <w:rPr>
          <w:rFonts w:ascii="宋体" w:hAnsi="宋体" w:hint="eastAsia"/>
          <w:sz w:val="24"/>
        </w:rPr>
        <w:t>等根据有关法律法规、《基金合同》及相应协议的规定，列入当期基金费用。</w:t>
      </w:r>
    </w:p>
    <w:p w:rsidR="00187081" w:rsidRPr="00214C11" w:rsidRDefault="00796CAC" w:rsidP="0067482A">
      <w:pPr>
        <w:adjustRightInd w:val="0"/>
        <w:snapToGrid w:val="0"/>
        <w:spacing w:line="360" w:lineRule="auto"/>
        <w:ind w:firstLineChars="200" w:firstLine="480"/>
        <w:outlineLvl w:val="0"/>
        <w:rPr>
          <w:rFonts w:ascii="宋体" w:hAnsi="宋体"/>
          <w:sz w:val="24"/>
        </w:rPr>
      </w:pPr>
      <w:r w:rsidRPr="00214C11">
        <w:rPr>
          <w:rFonts w:ascii="宋体" w:hAnsi="宋体" w:hint="eastAsia"/>
          <w:sz w:val="24"/>
        </w:rPr>
        <w:t>（</w:t>
      </w:r>
      <w:r w:rsidR="008034A5" w:rsidRPr="00214C11">
        <w:rPr>
          <w:rFonts w:ascii="宋体" w:hAnsi="宋体" w:cs="Arial" w:hint="eastAsia"/>
          <w:sz w:val="24"/>
          <w:szCs w:val="24"/>
        </w:rPr>
        <w:t>四</w:t>
      </w:r>
      <w:r w:rsidRPr="00214C11">
        <w:rPr>
          <w:rFonts w:ascii="宋体" w:hAnsi="宋体" w:hint="eastAsia"/>
          <w:sz w:val="24"/>
        </w:rPr>
        <w:t>）不列入基金费用的项目</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187081" w:rsidRPr="00214C11" w:rsidRDefault="00796CAC" w:rsidP="0067482A">
      <w:pPr>
        <w:adjustRightInd w:val="0"/>
        <w:snapToGrid w:val="0"/>
        <w:spacing w:line="360" w:lineRule="auto"/>
        <w:ind w:firstLineChars="200" w:firstLine="480"/>
        <w:outlineLvl w:val="0"/>
        <w:rPr>
          <w:rFonts w:ascii="宋体" w:hAnsi="宋体"/>
          <w:sz w:val="24"/>
        </w:rPr>
      </w:pPr>
      <w:r w:rsidRPr="00214C11">
        <w:rPr>
          <w:rFonts w:ascii="宋体" w:hAnsi="宋体" w:hint="eastAsia"/>
          <w:sz w:val="24"/>
        </w:rPr>
        <w:t>（</w:t>
      </w:r>
      <w:r w:rsidR="008034A5" w:rsidRPr="00214C11">
        <w:rPr>
          <w:rFonts w:ascii="宋体" w:hAnsi="宋体" w:cs="Arial" w:hint="eastAsia"/>
          <w:sz w:val="24"/>
          <w:szCs w:val="24"/>
        </w:rPr>
        <w:t>五</w:t>
      </w:r>
      <w:r w:rsidRPr="00214C11">
        <w:rPr>
          <w:rFonts w:ascii="宋体" w:hAnsi="宋体" w:hint="eastAsia"/>
          <w:sz w:val="24"/>
        </w:rPr>
        <w:t>）基金管理费</w:t>
      </w:r>
      <w:r w:rsidR="00EB7B49" w:rsidRPr="00214C11">
        <w:rPr>
          <w:rFonts w:ascii="宋体" w:hAnsi="宋体" w:cs="Arial" w:hint="eastAsia"/>
          <w:sz w:val="24"/>
          <w:szCs w:val="24"/>
        </w:rPr>
        <w:t>、</w:t>
      </w:r>
      <w:r w:rsidRPr="00214C11">
        <w:rPr>
          <w:rFonts w:ascii="宋体" w:hAnsi="宋体" w:hint="eastAsia"/>
          <w:sz w:val="24"/>
        </w:rPr>
        <w:t>基金托管费的调整</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基金管理人和基金托管人可协商酌情降低基金管理费</w:t>
      </w:r>
      <w:r w:rsidR="00CC0C85" w:rsidRPr="00214C11">
        <w:rPr>
          <w:rFonts w:ascii="宋体" w:hAnsi="宋体" w:hint="eastAsia"/>
          <w:sz w:val="24"/>
        </w:rPr>
        <w:t>、</w:t>
      </w:r>
      <w:r w:rsidRPr="00214C11">
        <w:rPr>
          <w:rFonts w:ascii="宋体" w:hAnsi="宋体" w:hint="eastAsia"/>
          <w:sz w:val="24"/>
        </w:rPr>
        <w:t>基金托管费，此项调整不需要基金份额持有人大会决议通过。基金管理人必须最迟于新的费率实施日</w:t>
      </w:r>
      <w:r w:rsidRPr="00214C11">
        <w:rPr>
          <w:rFonts w:ascii="宋体" w:hAnsi="宋体"/>
          <w:sz w:val="24"/>
        </w:rPr>
        <w:t>2日前在指定</w:t>
      </w:r>
      <w:r w:rsidR="00EB7B49" w:rsidRPr="00214C11">
        <w:rPr>
          <w:rFonts w:ascii="宋体" w:hAnsi="宋体" w:cs="Arial" w:hint="eastAsia"/>
          <w:sz w:val="24"/>
          <w:szCs w:val="24"/>
        </w:rPr>
        <w:t>媒介</w:t>
      </w:r>
      <w:r w:rsidRPr="00214C11">
        <w:rPr>
          <w:rFonts w:ascii="宋体" w:hAnsi="宋体" w:hint="eastAsia"/>
          <w:sz w:val="24"/>
        </w:rPr>
        <w:t>上刊登公告。</w:t>
      </w:r>
    </w:p>
    <w:p w:rsidR="00187081" w:rsidRPr="00214C11" w:rsidRDefault="007A33D9" w:rsidP="0067482A">
      <w:pPr>
        <w:adjustRightInd w:val="0"/>
        <w:snapToGrid w:val="0"/>
        <w:spacing w:line="360" w:lineRule="auto"/>
        <w:ind w:firstLineChars="200" w:firstLine="480"/>
        <w:outlineLvl w:val="0"/>
        <w:rPr>
          <w:rFonts w:ascii="宋体" w:hAnsi="宋体"/>
          <w:sz w:val="24"/>
        </w:rPr>
      </w:pPr>
      <w:r w:rsidRPr="00214C11">
        <w:rPr>
          <w:rFonts w:ascii="宋体" w:hAnsi="宋体" w:cs="Arial" w:hint="eastAsia"/>
          <w:sz w:val="24"/>
          <w:szCs w:val="24"/>
        </w:rPr>
        <w:t>（</w:t>
      </w:r>
      <w:r w:rsidR="008034A5" w:rsidRPr="00214C11">
        <w:rPr>
          <w:rFonts w:ascii="宋体" w:hAnsi="宋体" w:cs="Arial" w:hint="eastAsia"/>
          <w:sz w:val="24"/>
          <w:szCs w:val="24"/>
        </w:rPr>
        <w:t>六</w:t>
      </w:r>
      <w:r w:rsidR="00796CAC" w:rsidRPr="00214C11">
        <w:rPr>
          <w:rFonts w:ascii="宋体" w:hAnsi="宋体" w:hint="eastAsia"/>
          <w:sz w:val="24"/>
        </w:rPr>
        <w:t>）基金管理费</w:t>
      </w:r>
      <w:r w:rsidRPr="00214C11">
        <w:rPr>
          <w:rFonts w:ascii="宋体" w:hAnsi="宋体" w:cs="Arial" w:hint="eastAsia"/>
          <w:sz w:val="24"/>
          <w:szCs w:val="24"/>
        </w:rPr>
        <w:t>、</w:t>
      </w:r>
      <w:r w:rsidR="00796CAC" w:rsidRPr="00214C11">
        <w:rPr>
          <w:rFonts w:ascii="宋体" w:hAnsi="宋体" w:hint="eastAsia"/>
          <w:sz w:val="24"/>
        </w:rPr>
        <w:t>基金托管</w:t>
      </w:r>
      <w:r w:rsidR="00107E7F" w:rsidRPr="00214C11">
        <w:rPr>
          <w:rFonts w:ascii="宋体" w:hAnsi="宋体" w:cs="Arial" w:hint="eastAsia"/>
          <w:sz w:val="24"/>
          <w:szCs w:val="24"/>
        </w:rPr>
        <w:t>费</w:t>
      </w:r>
      <w:r w:rsidR="00796CAC" w:rsidRPr="00214C11">
        <w:rPr>
          <w:rFonts w:ascii="宋体" w:hAnsi="宋体" w:hint="eastAsia"/>
          <w:sz w:val="24"/>
        </w:rPr>
        <w:t>的复核程序、支付方式和时间</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1.复核程序</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基金托管人对基金管理人计提的基金管理费</w:t>
      </w:r>
      <w:r w:rsidR="007A33D9" w:rsidRPr="00214C11">
        <w:rPr>
          <w:rFonts w:ascii="宋体" w:hAnsi="宋体" w:cs="Arial" w:hint="eastAsia"/>
          <w:sz w:val="24"/>
          <w:szCs w:val="24"/>
        </w:rPr>
        <w:t>、</w:t>
      </w:r>
      <w:r w:rsidRPr="00214C11">
        <w:rPr>
          <w:rFonts w:ascii="宋体" w:hAnsi="宋体" w:hint="eastAsia"/>
          <w:sz w:val="24"/>
        </w:rPr>
        <w:t>基金托管</w:t>
      </w:r>
      <w:r w:rsidR="00BD3752" w:rsidRPr="00214C11">
        <w:rPr>
          <w:rFonts w:ascii="宋体" w:hAnsi="宋体" w:cs="Arial" w:hint="eastAsia"/>
          <w:sz w:val="24"/>
          <w:szCs w:val="24"/>
        </w:rPr>
        <w:t>费</w:t>
      </w:r>
      <w:r w:rsidRPr="00214C11">
        <w:rPr>
          <w:rFonts w:ascii="宋体" w:hAnsi="宋体" w:hint="eastAsia"/>
          <w:sz w:val="24"/>
        </w:rPr>
        <w:t>等，根据本托管协议和《基金合同》的有关规定进行复核。</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lastRenderedPageBreak/>
        <w:t>2.支付方式和时间</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基金管理费、基金托管费每日计提，</w:t>
      </w:r>
      <w:r w:rsidR="007A33D9" w:rsidRPr="00214C11">
        <w:rPr>
          <w:rFonts w:ascii="宋体" w:hAnsi="宋体" w:cs="Arial" w:hint="eastAsia"/>
          <w:sz w:val="24"/>
          <w:szCs w:val="24"/>
        </w:rPr>
        <w:t>逐日累计至每月月末，</w:t>
      </w:r>
      <w:r w:rsidRPr="00214C11">
        <w:rPr>
          <w:rFonts w:ascii="宋体" w:hAnsi="宋体" w:hint="eastAsia"/>
          <w:sz w:val="24"/>
        </w:rPr>
        <w:t>按月支付。由基金托管人根据与基金管理人核对一致的财务数据，自动在</w:t>
      </w:r>
      <w:r w:rsidR="007A33D9" w:rsidRPr="00214C11">
        <w:rPr>
          <w:rFonts w:ascii="宋体" w:hAnsi="宋体" w:cs="Arial" w:hint="eastAsia"/>
          <w:sz w:val="24"/>
          <w:szCs w:val="24"/>
        </w:rPr>
        <w:t>次月首日起</w:t>
      </w:r>
      <w:r w:rsidR="00CC0C85" w:rsidRPr="00214C11">
        <w:rPr>
          <w:rFonts w:ascii="宋体" w:hAnsi="宋体" w:cs="Arial" w:hint="eastAsia"/>
          <w:sz w:val="24"/>
          <w:szCs w:val="24"/>
        </w:rPr>
        <w:t>2-5个</w:t>
      </w:r>
      <w:r w:rsidRPr="00214C11">
        <w:rPr>
          <w:rFonts w:ascii="宋体" w:hAnsi="宋体"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在首期支付基金管理费前，基金管理人应向</w:t>
      </w:r>
      <w:r w:rsidR="00431591" w:rsidRPr="00214C11">
        <w:rPr>
          <w:rFonts w:ascii="宋体" w:hAnsi="宋体" w:cs="Arial" w:hint="eastAsia"/>
          <w:sz w:val="24"/>
          <w:szCs w:val="24"/>
        </w:rPr>
        <w:t>基金</w:t>
      </w:r>
      <w:r w:rsidRPr="00214C11">
        <w:rPr>
          <w:rFonts w:ascii="宋体" w:hAnsi="宋体" w:hint="eastAsia"/>
          <w:sz w:val="24"/>
        </w:rPr>
        <w:t>托管人出具正式函件指定基金管理费的收款账户。基金管理人如需要变更此账户，应提前</w:t>
      </w:r>
      <w:r w:rsidRPr="00214C11">
        <w:rPr>
          <w:rFonts w:ascii="宋体" w:hAnsi="宋体"/>
          <w:sz w:val="24"/>
        </w:rPr>
        <w:t>5个工作日向</w:t>
      </w:r>
      <w:r w:rsidR="00431591" w:rsidRPr="00214C11">
        <w:rPr>
          <w:rFonts w:ascii="宋体" w:hAnsi="宋体" w:cs="Arial" w:hint="eastAsia"/>
          <w:sz w:val="24"/>
          <w:szCs w:val="24"/>
        </w:rPr>
        <w:t>基金</w:t>
      </w:r>
      <w:r w:rsidRPr="00214C11">
        <w:rPr>
          <w:rFonts w:ascii="宋体" w:hAnsi="宋体" w:hint="eastAsia"/>
          <w:sz w:val="24"/>
        </w:rPr>
        <w:t>托管人出具书面的收款账户变更通知。</w:t>
      </w:r>
    </w:p>
    <w:p w:rsidR="00187081" w:rsidRPr="00214C11" w:rsidRDefault="00796CAC" w:rsidP="0067482A">
      <w:pPr>
        <w:adjustRightInd w:val="0"/>
        <w:snapToGrid w:val="0"/>
        <w:spacing w:line="360" w:lineRule="auto"/>
        <w:ind w:firstLineChars="200" w:firstLine="480"/>
        <w:outlineLvl w:val="0"/>
        <w:rPr>
          <w:rFonts w:ascii="宋体" w:hAnsi="宋体"/>
          <w:sz w:val="24"/>
        </w:rPr>
      </w:pPr>
      <w:r w:rsidRPr="00214C11">
        <w:rPr>
          <w:rFonts w:ascii="宋体" w:hAnsi="宋体" w:hint="eastAsia"/>
          <w:sz w:val="24"/>
        </w:rPr>
        <w:t>（</w:t>
      </w:r>
      <w:r w:rsidR="008034A5" w:rsidRPr="00214C11">
        <w:rPr>
          <w:rFonts w:ascii="宋体" w:hAnsi="宋体" w:cs="Arial" w:hint="eastAsia"/>
          <w:sz w:val="24"/>
          <w:szCs w:val="24"/>
        </w:rPr>
        <w:t>七</w:t>
      </w:r>
      <w:r w:rsidRPr="00214C11">
        <w:rPr>
          <w:rFonts w:ascii="宋体" w:hAnsi="宋体" w:hint="eastAsia"/>
          <w:sz w:val="24"/>
        </w:rPr>
        <w:t>）违规处理方式</w:t>
      </w:r>
    </w:p>
    <w:p w:rsidR="00DC3C9F" w:rsidRPr="00214C11" w:rsidRDefault="00796CAC" w:rsidP="00DC3C9F">
      <w:pPr>
        <w:adjustRightInd w:val="0"/>
        <w:snapToGrid w:val="0"/>
        <w:spacing w:line="360" w:lineRule="auto"/>
        <w:ind w:firstLineChars="200" w:firstLine="480"/>
        <w:rPr>
          <w:rFonts w:ascii="宋体" w:hAnsi="宋体"/>
          <w:sz w:val="24"/>
        </w:rPr>
        <w:sectPr w:rsidR="00DC3C9F" w:rsidRPr="00214C11" w:rsidSect="00A0626A">
          <w:footerReference w:type="default" r:id="rId21"/>
          <w:pgSz w:w="11906" w:h="16838" w:code="9"/>
          <w:pgMar w:top="1418" w:right="1701" w:bottom="1418" w:left="1701" w:header="851" w:footer="992" w:gutter="0"/>
          <w:pgNumType w:start="1"/>
          <w:cols w:space="425"/>
          <w:docGrid w:type="lines" w:linePitch="312"/>
        </w:sectPr>
      </w:pPr>
      <w:r w:rsidRPr="00214C11">
        <w:rPr>
          <w:rFonts w:ascii="宋体" w:hAnsi="宋体"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bookmarkStart w:id="89" w:name="_Toc124325896"/>
    </w:p>
    <w:p w:rsidR="00187081" w:rsidRPr="00214C11" w:rsidRDefault="00796CAC" w:rsidP="0067482A">
      <w:pPr>
        <w:keepNext/>
        <w:keepLines/>
        <w:spacing w:before="260" w:after="260" w:line="360" w:lineRule="auto"/>
        <w:jc w:val="center"/>
        <w:outlineLvl w:val="1"/>
        <w:rPr>
          <w:rFonts w:ascii="宋体" w:hAnsi="宋体"/>
          <w:sz w:val="30"/>
        </w:rPr>
      </w:pPr>
      <w:r w:rsidRPr="00214C11">
        <w:rPr>
          <w:rFonts w:ascii="宋体" w:hAnsi="宋体" w:hint="eastAsia"/>
          <w:b/>
          <w:sz w:val="30"/>
        </w:rPr>
        <w:lastRenderedPageBreak/>
        <w:t>十二、基金份额持有人名册的保管</w:t>
      </w:r>
      <w:bookmarkEnd w:id="89"/>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214C11">
        <w:rPr>
          <w:rFonts w:ascii="宋体" w:hAnsi="宋体"/>
          <w:sz w:val="24"/>
        </w:rPr>
        <w:t>15年。如不能妥善保管，则按相关法规承担责任。</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在基金托管人要求或编制半年报和年报前，基金管理人应将有关资料送交基金托管人，不得无故拒绝或延误提供，并保证其</w:t>
      </w:r>
      <w:r w:rsidR="007A33D9" w:rsidRPr="00214C11">
        <w:rPr>
          <w:rFonts w:ascii="宋体" w:hAnsi="宋体" w:cs="Arial" w:hint="eastAsia"/>
          <w:sz w:val="24"/>
          <w:szCs w:val="24"/>
        </w:rPr>
        <w:t>的</w:t>
      </w:r>
      <w:r w:rsidRPr="00214C11">
        <w:rPr>
          <w:rFonts w:ascii="宋体" w:hAnsi="宋体" w:hint="eastAsia"/>
          <w:sz w:val="24"/>
        </w:rPr>
        <w:t>真实性、准确性和完整性。</w:t>
      </w:r>
      <w:r w:rsidRPr="00214C11">
        <w:rPr>
          <w:rFonts w:ascii="宋体" w:hAnsi="宋体" w:hint="eastAsia"/>
          <w:kern w:val="0"/>
          <w:sz w:val="24"/>
        </w:rPr>
        <w:t>基金托管人不得将所保管的基金份额持有人名册用于基金托管业务以外的其他用途，并应遵守保密义务。</w:t>
      </w:r>
    </w:p>
    <w:p w:rsidR="00187081" w:rsidRPr="00214C11" w:rsidRDefault="00187081" w:rsidP="0067482A">
      <w:pPr>
        <w:adjustRightInd w:val="0"/>
        <w:snapToGrid w:val="0"/>
        <w:spacing w:line="360" w:lineRule="auto"/>
        <w:rPr>
          <w:rFonts w:ascii="宋体" w:hAnsi="宋体"/>
          <w:sz w:val="24"/>
        </w:rPr>
      </w:pPr>
    </w:p>
    <w:p w:rsidR="00DC3C9F" w:rsidRPr="00214C11" w:rsidRDefault="00DC3C9F" w:rsidP="00310C11">
      <w:pPr>
        <w:keepNext/>
        <w:keepLines/>
        <w:spacing w:before="260" w:after="260" w:line="360" w:lineRule="auto"/>
        <w:jc w:val="center"/>
        <w:outlineLvl w:val="1"/>
        <w:rPr>
          <w:rFonts w:ascii="宋体" w:hAnsi="宋体"/>
          <w:b/>
          <w:sz w:val="30"/>
        </w:rPr>
        <w:sectPr w:rsidR="00DC3C9F" w:rsidRPr="00214C11" w:rsidSect="00A0626A">
          <w:footerReference w:type="default" r:id="rId22"/>
          <w:pgSz w:w="11906" w:h="16838" w:code="9"/>
          <w:pgMar w:top="1418" w:right="1701" w:bottom="1418" w:left="1701" w:header="851" w:footer="992" w:gutter="0"/>
          <w:pgNumType w:start="1"/>
          <w:cols w:space="425"/>
          <w:docGrid w:type="lines" w:linePitch="312"/>
        </w:sectPr>
      </w:pPr>
      <w:bookmarkStart w:id="90" w:name="_Toc124325897"/>
    </w:p>
    <w:p w:rsidR="00187081" w:rsidRPr="00214C11" w:rsidRDefault="00796CAC" w:rsidP="0067482A">
      <w:pPr>
        <w:keepNext/>
        <w:keepLines/>
        <w:spacing w:before="260" w:after="260" w:line="360" w:lineRule="auto"/>
        <w:jc w:val="center"/>
        <w:outlineLvl w:val="1"/>
        <w:rPr>
          <w:rFonts w:ascii="宋体" w:hAnsi="宋体"/>
          <w:sz w:val="30"/>
        </w:rPr>
      </w:pPr>
      <w:r w:rsidRPr="00214C11">
        <w:rPr>
          <w:rFonts w:ascii="宋体" w:hAnsi="宋体" w:hint="eastAsia"/>
          <w:b/>
          <w:sz w:val="30"/>
        </w:rPr>
        <w:lastRenderedPageBreak/>
        <w:t>十三、基金有关文件档案的保存</w:t>
      </w:r>
      <w:bookmarkEnd w:id="90"/>
    </w:p>
    <w:p w:rsidR="00187081" w:rsidRPr="00214C11" w:rsidRDefault="00796CAC" w:rsidP="0067482A">
      <w:pPr>
        <w:adjustRightInd w:val="0"/>
        <w:snapToGrid w:val="0"/>
        <w:spacing w:line="360" w:lineRule="auto"/>
        <w:ind w:firstLineChars="200" w:firstLine="480"/>
        <w:outlineLvl w:val="0"/>
        <w:rPr>
          <w:rFonts w:ascii="宋体" w:hAnsi="宋体"/>
          <w:sz w:val="24"/>
        </w:rPr>
      </w:pPr>
      <w:r w:rsidRPr="00214C11">
        <w:rPr>
          <w:rFonts w:ascii="宋体" w:hAnsi="宋体" w:hint="eastAsia"/>
          <w:sz w:val="24"/>
        </w:rPr>
        <w:t>（一）档案保存</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214C11">
        <w:rPr>
          <w:rFonts w:ascii="宋体" w:hAnsi="宋体"/>
          <w:sz w:val="24"/>
        </w:rPr>
        <w:t xml:space="preserve">15 </w:t>
      </w:r>
      <w:r w:rsidRPr="00214C11">
        <w:rPr>
          <w:rFonts w:ascii="宋体" w:hAnsi="宋体" w:hint="eastAsia"/>
          <w:sz w:val="24"/>
        </w:rPr>
        <w:t>年。</w:t>
      </w:r>
    </w:p>
    <w:p w:rsidR="00187081" w:rsidRPr="00214C11" w:rsidRDefault="00796CAC" w:rsidP="0067482A">
      <w:pPr>
        <w:adjustRightInd w:val="0"/>
        <w:snapToGrid w:val="0"/>
        <w:spacing w:line="360" w:lineRule="auto"/>
        <w:ind w:firstLineChars="200" w:firstLine="480"/>
        <w:outlineLvl w:val="0"/>
        <w:rPr>
          <w:rFonts w:ascii="宋体" w:hAnsi="宋体"/>
          <w:sz w:val="24"/>
        </w:rPr>
      </w:pPr>
      <w:r w:rsidRPr="00214C11">
        <w:rPr>
          <w:rFonts w:ascii="宋体" w:hAnsi="宋体" w:hint="eastAsia"/>
          <w:sz w:val="24"/>
        </w:rPr>
        <w:t>（二）合同档案的建立</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1.基金管理人签署重大合同文本后，应及时将合同文本正本送达基金托管人处。</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2.基金管理人应及时将与本基金账务处理、资金划拨等有关的合同、协议传真基金托管人。</w:t>
      </w:r>
    </w:p>
    <w:p w:rsidR="00187081" w:rsidRPr="00214C11" w:rsidRDefault="00796CAC" w:rsidP="0067482A">
      <w:pPr>
        <w:adjustRightInd w:val="0"/>
        <w:snapToGrid w:val="0"/>
        <w:spacing w:line="360" w:lineRule="auto"/>
        <w:ind w:firstLineChars="200" w:firstLine="480"/>
        <w:outlineLvl w:val="0"/>
        <w:rPr>
          <w:rFonts w:ascii="宋体" w:hAnsi="宋体"/>
          <w:sz w:val="24"/>
        </w:rPr>
      </w:pPr>
      <w:r w:rsidRPr="00214C11">
        <w:rPr>
          <w:rFonts w:ascii="宋体" w:hAnsi="宋体" w:hint="eastAsia"/>
          <w:sz w:val="24"/>
        </w:rPr>
        <w:t>（三）变更与协助</w:t>
      </w:r>
    </w:p>
    <w:p w:rsidR="00187081" w:rsidRPr="00214C11" w:rsidRDefault="00796CAC" w:rsidP="0067482A">
      <w:pPr>
        <w:adjustRightInd w:val="0"/>
        <w:snapToGrid w:val="0"/>
        <w:spacing w:line="360" w:lineRule="auto"/>
        <w:ind w:firstLineChars="200" w:firstLine="480"/>
        <w:rPr>
          <w:rFonts w:ascii="宋体" w:hAnsi="宋体"/>
          <w:b/>
          <w:sz w:val="30"/>
        </w:rPr>
      </w:pPr>
      <w:r w:rsidRPr="00214C11">
        <w:rPr>
          <w:rFonts w:ascii="宋体" w:hAnsi="宋体" w:hint="eastAsia"/>
          <w:sz w:val="24"/>
        </w:rPr>
        <w:t>若基金管理人</w:t>
      </w:r>
      <w:r w:rsidRPr="00214C11">
        <w:rPr>
          <w:rFonts w:ascii="宋体" w:hAnsi="宋体"/>
          <w:sz w:val="24"/>
        </w:rPr>
        <w:t>/基金托管人发生变更，未变更的一方有义务协助变更后的接任人接收相应文件。</w:t>
      </w:r>
    </w:p>
    <w:p w:rsidR="00187081" w:rsidRPr="00214C11" w:rsidRDefault="00796CAC" w:rsidP="0067482A">
      <w:pPr>
        <w:adjustRightInd w:val="0"/>
        <w:snapToGrid w:val="0"/>
        <w:spacing w:line="360" w:lineRule="auto"/>
        <w:ind w:firstLineChars="200" w:firstLine="480"/>
        <w:outlineLvl w:val="0"/>
        <w:rPr>
          <w:rFonts w:ascii="宋体" w:hAnsi="宋体"/>
          <w:sz w:val="24"/>
        </w:rPr>
      </w:pPr>
      <w:r w:rsidRPr="00214C11">
        <w:rPr>
          <w:rFonts w:ascii="宋体" w:hAnsi="宋体" w:hint="eastAsia"/>
          <w:sz w:val="24"/>
        </w:rPr>
        <w:t>（四）基金管理人和基金托管人应按各自职责完整保存原始凭证、记账凭证、基金账册、交易记录和重要合同等，承担保密义务并保存至少十五年以上。</w:t>
      </w:r>
    </w:p>
    <w:p w:rsidR="00187081" w:rsidRPr="00214C11" w:rsidRDefault="00187081" w:rsidP="0067482A">
      <w:pPr>
        <w:adjustRightInd w:val="0"/>
        <w:snapToGrid w:val="0"/>
        <w:spacing w:line="360" w:lineRule="auto"/>
        <w:rPr>
          <w:rFonts w:ascii="宋体" w:hAnsi="宋体"/>
          <w:sz w:val="30"/>
        </w:rPr>
      </w:pPr>
    </w:p>
    <w:p w:rsidR="00DC3C9F" w:rsidRPr="00214C11" w:rsidRDefault="00DC3C9F" w:rsidP="00310C11">
      <w:pPr>
        <w:keepNext/>
        <w:keepLines/>
        <w:spacing w:before="260" w:after="260" w:line="360" w:lineRule="auto"/>
        <w:jc w:val="center"/>
        <w:outlineLvl w:val="1"/>
        <w:rPr>
          <w:rFonts w:ascii="宋体" w:hAnsi="宋体"/>
          <w:b/>
          <w:sz w:val="30"/>
        </w:rPr>
        <w:sectPr w:rsidR="00DC3C9F" w:rsidRPr="00214C11" w:rsidSect="00A0626A">
          <w:footerReference w:type="default" r:id="rId23"/>
          <w:pgSz w:w="11906" w:h="16838" w:code="9"/>
          <w:pgMar w:top="1418" w:right="1701" w:bottom="1418" w:left="1701" w:header="851" w:footer="992" w:gutter="0"/>
          <w:pgNumType w:start="1"/>
          <w:cols w:space="425"/>
          <w:docGrid w:type="lines" w:linePitch="312"/>
        </w:sectPr>
      </w:pPr>
      <w:bookmarkStart w:id="91" w:name="_Toc124325898"/>
    </w:p>
    <w:p w:rsidR="00187081" w:rsidRPr="00214C11" w:rsidRDefault="00796CAC" w:rsidP="0067482A">
      <w:pPr>
        <w:keepNext/>
        <w:keepLines/>
        <w:spacing w:before="260" w:after="260" w:line="360" w:lineRule="auto"/>
        <w:jc w:val="center"/>
        <w:outlineLvl w:val="1"/>
        <w:rPr>
          <w:rFonts w:ascii="宋体" w:hAnsi="宋体"/>
          <w:sz w:val="30"/>
        </w:rPr>
      </w:pPr>
      <w:r w:rsidRPr="00214C11">
        <w:rPr>
          <w:rFonts w:ascii="宋体" w:hAnsi="宋体" w:hint="eastAsia"/>
          <w:b/>
          <w:sz w:val="30"/>
        </w:rPr>
        <w:lastRenderedPageBreak/>
        <w:t>十四、基金管理人和基金托管人的更换</w:t>
      </w:r>
      <w:bookmarkEnd w:id="91"/>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（一）基金管理人职责终止的情形</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1.基金管理人职责终止的情形</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有下列情形之一的，基金管理人职责终止：</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(1)被依法取消基金管理资格；</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(2)依法解散、被依法撤销或被依法宣告破产；</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(3)被基金份额持有人大会解任；</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(4)法律法规及中国证监会规定的和《基金合同》约定的其他情形。</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2.基金管理人的更换程序</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更换基金管理人必须依照如下程序进行：</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(1)提名：新任基金管理人由基金托管人或由单独</w:t>
      </w:r>
      <w:r w:rsidR="007A33D9" w:rsidRPr="00214C11">
        <w:rPr>
          <w:rFonts w:ascii="宋体" w:hAnsi="宋体" w:hint="eastAsia"/>
          <w:sz w:val="24"/>
          <w:szCs w:val="24"/>
        </w:rPr>
        <w:t>和</w:t>
      </w:r>
      <w:r w:rsidRPr="00214C11">
        <w:rPr>
          <w:rFonts w:ascii="宋体" w:hAnsi="宋体" w:hint="eastAsia"/>
          <w:sz w:val="24"/>
        </w:rPr>
        <w:t>合计持有</w:t>
      </w:r>
      <w:r w:rsidR="007A33D9" w:rsidRPr="00214C11">
        <w:rPr>
          <w:rFonts w:ascii="宋体" w:hAnsi="宋体" w:hint="eastAsia"/>
          <w:bCs/>
          <w:sz w:val="24"/>
          <w:szCs w:val="24"/>
        </w:rPr>
        <w:t>基金</w:t>
      </w:r>
      <w:r w:rsidR="0039257D" w:rsidRPr="00214C11">
        <w:rPr>
          <w:rFonts w:ascii="宋体" w:hAnsi="宋体" w:hint="eastAsia"/>
          <w:bCs/>
          <w:sz w:val="24"/>
          <w:szCs w:val="24"/>
        </w:rPr>
        <w:t>总</w:t>
      </w:r>
      <w:r w:rsidR="007A33D9" w:rsidRPr="00214C11">
        <w:rPr>
          <w:rFonts w:ascii="宋体" w:hAnsi="宋体" w:hint="eastAsia"/>
          <w:bCs/>
          <w:sz w:val="24"/>
          <w:szCs w:val="24"/>
        </w:rPr>
        <w:t>份额</w:t>
      </w:r>
      <w:r w:rsidRPr="00214C11">
        <w:rPr>
          <w:rFonts w:ascii="宋体" w:hAnsi="宋体" w:hint="eastAsia"/>
          <w:sz w:val="24"/>
        </w:rPr>
        <w:t>10%以上(含10%)基金份额的基金份额持有人提名；</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(2)决议：</w:t>
      </w:r>
      <w:r w:rsidRPr="00214C11">
        <w:rPr>
          <w:rFonts w:ascii="宋体" w:hAnsi="宋体" w:hint="eastAsia"/>
          <w:sz w:val="24"/>
        </w:rPr>
        <w:t>基金份额持有人大会在</w:t>
      </w:r>
      <w:r w:rsidR="00540BCF" w:rsidRPr="00214C11">
        <w:rPr>
          <w:rFonts w:ascii="宋体" w:hAnsi="宋体" w:hint="eastAsia"/>
          <w:sz w:val="24"/>
        </w:rPr>
        <w:t>原任</w:t>
      </w:r>
      <w:r w:rsidRPr="00214C11">
        <w:rPr>
          <w:rFonts w:ascii="宋体" w:hAnsi="宋体" w:hint="eastAsia"/>
          <w:sz w:val="24"/>
        </w:rPr>
        <w:t>基金管理人职责终止后</w:t>
      </w:r>
      <w:r w:rsidRPr="00214C11">
        <w:rPr>
          <w:rFonts w:ascii="宋体" w:hAnsi="宋体"/>
          <w:sz w:val="24"/>
        </w:rPr>
        <w:t>6</w:t>
      </w:r>
      <w:r w:rsidRPr="00214C11">
        <w:rPr>
          <w:rFonts w:ascii="宋体" w:hAnsi="宋体" w:hint="eastAsia"/>
          <w:sz w:val="24"/>
        </w:rPr>
        <w:t>个月内对被提名的</w:t>
      </w:r>
      <w:r w:rsidR="00540BCF" w:rsidRPr="00214C11">
        <w:rPr>
          <w:rFonts w:ascii="宋体" w:hAnsi="宋体" w:hint="eastAsia"/>
          <w:sz w:val="24"/>
        </w:rPr>
        <w:t>新任</w:t>
      </w:r>
      <w:r w:rsidRPr="00214C11">
        <w:rPr>
          <w:rFonts w:ascii="宋体" w:hAnsi="宋体" w:hint="eastAsia"/>
          <w:sz w:val="24"/>
        </w:rPr>
        <w:t>基金管理人形成决议，</w:t>
      </w:r>
      <w:r w:rsidRPr="00214C11">
        <w:rPr>
          <w:rFonts w:ascii="宋体" w:hAnsi="宋体"/>
          <w:sz w:val="24"/>
        </w:rPr>
        <w:t>该决议需经参加大会的基金份额持有人所持表决权的</w:t>
      </w:r>
      <w:r w:rsidRPr="00214C11">
        <w:rPr>
          <w:rFonts w:ascii="宋体" w:hAnsi="宋体" w:hint="eastAsia"/>
          <w:sz w:val="24"/>
        </w:rPr>
        <w:t>三分之二</w:t>
      </w:r>
      <w:r w:rsidRPr="00214C11">
        <w:rPr>
          <w:rFonts w:ascii="宋体" w:hAnsi="宋体"/>
          <w:sz w:val="24"/>
        </w:rPr>
        <w:t>以上</w:t>
      </w:r>
      <w:r w:rsidR="00540BCF" w:rsidRPr="00214C11">
        <w:rPr>
          <w:rFonts w:ascii="宋体" w:hAnsi="宋体"/>
          <w:sz w:val="24"/>
        </w:rPr>
        <w:t>（</w:t>
      </w:r>
      <w:r w:rsidRPr="00214C11">
        <w:rPr>
          <w:rFonts w:ascii="宋体" w:hAnsi="宋体"/>
          <w:sz w:val="24"/>
        </w:rPr>
        <w:t>含</w:t>
      </w:r>
      <w:r w:rsidRPr="00214C11">
        <w:rPr>
          <w:rFonts w:ascii="宋体" w:hAnsi="宋体" w:hint="eastAsia"/>
          <w:sz w:val="24"/>
        </w:rPr>
        <w:t>三分之二</w:t>
      </w:r>
      <w:r w:rsidR="00540BCF" w:rsidRPr="00214C11">
        <w:rPr>
          <w:rFonts w:ascii="宋体" w:hAnsi="宋体"/>
          <w:sz w:val="24"/>
        </w:rPr>
        <w:t>）通过</w:t>
      </w:r>
      <w:r w:rsidR="00540BCF" w:rsidRPr="00214C11">
        <w:rPr>
          <w:rFonts w:ascii="宋体" w:hAnsi="宋体" w:hint="eastAsia"/>
          <w:sz w:val="24"/>
        </w:rPr>
        <w:t>方为有效。新任基金管理人应当符合法律法规及中国证监会规定的资格条件</w:t>
      </w:r>
      <w:r w:rsidRPr="00214C11">
        <w:rPr>
          <w:rFonts w:ascii="宋体" w:hAnsi="宋体" w:hint="eastAsia"/>
          <w:sz w:val="24"/>
        </w:rPr>
        <w:t>；</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(3)临时基金管理人：新任基金管理人产生之前，由中国证监会指定临时基金管理人；</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(4)</w:t>
      </w:r>
      <w:r w:rsidRPr="00214C11">
        <w:rPr>
          <w:rFonts w:ascii="宋体" w:hAnsi="宋体" w:hint="eastAsia"/>
          <w:sz w:val="24"/>
        </w:rPr>
        <w:t>备案：基金份额持有人大会选任基金管理人的决议须报中国证监会备案；</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(5)公告：基金管理人更换后，由基金托管人在更换基金管理人的基金份额持有人大会决议生效后2个工作日内在指定媒介公告；</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(6)交接：基金管理人职责终止的，基金管理人应妥善保管基金管理业务资料，及时向临时基金管理人或新任基金管理人办理基金管理业务的移交手续，临时基金管理人或新任基金管理人应及时接收。</w:t>
      </w:r>
      <w:r w:rsidRPr="00214C11">
        <w:rPr>
          <w:rFonts w:ascii="宋体" w:hAnsi="宋体" w:hint="eastAsia"/>
          <w:sz w:val="24"/>
        </w:rPr>
        <w:t>新任基金管理人应与基金托管人核对基金资产总值</w:t>
      </w:r>
      <w:r w:rsidR="00C74608" w:rsidRPr="00214C11">
        <w:rPr>
          <w:rFonts w:ascii="宋体" w:hAnsi="宋体" w:cs="Arial" w:hint="eastAsia"/>
          <w:sz w:val="24"/>
          <w:szCs w:val="24"/>
        </w:rPr>
        <w:t>和净值</w:t>
      </w:r>
      <w:r w:rsidRPr="00214C11">
        <w:rPr>
          <w:rFonts w:ascii="宋体" w:hAnsi="宋体" w:hint="eastAsia"/>
          <w:sz w:val="24"/>
        </w:rPr>
        <w:t>；</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(7)审计：基金管理人职责终止的，应当按照法律法规规定聘请会计师事务所对基金财产进行审计，并将审计结果予以公告，同时报中国证监会备案</w:t>
      </w:r>
      <w:r w:rsidR="00DF1C93" w:rsidRPr="00214C11">
        <w:rPr>
          <w:rFonts w:ascii="宋体" w:hAnsi="宋体" w:hint="eastAsia"/>
          <w:sz w:val="24"/>
        </w:rPr>
        <w:t>。</w:t>
      </w:r>
      <w:r w:rsidR="0008484F" w:rsidRPr="00214C11">
        <w:rPr>
          <w:rFonts w:ascii="宋体" w:hAnsi="宋体" w:hint="eastAsia"/>
          <w:sz w:val="24"/>
        </w:rPr>
        <w:t>审计费用在基金财产中列支</w:t>
      </w:r>
      <w:r w:rsidRPr="00214C11">
        <w:rPr>
          <w:rFonts w:ascii="宋体" w:hAnsi="宋体"/>
          <w:sz w:val="24"/>
        </w:rPr>
        <w:t>；</w:t>
      </w:r>
    </w:p>
    <w:p w:rsidR="00187081" w:rsidRPr="00214C11" w:rsidRDefault="00796CAC" w:rsidP="0067482A">
      <w:pPr>
        <w:adjustRightInd w:val="0"/>
        <w:snapToGrid w:val="0"/>
        <w:spacing w:line="360" w:lineRule="auto"/>
        <w:ind w:firstLineChars="200" w:firstLine="480"/>
        <w:rPr>
          <w:rFonts w:ascii="宋体" w:hAnsi="宋体"/>
          <w:sz w:val="30"/>
        </w:rPr>
      </w:pPr>
      <w:r w:rsidRPr="00214C11">
        <w:rPr>
          <w:rFonts w:ascii="宋体" w:hAnsi="宋体"/>
          <w:sz w:val="24"/>
        </w:rPr>
        <w:t>(8)基金名称变更：基金管理人更换后，如果原任或新任基金管理人要求，应</w:t>
      </w:r>
      <w:r w:rsidRPr="00214C11">
        <w:rPr>
          <w:rFonts w:ascii="宋体" w:hAnsi="宋体" w:hint="eastAsia"/>
          <w:sz w:val="24"/>
        </w:rPr>
        <w:lastRenderedPageBreak/>
        <w:t>按其要求替换或删除基金名称中与原基金管理人有关的名称字样。</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（二）基金托管人职责终止的情形</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1.基金托管人职责终止的情形</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有下列情形之一的，基金托管人职责终止：</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(1)被依法取消基金托管资格；</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(2)依法解散、被依法撤销或被依法宣告破产；</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(3)被基金份额持有人大会解任；</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(4)法律法规及中国证监会规定的和《基金合同》约定的其他情形。</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2.基金托管人的更换程序</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(1)提名：</w:t>
      </w:r>
      <w:r w:rsidRPr="00214C11">
        <w:rPr>
          <w:rFonts w:ascii="宋体" w:hAnsi="宋体" w:hint="eastAsia"/>
          <w:sz w:val="24"/>
        </w:rPr>
        <w:t>新任基金托管人由基金管理人</w:t>
      </w:r>
      <w:r w:rsidR="00540BCF" w:rsidRPr="00214C11">
        <w:rPr>
          <w:rFonts w:ascii="宋体" w:hAnsi="宋体" w:hint="eastAsia"/>
          <w:sz w:val="24"/>
        </w:rPr>
        <w:t>或者</w:t>
      </w:r>
      <w:r w:rsidRPr="00214C11">
        <w:rPr>
          <w:rFonts w:ascii="宋体" w:hAnsi="宋体" w:hint="eastAsia"/>
          <w:sz w:val="24"/>
        </w:rPr>
        <w:t>单独或合计持有</w:t>
      </w:r>
      <w:r w:rsidR="00540BCF" w:rsidRPr="00214C11">
        <w:rPr>
          <w:rFonts w:ascii="宋体" w:hAnsi="宋体" w:hint="eastAsia"/>
          <w:sz w:val="24"/>
        </w:rPr>
        <w:t>基金总份额</w:t>
      </w:r>
      <w:r w:rsidRPr="00214C11">
        <w:rPr>
          <w:rFonts w:ascii="宋体" w:hAnsi="宋体"/>
          <w:sz w:val="24"/>
        </w:rPr>
        <w:t>10%</w:t>
      </w:r>
      <w:r w:rsidRPr="00214C11">
        <w:rPr>
          <w:rFonts w:ascii="宋体" w:hAnsi="宋体" w:hint="eastAsia"/>
          <w:sz w:val="24"/>
        </w:rPr>
        <w:t>以上</w:t>
      </w:r>
      <w:r w:rsidR="00540BCF" w:rsidRPr="00214C11">
        <w:rPr>
          <w:rFonts w:ascii="宋体" w:hAnsi="宋体" w:hint="eastAsia"/>
          <w:sz w:val="24"/>
        </w:rPr>
        <w:t>（</w:t>
      </w:r>
      <w:r w:rsidRPr="00214C11">
        <w:rPr>
          <w:rFonts w:ascii="宋体" w:hAnsi="宋体" w:hint="eastAsia"/>
          <w:sz w:val="24"/>
        </w:rPr>
        <w:t>含</w:t>
      </w:r>
      <w:r w:rsidRPr="00214C11">
        <w:rPr>
          <w:rFonts w:ascii="宋体" w:hAnsi="宋体"/>
          <w:sz w:val="24"/>
        </w:rPr>
        <w:t>10</w:t>
      </w:r>
      <w:r w:rsidR="00540BCF" w:rsidRPr="00214C11">
        <w:rPr>
          <w:rFonts w:ascii="宋体" w:hAnsi="宋体"/>
          <w:sz w:val="24"/>
        </w:rPr>
        <w:t>%）</w:t>
      </w:r>
      <w:r w:rsidRPr="00214C11">
        <w:rPr>
          <w:rFonts w:ascii="宋体" w:hAnsi="宋体" w:hint="eastAsia"/>
          <w:sz w:val="24"/>
        </w:rPr>
        <w:t>的基金份额持有人提名；</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(2)决议：</w:t>
      </w:r>
      <w:r w:rsidRPr="00214C11">
        <w:rPr>
          <w:rFonts w:ascii="宋体" w:hAnsi="宋体" w:hint="eastAsia"/>
          <w:sz w:val="24"/>
        </w:rPr>
        <w:t>基金份额持有人大会在</w:t>
      </w:r>
      <w:r w:rsidR="00540BCF" w:rsidRPr="00214C11">
        <w:rPr>
          <w:rFonts w:ascii="宋体" w:hAnsi="宋体" w:hint="eastAsia"/>
          <w:sz w:val="24"/>
        </w:rPr>
        <w:t>原</w:t>
      </w:r>
      <w:r w:rsidRPr="00214C11">
        <w:rPr>
          <w:rFonts w:ascii="宋体" w:hAnsi="宋体" w:hint="eastAsia"/>
          <w:sz w:val="24"/>
        </w:rPr>
        <w:t>基金托管人职责终止后</w:t>
      </w:r>
      <w:r w:rsidRPr="00214C11">
        <w:rPr>
          <w:rFonts w:ascii="宋体" w:hAnsi="宋体"/>
          <w:sz w:val="24"/>
        </w:rPr>
        <w:t>6个月内对被提名的</w:t>
      </w:r>
      <w:r w:rsidR="00540BCF" w:rsidRPr="00214C11">
        <w:rPr>
          <w:rFonts w:ascii="宋体" w:hAnsi="宋体" w:hint="eastAsia"/>
          <w:sz w:val="24"/>
        </w:rPr>
        <w:t>新任</w:t>
      </w:r>
      <w:r w:rsidRPr="00214C11">
        <w:rPr>
          <w:rFonts w:ascii="宋体" w:hAnsi="宋体" w:hint="eastAsia"/>
          <w:sz w:val="24"/>
        </w:rPr>
        <w:t>基金托管人形成决议，</w:t>
      </w:r>
      <w:r w:rsidRPr="00214C11">
        <w:rPr>
          <w:rFonts w:ascii="宋体" w:hAnsi="宋体"/>
          <w:sz w:val="24"/>
        </w:rPr>
        <w:t>该决议</w:t>
      </w:r>
      <w:r w:rsidR="00341333" w:rsidRPr="00214C11">
        <w:rPr>
          <w:rFonts w:ascii="宋体" w:hAnsi="宋体" w:hint="eastAsia"/>
          <w:sz w:val="24"/>
        </w:rPr>
        <w:t>需</w:t>
      </w:r>
      <w:r w:rsidRPr="00214C11">
        <w:rPr>
          <w:rFonts w:ascii="宋体" w:hAnsi="宋体" w:hint="eastAsia"/>
          <w:sz w:val="24"/>
        </w:rPr>
        <w:t>经参加大会的基金份额持有人所持表决权的三分之二以上</w:t>
      </w:r>
      <w:r w:rsidRPr="00214C11">
        <w:rPr>
          <w:rFonts w:ascii="宋体" w:hAnsi="宋体"/>
          <w:sz w:val="24"/>
        </w:rPr>
        <w:t>(含三分之二)</w:t>
      </w:r>
      <w:r w:rsidR="00540BCF" w:rsidRPr="00214C11">
        <w:rPr>
          <w:rFonts w:ascii="宋体" w:hAnsi="宋体"/>
          <w:sz w:val="24"/>
        </w:rPr>
        <w:t>通过方为有效。</w:t>
      </w:r>
      <w:r w:rsidR="00540BCF" w:rsidRPr="00214C11">
        <w:rPr>
          <w:rFonts w:ascii="宋体" w:hAnsi="宋体" w:hint="eastAsia"/>
          <w:sz w:val="24"/>
        </w:rPr>
        <w:t>新任基金托管人应当符合法律法规及中国证监会规定的资格条件</w:t>
      </w:r>
      <w:r w:rsidRPr="00214C11">
        <w:rPr>
          <w:rFonts w:ascii="宋体" w:hAnsi="宋体" w:hint="eastAsia"/>
          <w:sz w:val="24"/>
        </w:rPr>
        <w:t>；</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(3)临时基金托管人：新任基金托管人产生之前，由中国证监会指定临时基金托管人；</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(4)</w:t>
      </w:r>
      <w:r w:rsidRPr="00214C11">
        <w:rPr>
          <w:rFonts w:ascii="宋体" w:hAnsi="宋体" w:hint="eastAsia"/>
          <w:sz w:val="24"/>
        </w:rPr>
        <w:t>备案：基金份额持有人大会更换基金托管人的决议须报中国证监会备案；</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(5)公告：基金托管人更换后，由基金管理人在更换基金托管人的基金份额持有人大会决议生效后 2个工作日内在指定媒介公告；</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(6)交接：基金托管人职责终止的，应当妥善保管基金财产和基金托管业务资料，及时办理基金财产和基金托管业务的移交手续，新任基金托管人或者临时基金托管人应当及时接收。新任基金托管人</w:t>
      </w:r>
      <w:r w:rsidRPr="00214C11">
        <w:rPr>
          <w:rFonts w:ascii="宋体" w:hAnsi="宋体" w:hint="eastAsia"/>
          <w:sz w:val="24"/>
        </w:rPr>
        <w:t>与基金管理人核对基金资产总值</w:t>
      </w:r>
      <w:r w:rsidR="00B74232" w:rsidRPr="00214C11">
        <w:rPr>
          <w:rFonts w:ascii="宋体" w:hAnsi="宋体" w:cs="Arial" w:hint="eastAsia"/>
          <w:sz w:val="24"/>
          <w:szCs w:val="24"/>
        </w:rPr>
        <w:t>和净值</w:t>
      </w:r>
      <w:r w:rsidRPr="00214C11">
        <w:rPr>
          <w:rFonts w:ascii="宋体" w:hAnsi="宋体" w:hint="eastAsia"/>
          <w:sz w:val="24"/>
        </w:rPr>
        <w:t>；</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(7)审计：基金托管人职责终止的，应当按照法律法规规定聘请会计师事务所对基金财产进行审计，并将审计结果予以公告，同时报中国证监会备案。</w:t>
      </w:r>
      <w:r w:rsidR="0008484F" w:rsidRPr="00214C11">
        <w:rPr>
          <w:rFonts w:ascii="宋体" w:hAnsi="宋体" w:hint="eastAsia"/>
          <w:sz w:val="24"/>
        </w:rPr>
        <w:t>审计费用在基金财产中列支</w:t>
      </w:r>
      <w:r w:rsidR="00DF1C93" w:rsidRPr="00214C11">
        <w:rPr>
          <w:rFonts w:ascii="宋体" w:hAnsi="宋体" w:hint="eastAsia"/>
          <w:sz w:val="24"/>
        </w:rPr>
        <w:t>。</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（三）基金管理人与基金托管人同时更换的条件和程序</w:t>
      </w:r>
    </w:p>
    <w:p w:rsidR="00187081" w:rsidRPr="00214C11" w:rsidRDefault="00796CAC" w:rsidP="0067482A">
      <w:pPr>
        <w:adjustRightInd w:val="0"/>
        <w:snapToGrid w:val="0"/>
        <w:spacing w:line="360" w:lineRule="auto"/>
        <w:ind w:firstLineChars="200" w:firstLine="480"/>
        <w:rPr>
          <w:rStyle w:val="read"/>
          <w:rFonts w:ascii="宋体"/>
        </w:rPr>
      </w:pPr>
      <w:r w:rsidRPr="00214C11">
        <w:rPr>
          <w:rFonts w:ascii="宋体" w:hAnsi="宋体"/>
          <w:sz w:val="24"/>
        </w:rPr>
        <w:t>1.提名：</w:t>
      </w:r>
      <w:r w:rsidRPr="00214C11">
        <w:rPr>
          <w:rStyle w:val="read"/>
          <w:rFonts w:ascii="宋体"/>
        </w:rPr>
        <w:t>如果基金管理人和基金托管人同时更换，由单独或合计持有基金总份额10%以上</w:t>
      </w:r>
      <w:r w:rsidRPr="00214C11">
        <w:rPr>
          <w:rFonts w:ascii="宋体" w:hAnsi="宋体"/>
          <w:sz w:val="24"/>
        </w:rPr>
        <w:t>(含10%)</w:t>
      </w:r>
      <w:r w:rsidRPr="00214C11">
        <w:rPr>
          <w:rStyle w:val="read"/>
          <w:rFonts w:ascii="宋体"/>
        </w:rPr>
        <w:t>的基金份额持有人提名新的基金管理人和基金托管人；</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2.基金管理人和基金托管人的更换分别按上述程序进行；</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lastRenderedPageBreak/>
        <w:t>3.公告：新任基金管理人和新任基金托管人应在更换基金管理人和基金托管人的基金份额持有人大会决议生效后2</w:t>
      </w:r>
      <w:r w:rsidR="007A33D9" w:rsidRPr="00214C11">
        <w:rPr>
          <w:rFonts w:ascii="宋体" w:hAnsi="宋体" w:cs="Arial" w:hint="eastAsia"/>
          <w:sz w:val="24"/>
          <w:szCs w:val="24"/>
        </w:rPr>
        <w:t>个工作</w:t>
      </w:r>
      <w:r w:rsidRPr="00214C11">
        <w:rPr>
          <w:rFonts w:ascii="宋体" w:hAnsi="宋体" w:hint="eastAsia"/>
          <w:sz w:val="24"/>
        </w:rPr>
        <w:t>日内在指定媒介上联合公告。</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（四）</w:t>
      </w:r>
      <w:r w:rsidR="007A33D9" w:rsidRPr="00214C11">
        <w:rPr>
          <w:rFonts w:ascii="宋体" w:hAnsi="宋体" w:cs="Arial" w:hint="eastAsia"/>
          <w:sz w:val="24"/>
          <w:szCs w:val="24"/>
        </w:rPr>
        <w:t>新</w:t>
      </w:r>
      <w:r w:rsidRPr="00214C11">
        <w:rPr>
          <w:rFonts w:ascii="宋体" w:hAnsi="宋体" w:hint="eastAsia"/>
          <w:sz w:val="24"/>
        </w:rPr>
        <w:t>基金管理人接收基金管理业务或</w:t>
      </w:r>
      <w:r w:rsidR="007A33D9" w:rsidRPr="00214C11">
        <w:rPr>
          <w:rFonts w:ascii="宋体" w:hAnsi="宋体" w:cs="Arial" w:hint="eastAsia"/>
          <w:sz w:val="24"/>
          <w:szCs w:val="24"/>
        </w:rPr>
        <w:t>新</w:t>
      </w:r>
      <w:r w:rsidRPr="00214C11">
        <w:rPr>
          <w:rFonts w:ascii="宋体" w:hAnsi="宋体" w:hint="eastAsia"/>
          <w:sz w:val="24"/>
        </w:rPr>
        <w:t>基金托管人接收基金财产和基金托管业务前，原基金管理人或原基金托管人应继续履行相关职责，并保证不做出对基金份额持有人的利益造成损害的行为。</w:t>
      </w:r>
    </w:p>
    <w:p w:rsidR="00187081" w:rsidRPr="00214C11" w:rsidRDefault="00187081" w:rsidP="0067482A">
      <w:pPr>
        <w:adjustRightInd w:val="0"/>
        <w:snapToGrid w:val="0"/>
        <w:spacing w:line="360" w:lineRule="auto"/>
        <w:rPr>
          <w:rFonts w:ascii="宋体" w:hAnsi="宋体"/>
          <w:sz w:val="24"/>
        </w:rPr>
      </w:pPr>
    </w:p>
    <w:p w:rsidR="00DC3C9F" w:rsidRPr="00214C11" w:rsidRDefault="00DC3C9F" w:rsidP="00310C11">
      <w:pPr>
        <w:keepNext/>
        <w:keepLines/>
        <w:spacing w:before="260" w:after="260" w:line="360" w:lineRule="auto"/>
        <w:jc w:val="center"/>
        <w:outlineLvl w:val="1"/>
        <w:rPr>
          <w:rFonts w:ascii="宋体" w:hAnsi="宋体"/>
          <w:b/>
          <w:sz w:val="30"/>
        </w:rPr>
        <w:sectPr w:rsidR="00DC3C9F" w:rsidRPr="00214C11" w:rsidSect="00A0626A">
          <w:footerReference w:type="default" r:id="rId24"/>
          <w:pgSz w:w="11906" w:h="16838" w:code="9"/>
          <w:pgMar w:top="1418" w:right="1701" w:bottom="1418" w:left="1701" w:header="851" w:footer="992" w:gutter="0"/>
          <w:pgNumType w:start="1"/>
          <w:cols w:space="425"/>
          <w:docGrid w:type="lines" w:linePitch="312"/>
        </w:sectPr>
      </w:pPr>
      <w:bookmarkStart w:id="92" w:name="_Toc124325899"/>
    </w:p>
    <w:p w:rsidR="00187081" w:rsidRPr="00214C11" w:rsidRDefault="00796CAC" w:rsidP="0067482A">
      <w:pPr>
        <w:keepNext/>
        <w:keepLines/>
        <w:spacing w:before="260" w:after="260" w:line="360" w:lineRule="auto"/>
        <w:jc w:val="center"/>
        <w:outlineLvl w:val="1"/>
        <w:rPr>
          <w:rFonts w:ascii="宋体" w:hAnsi="宋体"/>
          <w:sz w:val="30"/>
        </w:rPr>
      </w:pPr>
      <w:r w:rsidRPr="00214C11">
        <w:rPr>
          <w:rFonts w:ascii="宋体" w:hAnsi="宋体" w:hint="eastAsia"/>
          <w:b/>
          <w:sz w:val="30"/>
        </w:rPr>
        <w:lastRenderedPageBreak/>
        <w:t>十五、禁止行为</w:t>
      </w:r>
      <w:bookmarkEnd w:id="92"/>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本协议当事人禁止从事的行为，包括但不限于：</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（一）基金管理人、基金托管人将其固有财产或者他人财产混同于基金财产从事证券投资。</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（二）基金管理人不公平地对待其管理的不同基金财产，基金托管人不公平地对待其托管的不同基金财产。</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（三）基金管理人、基金托管人利用基金财产为基金份额持有人以外的第三人牟取利益。</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（四）基金管理人、基金托管人向基金份额持有人违规承诺收益或者承担损失。</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（五）基金管理人、基金托管人对他人泄漏基金运作和管理过程中任何尚未按法律法规规定的方式公开披露的信息。</w:t>
      </w:r>
    </w:p>
    <w:p w:rsidR="00187081" w:rsidRPr="00214C11" w:rsidRDefault="00796CAC" w:rsidP="0067482A">
      <w:pPr>
        <w:adjustRightInd w:val="0"/>
        <w:snapToGrid w:val="0"/>
        <w:spacing w:line="360" w:lineRule="auto"/>
        <w:ind w:firstLineChars="200" w:firstLine="480"/>
        <w:rPr>
          <w:rFonts w:ascii="宋体" w:hAnsi="宋体"/>
        </w:rPr>
      </w:pPr>
      <w:r w:rsidRPr="00214C11">
        <w:rPr>
          <w:rFonts w:ascii="宋体" w:hAnsi="宋体" w:hint="eastAsia"/>
          <w:sz w:val="24"/>
        </w:rPr>
        <w:t>（六）基金管理人在没有充足资金的情况下向基金托管人发出投资指令和赎回</w:t>
      </w:r>
      <w:r w:rsidR="00A01708" w:rsidRPr="00214C11">
        <w:rPr>
          <w:rFonts w:ascii="宋体" w:hAnsi="宋体" w:hint="eastAsia"/>
          <w:sz w:val="24"/>
        </w:rPr>
        <w:t>、分红</w:t>
      </w:r>
      <w:r w:rsidRPr="00214C11">
        <w:rPr>
          <w:rFonts w:ascii="宋体" w:hAnsi="宋体" w:hint="eastAsia"/>
          <w:sz w:val="24"/>
        </w:rPr>
        <w:t>资金的划拨指令，或违规向基金托管人发出指令。</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（七）基金管理人、基金托管人在行政上、财务上不独立</w:t>
      </w:r>
      <w:r w:rsidRPr="00214C11">
        <w:rPr>
          <w:rFonts w:ascii="宋体" w:hAnsi="宋体"/>
          <w:sz w:val="24"/>
        </w:rPr>
        <w:t xml:space="preserve">, </w:t>
      </w:r>
      <w:r w:rsidRPr="00214C11">
        <w:rPr>
          <w:rFonts w:ascii="宋体" w:hAnsi="宋体" w:hint="eastAsia"/>
          <w:sz w:val="24"/>
        </w:rPr>
        <w:t>其高级管理人员和其他从业人员相互兼职。</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（八）基金托管人私自动用或处分基金财产，根据基金管理人的合法指令、《基金合同》或托管协议的规定进行处分的除外。</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（九）基金财产用于下列投资或者活动：</w:t>
      </w:r>
      <w:r w:rsidRPr="00214C11">
        <w:rPr>
          <w:rFonts w:ascii="宋体" w:hAnsi="宋体"/>
          <w:sz w:val="24"/>
        </w:rPr>
        <w:t>1.</w:t>
      </w:r>
      <w:r w:rsidRPr="00214C11">
        <w:rPr>
          <w:rFonts w:ascii="宋体" w:hAnsi="宋体" w:hint="eastAsia"/>
          <w:sz w:val="24"/>
        </w:rPr>
        <w:t>承销证券；2.违反规定向他人贷款或者提供担保；3.从事承担无限责任的投资；4.买卖其他基金份额，但是</w:t>
      </w:r>
      <w:r w:rsidR="007A33D9" w:rsidRPr="00214C11">
        <w:rPr>
          <w:rFonts w:ascii="宋体" w:hAnsi="宋体" w:cs="Arial"/>
          <w:sz w:val="24"/>
          <w:szCs w:val="24"/>
        </w:rPr>
        <w:t>中国证监会</w:t>
      </w:r>
      <w:r w:rsidRPr="00214C11">
        <w:rPr>
          <w:rFonts w:ascii="宋体" w:hAnsi="宋体" w:hint="eastAsia"/>
          <w:sz w:val="24"/>
        </w:rPr>
        <w:t>另有规定的除外；</w:t>
      </w:r>
      <w:r w:rsidRPr="00214C11">
        <w:rPr>
          <w:rFonts w:ascii="宋体" w:hAnsi="宋体"/>
          <w:sz w:val="24"/>
        </w:rPr>
        <w:t>5.</w:t>
      </w:r>
      <w:r w:rsidRPr="00214C11">
        <w:rPr>
          <w:rFonts w:ascii="宋体" w:hAnsi="宋体" w:hint="eastAsia"/>
          <w:sz w:val="24"/>
        </w:rPr>
        <w:t>向其基金管理人、基金托管人出资；6.从事内幕交易、操纵证券交易价格及其他不正当的证券交易活动；</w:t>
      </w:r>
      <w:r w:rsidR="007A33D9" w:rsidRPr="00214C11">
        <w:rPr>
          <w:rFonts w:ascii="宋体" w:hAnsi="宋体" w:cs="Arial" w:hint="eastAsia"/>
          <w:sz w:val="24"/>
          <w:szCs w:val="24"/>
        </w:rPr>
        <w:t>6</w:t>
      </w:r>
      <w:r w:rsidRPr="00214C11">
        <w:rPr>
          <w:rFonts w:ascii="宋体" w:hAnsi="宋体" w:hint="eastAsia"/>
          <w:sz w:val="24"/>
        </w:rPr>
        <w:t>.法律、行政法规和</w:t>
      </w:r>
      <w:r w:rsidR="007A33D9" w:rsidRPr="00214C11">
        <w:rPr>
          <w:rFonts w:ascii="宋体" w:hAnsi="宋体" w:cs="Arial" w:hint="eastAsia"/>
          <w:sz w:val="24"/>
          <w:szCs w:val="24"/>
        </w:rPr>
        <w:t>中国证监会</w:t>
      </w:r>
      <w:r w:rsidRPr="00214C11">
        <w:rPr>
          <w:rFonts w:ascii="宋体" w:hAnsi="宋体" w:hint="eastAsia"/>
          <w:sz w:val="24"/>
        </w:rPr>
        <w:t>禁止的其他活动。法律</w:t>
      </w:r>
      <w:r w:rsidR="007A33D9" w:rsidRPr="00214C11">
        <w:rPr>
          <w:rFonts w:ascii="宋体" w:hAnsi="宋体" w:cs="Arial" w:hint="eastAsia"/>
          <w:sz w:val="24"/>
          <w:szCs w:val="24"/>
        </w:rPr>
        <w:t>、行政</w:t>
      </w:r>
      <w:r w:rsidRPr="00214C11">
        <w:rPr>
          <w:rFonts w:ascii="宋体" w:hAnsi="宋体" w:hint="eastAsia"/>
          <w:sz w:val="24"/>
        </w:rPr>
        <w:t>法规或监管部门取消上述限制，如适用于本基金，则本基金投资不再受相关限制。</w:t>
      </w:r>
    </w:p>
    <w:p w:rsidR="00DC3C9F" w:rsidRPr="00214C11" w:rsidRDefault="00796CAC" w:rsidP="00DC3C9F">
      <w:pPr>
        <w:adjustRightInd w:val="0"/>
        <w:snapToGrid w:val="0"/>
        <w:spacing w:line="360" w:lineRule="auto"/>
        <w:ind w:firstLineChars="200" w:firstLine="480"/>
        <w:rPr>
          <w:rFonts w:ascii="宋体" w:hAnsi="宋体"/>
          <w:sz w:val="24"/>
        </w:rPr>
        <w:sectPr w:rsidR="00DC3C9F" w:rsidRPr="00214C11" w:rsidSect="00A0626A">
          <w:footerReference w:type="default" r:id="rId25"/>
          <w:pgSz w:w="11906" w:h="16838" w:code="9"/>
          <w:pgMar w:top="1418" w:right="1701" w:bottom="1418" w:left="1701" w:header="851" w:footer="992" w:gutter="0"/>
          <w:pgNumType w:start="1"/>
          <w:cols w:space="425"/>
          <w:docGrid w:type="lines" w:linePitch="312"/>
        </w:sectPr>
      </w:pPr>
      <w:r w:rsidRPr="00214C11">
        <w:rPr>
          <w:rFonts w:ascii="宋体" w:hAnsi="宋体" w:hint="eastAsia"/>
          <w:sz w:val="24"/>
        </w:rPr>
        <w:t>（十）法律法规和《基金合同》禁止的其他行为，以及法律、行政法规</w:t>
      </w:r>
      <w:r w:rsidR="00431591" w:rsidRPr="00214C11">
        <w:rPr>
          <w:rFonts w:ascii="宋体" w:hAnsi="宋体" w:cs="Arial" w:hint="eastAsia"/>
          <w:sz w:val="24"/>
          <w:szCs w:val="24"/>
        </w:rPr>
        <w:t>和中国证监会</w:t>
      </w:r>
      <w:r w:rsidRPr="00214C11">
        <w:rPr>
          <w:rFonts w:ascii="宋体" w:hAnsi="宋体" w:hint="eastAsia"/>
          <w:sz w:val="24"/>
        </w:rPr>
        <w:t>规定禁止基金管理人、基金托管人从事的其他行为。</w:t>
      </w:r>
      <w:bookmarkStart w:id="93" w:name="_Toc124325900"/>
    </w:p>
    <w:p w:rsidR="00187081" w:rsidRPr="00214C11" w:rsidRDefault="00796CAC" w:rsidP="0067482A">
      <w:pPr>
        <w:keepNext/>
        <w:keepLines/>
        <w:spacing w:before="260" w:after="260" w:line="360" w:lineRule="auto"/>
        <w:jc w:val="center"/>
        <w:outlineLvl w:val="1"/>
        <w:rPr>
          <w:rFonts w:ascii="宋体" w:hAnsi="宋体"/>
          <w:sz w:val="30"/>
        </w:rPr>
      </w:pPr>
      <w:r w:rsidRPr="00214C11">
        <w:rPr>
          <w:rFonts w:ascii="宋体" w:hAnsi="宋体" w:hint="eastAsia"/>
          <w:b/>
          <w:sz w:val="30"/>
        </w:rPr>
        <w:lastRenderedPageBreak/>
        <w:t>十六、托管协议的变更、终止与基金财产的清算</w:t>
      </w:r>
      <w:bookmarkEnd w:id="93"/>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（一）托管协议的变更程序</w:t>
      </w:r>
    </w:p>
    <w:p w:rsidR="00187081" w:rsidRPr="00214C11" w:rsidRDefault="00796CAC" w:rsidP="0067482A">
      <w:pPr>
        <w:adjustRightInd w:val="0"/>
        <w:snapToGrid w:val="0"/>
        <w:spacing w:line="360" w:lineRule="auto"/>
        <w:ind w:firstLineChars="200" w:firstLine="480"/>
        <w:rPr>
          <w:rFonts w:ascii="宋体" w:hAnsi="宋体"/>
          <w:sz w:val="30"/>
        </w:rPr>
      </w:pPr>
      <w:r w:rsidRPr="00214C11">
        <w:rPr>
          <w:rFonts w:ascii="宋体" w:hAnsi="宋体" w:hint="eastAsia"/>
          <w:sz w:val="24"/>
        </w:rPr>
        <w:t>本协议双方当事人经协商一致，可以对协议进行修改。修改后的新协议，其内容不得与《基金合同》的规定有任何冲突。基金托管协议的变更报中国证监会备案。</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（二）</w:t>
      </w:r>
      <w:r w:rsidR="007A33D9" w:rsidRPr="00214C11">
        <w:rPr>
          <w:rFonts w:ascii="宋体" w:hAnsi="宋体" w:cs="Arial" w:hint="eastAsia"/>
          <w:sz w:val="24"/>
          <w:szCs w:val="24"/>
        </w:rPr>
        <w:t>基金</w:t>
      </w:r>
      <w:r w:rsidRPr="00214C11">
        <w:rPr>
          <w:rFonts w:ascii="宋体" w:hAnsi="宋体" w:hint="eastAsia"/>
          <w:sz w:val="24"/>
        </w:rPr>
        <w:t>托管协议终止</w:t>
      </w:r>
      <w:r w:rsidR="007A33D9" w:rsidRPr="00214C11">
        <w:rPr>
          <w:rFonts w:ascii="宋体" w:hAnsi="宋体" w:cs="Arial" w:hint="eastAsia"/>
          <w:sz w:val="24"/>
          <w:szCs w:val="24"/>
        </w:rPr>
        <w:t>出现</w:t>
      </w:r>
      <w:r w:rsidRPr="00214C11">
        <w:rPr>
          <w:rFonts w:ascii="宋体" w:hAnsi="宋体" w:hint="eastAsia"/>
          <w:sz w:val="24"/>
        </w:rPr>
        <w:t>的情形</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1.《基金合同》终止；</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2.基金托管人解散、依法被撤销、破产或由其他基金托管人接管基金资产；</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3.基金管理人解散、依法被撤销、破产或由其他基金管理人接管基金管理权；</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4.发生法律法规或《基金合同》规定的终止事项。</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（三）基金财产的清算</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1.基金财产清算小组：自出现《基金合同》终止事由之日起30个工作日内成立清算小组，基金管理人组织基金财产清算小组并在中国证监会的监督下进行基金清算。</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3.基金财产清算小组职责：基金财产清算小组负责基金财产的保管、清理、估价、变现和分配。基金财产清算小组可以依法进行必要的民事活动。</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4.基金财产清算程序：</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(1)《基金合同》终止情形出现时，由基金财产清算小组统一接管基金；</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(2)对基金财产和债权债务进行清理和确认；</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(3)对基金财产进行估值和变现；</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(4)制作清算报告；</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(5)聘请会计师事务所对清算报告进行外部审计，聘请律师事务所对清算报告出具法律意见书；</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(6)将清算结果报中国证监会备案并公告；</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(7)对基金</w:t>
      </w:r>
      <w:r w:rsidR="007A33D9" w:rsidRPr="00214C11">
        <w:rPr>
          <w:rFonts w:ascii="宋体" w:hAnsi="宋体" w:cs="Arial" w:hint="eastAsia"/>
          <w:sz w:val="24"/>
          <w:szCs w:val="24"/>
        </w:rPr>
        <w:t>剩余</w:t>
      </w:r>
      <w:r w:rsidRPr="00214C11">
        <w:rPr>
          <w:rFonts w:ascii="宋体" w:hAnsi="宋体" w:hint="eastAsia"/>
          <w:sz w:val="24"/>
        </w:rPr>
        <w:t>财产进行分配。</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lastRenderedPageBreak/>
        <w:t>5.基金财产清算的期限为</w:t>
      </w:r>
      <w:r w:rsidR="007A33D9" w:rsidRPr="00214C11">
        <w:rPr>
          <w:rFonts w:ascii="宋体" w:hAnsi="宋体" w:cs="Arial" w:hint="eastAsia"/>
          <w:sz w:val="24"/>
          <w:szCs w:val="24"/>
        </w:rPr>
        <w:t>6</w:t>
      </w:r>
      <w:r w:rsidRPr="00214C11">
        <w:rPr>
          <w:rFonts w:ascii="宋体" w:hAnsi="宋体" w:hint="eastAsia"/>
          <w:sz w:val="24"/>
        </w:rPr>
        <w:t>个月。</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6.清算费用</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清算费用是指基金财产清算小组在进行基金清算过程中发生的所有合理费用，清算费用由基金财产清算小组优先从基金财产中支付。</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7.基金财产清算剩余资产的分配：</w:t>
      </w:r>
    </w:p>
    <w:p w:rsidR="00187081" w:rsidRPr="00214C11" w:rsidRDefault="00796CAC" w:rsidP="0067482A">
      <w:pPr>
        <w:autoSpaceDE w:val="0"/>
        <w:autoSpaceDN w:val="0"/>
        <w:adjustRightInd w:val="0"/>
        <w:spacing w:line="360" w:lineRule="auto"/>
        <w:ind w:firstLineChars="200" w:firstLine="480"/>
        <w:jc w:val="left"/>
        <w:rPr>
          <w:rFonts w:ascii="宋体" w:hAnsi="宋体"/>
          <w:sz w:val="24"/>
        </w:rPr>
      </w:pPr>
      <w:r w:rsidRPr="00214C11">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r w:rsidRPr="00214C11">
        <w:rPr>
          <w:rFonts w:ascii="宋体" w:hAnsi="宋体" w:hint="eastAsia"/>
          <w:sz w:val="24"/>
        </w:rPr>
        <w:t>。</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8.基金财产清算的公告</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7A33D9" w:rsidRPr="00214C11">
        <w:rPr>
          <w:rFonts w:ascii="宋体" w:hAnsi="宋体" w:cs="Arial" w:hint="eastAsia"/>
          <w:sz w:val="24"/>
          <w:szCs w:val="24"/>
        </w:rPr>
        <w:t>5</w:t>
      </w:r>
      <w:r w:rsidRPr="00214C11">
        <w:rPr>
          <w:rFonts w:ascii="宋体" w:hAnsi="宋体" w:hint="eastAsia"/>
          <w:sz w:val="24"/>
        </w:rPr>
        <w:t>个工作日内由基金财产清算小组进行公告。</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9.基金财产清算账册及文件的保存</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基金财产清算账册及有关文件由基金托管人保存</w:t>
      </w:r>
      <w:r w:rsidRPr="00214C11">
        <w:rPr>
          <w:rFonts w:ascii="宋体" w:hAnsi="宋体"/>
          <w:sz w:val="24"/>
        </w:rPr>
        <w:t>15年以上。</w:t>
      </w:r>
    </w:p>
    <w:p w:rsidR="00187081" w:rsidRPr="00214C11" w:rsidRDefault="00187081" w:rsidP="0067482A">
      <w:pPr>
        <w:adjustRightInd w:val="0"/>
        <w:snapToGrid w:val="0"/>
        <w:spacing w:line="360" w:lineRule="auto"/>
        <w:rPr>
          <w:rFonts w:ascii="宋体" w:hAnsi="宋体"/>
          <w:sz w:val="24"/>
        </w:rPr>
      </w:pPr>
    </w:p>
    <w:p w:rsidR="00D150EA" w:rsidRPr="00214C11" w:rsidRDefault="00D150EA" w:rsidP="00310C11">
      <w:pPr>
        <w:keepNext/>
        <w:keepLines/>
        <w:spacing w:before="260" w:after="260" w:line="360" w:lineRule="auto"/>
        <w:jc w:val="center"/>
        <w:outlineLvl w:val="1"/>
        <w:rPr>
          <w:rFonts w:ascii="宋体" w:hAnsi="宋体"/>
          <w:b/>
          <w:sz w:val="30"/>
        </w:rPr>
        <w:sectPr w:rsidR="00D150EA" w:rsidRPr="00214C11" w:rsidSect="00A0626A">
          <w:footerReference w:type="default" r:id="rId26"/>
          <w:pgSz w:w="11906" w:h="16838" w:code="9"/>
          <w:pgMar w:top="1418" w:right="1701" w:bottom="1418" w:left="1701" w:header="851" w:footer="992" w:gutter="0"/>
          <w:pgNumType w:start="1"/>
          <w:cols w:space="425"/>
          <w:docGrid w:type="lines" w:linePitch="312"/>
        </w:sectPr>
      </w:pPr>
      <w:bookmarkStart w:id="94" w:name="_Toc124325901"/>
    </w:p>
    <w:p w:rsidR="00187081" w:rsidRPr="00214C11" w:rsidRDefault="00796CAC" w:rsidP="0067482A">
      <w:pPr>
        <w:keepNext/>
        <w:keepLines/>
        <w:spacing w:before="260" w:after="260" w:line="360" w:lineRule="auto"/>
        <w:jc w:val="center"/>
        <w:outlineLvl w:val="1"/>
        <w:rPr>
          <w:rFonts w:ascii="宋体" w:hAnsi="宋体"/>
          <w:sz w:val="30"/>
        </w:rPr>
      </w:pPr>
      <w:r w:rsidRPr="00214C11">
        <w:rPr>
          <w:rFonts w:ascii="宋体" w:hAnsi="宋体" w:hint="eastAsia"/>
          <w:b/>
          <w:sz w:val="30"/>
        </w:rPr>
        <w:lastRenderedPageBreak/>
        <w:t>十七、违约责任</w:t>
      </w:r>
      <w:bookmarkEnd w:id="94"/>
    </w:p>
    <w:p w:rsidR="00187081" w:rsidRPr="00214C11" w:rsidRDefault="00796CAC" w:rsidP="0067482A">
      <w:pPr>
        <w:adjustRightInd w:val="0"/>
        <w:snapToGrid w:val="0"/>
        <w:spacing w:line="360" w:lineRule="auto"/>
        <w:ind w:firstLineChars="200" w:firstLine="480"/>
        <w:outlineLvl w:val="0"/>
        <w:rPr>
          <w:rFonts w:ascii="宋体" w:hAnsi="宋体"/>
          <w:sz w:val="24"/>
        </w:rPr>
      </w:pPr>
      <w:r w:rsidRPr="00214C11">
        <w:rPr>
          <w:rFonts w:ascii="宋体" w:hAnsi="宋体" w:hint="eastAsia"/>
          <w:sz w:val="24"/>
        </w:rPr>
        <w:t>（一）基金管理人、基金托管人不履行本协议或履行本协议不符合约定的，应当承担违约责任。</w:t>
      </w:r>
    </w:p>
    <w:p w:rsidR="00187081" w:rsidRPr="00214C11" w:rsidRDefault="00796CAC" w:rsidP="0067482A">
      <w:pPr>
        <w:adjustRightInd w:val="0"/>
        <w:snapToGrid w:val="0"/>
        <w:spacing w:line="360" w:lineRule="auto"/>
        <w:ind w:firstLineChars="200" w:firstLine="480"/>
        <w:outlineLvl w:val="0"/>
        <w:rPr>
          <w:rFonts w:ascii="宋体" w:hAnsi="宋体"/>
          <w:sz w:val="24"/>
        </w:rPr>
      </w:pPr>
      <w:r w:rsidRPr="00214C11">
        <w:rPr>
          <w:rFonts w:ascii="宋体" w:hAnsi="宋体"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7A33D9" w:rsidRPr="00214C11">
        <w:rPr>
          <w:rFonts w:ascii="宋体" w:hAnsi="宋体" w:cs="Arial"/>
          <w:sz w:val="24"/>
          <w:szCs w:val="24"/>
        </w:rPr>
        <w:t>对损失的赔偿，仅限于直接损失。</w:t>
      </w:r>
    </w:p>
    <w:p w:rsidR="00187081" w:rsidRPr="00214C11" w:rsidRDefault="00796CAC" w:rsidP="0067482A">
      <w:pPr>
        <w:adjustRightInd w:val="0"/>
        <w:snapToGrid w:val="0"/>
        <w:spacing w:line="360" w:lineRule="auto"/>
        <w:ind w:firstLineChars="200" w:firstLine="480"/>
        <w:outlineLvl w:val="0"/>
        <w:rPr>
          <w:rFonts w:ascii="宋体" w:hAnsi="宋体"/>
          <w:sz w:val="24"/>
        </w:rPr>
      </w:pPr>
      <w:r w:rsidRPr="00214C11">
        <w:rPr>
          <w:rFonts w:ascii="宋体" w:hAnsi="宋体"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w:t>
      </w:r>
      <w:r w:rsidR="007A33D9" w:rsidRPr="00214C11">
        <w:rPr>
          <w:rFonts w:ascii="宋体" w:hAnsi="宋体" w:cs="Arial" w:hint="eastAsia"/>
          <w:sz w:val="24"/>
          <w:szCs w:val="24"/>
        </w:rPr>
        <w:t>可以</w:t>
      </w:r>
      <w:r w:rsidRPr="00214C11">
        <w:rPr>
          <w:rFonts w:ascii="宋体" w:hAnsi="宋体" w:hint="eastAsia"/>
          <w:sz w:val="24"/>
        </w:rPr>
        <w:t>免责：</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1.不可抗力；</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2.基金管理人、基金托管人按照当时有效的法律法规或中国证监会的规定作为或不作为而造成的损失等；</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sz w:val="24"/>
        </w:rPr>
        <w:t>3.</w:t>
      </w:r>
      <w:r w:rsidRPr="00214C11">
        <w:rPr>
          <w:rFonts w:ascii="宋体" w:hAnsi="宋体" w:hint="eastAsia"/>
          <w:sz w:val="24"/>
        </w:rPr>
        <w:t>基金管理人由于按照《基金合同》规定的投资原则投资或不投资造成的损失等</w:t>
      </w:r>
      <w:r w:rsidR="00164713" w:rsidRPr="00214C11">
        <w:rPr>
          <w:rFonts w:ascii="宋体" w:hAnsi="宋体" w:hint="eastAsia"/>
          <w:sz w:val="24"/>
        </w:rPr>
        <w:t>；</w:t>
      </w:r>
    </w:p>
    <w:p w:rsidR="00E90C76" w:rsidRPr="00214C11" w:rsidRDefault="00E90C76" w:rsidP="00E979E9">
      <w:pPr>
        <w:adjustRightInd w:val="0"/>
        <w:snapToGrid w:val="0"/>
        <w:spacing w:line="360" w:lineRule="auto"/>
        <w:ind w:firstLineChars="200" w:firstLine="480"/>
        <w:rPr>
          <w:rFonts w:ascii="宋体" w:hAnsi="宋体"/>
          <w:sz w:val="24"/>
        </w:rPr>
      </w:pPr>
      <w:r w:rsidRPr="00214C11">
        <w:rPr>
          <w:rFonts w:ascii="宋体" w:hAnsi="宋体"/>
          <w:sz w:val="24"/>
        </w:rPr>
        <w:t>4.非因基金管理人、基金托管人的故意或重大过失造成的计算机系统故障、网络故障、通讯故障、电力故障、计算机病毒攻击及其它意外事故所导致的损失等。</w:t>
      </w:r>
    </w:p>
    <w:p w:rsidR="00187081" w:rsidRPr="00214C11" w:rsidRDefault="00796CAC" w:rsidP="00E979E9">
      <w:pPr>
        <w:adjustRightInd w:val="0"/>
        <w:snapToGrid w:val="0"/>
        <w:spacing w:line="360" w:lineRule="auto"/>
        <w:ind w:firstLineChars="200" w:firstLine="480"/>
        <w:rPr>
          <w:rFonts w:ascii="宋体" w:hAnsi="宋体"/>
          <w:sz w:val="24"/>
        </w:rPr>
      </w:pPr>
      <w:r w:rsidRPr="00214C11">
        <w:rPr>
          <w:rFonts w:ascii="宋体" w:hAnsi="宋体" w:hint="eastAsia"/>
          <w:sz w:val="24"/>
        </w:rPr>
        <w:t>（四）一方当事人违约，另一方当事人在职责范围内有义务及时采取必要的措施，尽力防止损失的扩大。</w:t>
      </w:r>
      <w:r w:rsidR="00E90C76" w:rsidRPr="00214C11">
        <w:rPr>
          <w:rFonts w:ascii="宋体" w:hAnsi="宋体" w:hint="eastAsia"/>
          <w:sz w:val="24"/>
        </w:rPr>
        <w:t>没有采取适当措施致使损失进一步扩大的，不得就扩大的损失要求赔偿。非违约方因防止损失扩大而支出的合理费用由违约方承担。</w:t>
      </w:r>
    </w:p>
    <w:p w:rsidR="00187081" w:rsidRPr="00214C11" w:rsidRDefault="00796CAC" w:rsidP="0067482A">
      <w:pPr>
        <w:adjustRightInd w:val="0"/>
        <w:snapToGrid w:val="0"/>
        <w:spacing w:line="360" w:lineRule="auto"/>
        <w:ind w:firstLineChars="200" w:firstLine="480"/>
        <w:outlineLvl w:val="0"/>
        <w:rPr>
          <w:rFonts w:ascii="宋体" w:hAnsi="宋体"/>
          <w:sz w:val="24"/>
        </w:rPr>
      </w:pPr>
      <w:r w:rsidRPr="00214C11">
        <w:rPr>
          <w:rFonts w:ascii="宋体" w:hAnsi="宋体" w:hint="eastAsia"/>
          <w:sz w:val="24"/>
        </w:rPr>
        <w:t>（五）违约行为虽已发生，但本托管协议能够继续履行的，在最大限度地保护基金份额持有人利益的前提下，基金管理人和基金托管人应当继续履行本协议。</w:t>
      </w:r>
    </w:p>
    <w:p w:rsidR="00187081" w:rsidRPr="00214C11" w:rsidRDefault="00796CAC" w:rsidP="0067482A">
      <w:pPr>
        <w:adjustRightInd w:val="0"/>
        <w:snapToGrid w:val="0"/>
        <w:spacing w:line="360" w:lineRule="auto"/>
        <w:ind w:firstLineChars="200" w:firstLine="480"/>
        <w:outlineLvl w:val="0"/>
        <w:rPr>
          <w:rFonts w:ascii="宋体" w:hAnsi="宋体"/>
          <w:sz w:val="24"/>
        </w:rPr>
      </w:pPr>
      <w:r w:rsidRPr="00214C11">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7A33D9" w:rsidRPr="00214C11">
        <w:rPr>
          <w:rFonts w:ascii="宋体" w:hAnsi="宋体" w:cs="Arial" w:hint="eastAsia"/>
          <w:sz w:val="24"/>
          <w:szCs w:val="24"/>
        </w:rPr>
        <w:t>消除或</w:t>
      </w:r>
      <w:r w:rsidRPr="00214C11">
        <w:rPr>
          <w:rFonts w:ascii="宋体" w:hAnsi="宋体" w:hint="eastAsia"/>
          <w:sz w:val="24"/>
        </w:rPr>
        <w:t>减轻由此造成的影响。</w:t>
      </w:r>
    </w:p>
    <w:p w:rsidR="00D150EA" w:rsidRPr="00214C11" w:rsidRDefault="00D150EA" w:rsidP="00310C11">
      <w:pPr>
        <w:keepNext/>
        <w:keepLines/>
        <w:spacing w:before="260" w:after="260" w:line="360" w:lineRule="auto"/>
        <w:jc w:val="center"/>
        <w:outlineLvl w:val="1"/>
        <w:rPr>
          <w:rFonts w:ascii="宋体" w:hAnsi="宋体"/>
          <w:b/>
          <w:sz w:val="30"/>
        </w:rPr>
        <w:sectPr w:rsidR="00D150EA" w:rsidRPr="00214C11" w:rsidSect="00A0626A">
          <w:footerReference w:type="default" r:id="rId27"/>
          <w:pgSz w:w="11906" w:h="16838" w:code="9"/>
          <w:pgMar w:top="1418" w:right="1701" w:bottom="1418" w:left="1701" w:header="851" w:footer="992" w:gutter="0"/>
          <w:pgNumType w:start="1"/>
          <w:cols w:space="425"/>
          <w:docGrid w:type="lines" w:linePitch="312"/>
        </w:sectPr>
      </w:pPr>
      <w:bookmarkStart w:id="95" w:name="_Toc124325902"/>
    </w:p>
    <w:p w:rsidR="00187081" w:rsidRPr="00214C11" w:rsidRDefault="00796CAC" w:rsidP="0067482A">
      <w:pPr>
        <w:keepNext/>
        <w:keepLines/>
        <w:spacing w:before="260" w:after="260" w:line="360" w:lineRule="auto"/>
        <w:jc w:val="center"/>
        <w:outlineLvl w:val="1"/>
        <w:rPr>
          <w:rFonts w:ascii="宋体" w:hAnsi="宋体"/>
          <w:sz w:val="30"/>
        </w:rPr>
      </w:pPr>
      <w:r w:rsidRPr="00214C11">
        <w:rPr>
          <w:rFonts w:ascii="宋体" w:hAnsi="宋体" w:hint="eastAsia"/>
          <w:b/>
          <w:sz w:val="30"/>
        </w:rPr>
        <w:lastRenderedPageBreak/>
        <w:t>十八、争议解决方式</w:t>
      </w:r>
      <w:bookmarkEnd w:id="95"/>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本协议受中国法律管辖。</w:t>
      </w:r>
    </w:p>
    <w:p w:rsidR="00187081" w:rsidRPr="00214C11" w:rsidRDefault="00187081" w:rsidP="0067482A">
      <w:pPr>
        <w:adjustRightInd w:val="0"/>
        <w:snapToGrid w:val="0"/>
        <w:spacing w:line="360" w:lineRule="auto"/>
        <w:rPr>
          <w:rFonts w:ascii="宋体" w:hAnsi="宋体"/>
          <w:sz w:val="24"/>
        </w:rPr>
      </w:pPr>
    </w:p>
    <w:p w:rsidR="00D150EA" w:rsidRPr="00214C11" w:rsidRDefault="00D150EA" w:rsidP="00310C11">
      <w:pPr>
        <w:keepNext/>
        <w:keepLines/>
        <w:spacing w:before="260" w:after="260" w:line="360" w:lineRule="auto"/>
        <w:jc w:val="center"/>
        <w:outlineLvl w:val="1"/>
        <w:rPr>
          <w:rFonts w:ascii="宋体" w:hAnsi="宋体"/>
          <w:b/>
          <w:sz w:val="30"/>
        </w:rPr>
        <w:sectPr w:rsidR="00D150EA" w:rsidRPr="00214C11" w:rsidSect="00A0626A">
          <w:footerReference w:type="default" r:id="rId28"/>
          <w:pgSz w:w="11906" w:h="16838" w:code="9"/>
          <w:pgMar w:top="1418" w:right="1701" w:bottom="1418" w:left="1701" w:header="851" w:footer="992" w:gutter="0"/>
          <w:pgNumType w:start="1"/>
          <w:cols w:space="425"/>
          <w:docGrid w:type="lines" w:linePitch="312"/>
        </w:sectPr>
      </w:pPr>
      <w:bookmarkStart w:id="96" w:name="_Toc124325903"/>
    </w:p>
    <w:p w:rsidR="00187081" w:rsidRPr="00214C11" w:rsidRDefault="00796CAC" w:rsidP="0067482A">
      <w:pPr>
        <w:keepNext/>
        <w:keepLines/>
        <w:spacing w:before="260" w:after="260" w:line="360" w:lineRule="auto"/>
        <w:jc w:val="center"/>
        <w:outlineLvl w:val="1"/>
        <w:rPr>
          <w:rFonts w:ascii="宋体" w:hAnsi="宋体"/>
          <w:sz w:val="30"/>
        </w:rPr>
      </w:pPr>
      <w:r w:rsidRPr="00214C11">
        <w:rPr>
          <w:rFonts w:ascii="宋体" w:hAnsi="宋体" w:hint="eastAsia"/>
          <w:b/>
          <w:sz w:val="30"/>
        </w:rPr>
        <w:lastRenderedPageBreak/>
        <w:t>十九、托管协议的效力</w:t>
      </w:r>
      <w:bookmarkEnd w:id="96"/>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双方对托管协议的效力约定如下：</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（一）基金管理人在向中国证监会申请发售基金份额时提交的托管协议草案，应经托管协议当事人双方盖章以及双方法定代表人或授权代表</w:t>
      </w:r>
      <w:r w:rsidR="007A33D9" w:rsidRPr="00214C11">
        <w:rPr>
          <w:rFonts w:ascii="宋体" w:hAnsi="宋体" w:cs="Arial" w:hint="eastAsia"/>
          <w:sz w:val="24"/>
          <w:szCs w:val="24"/>
        </w:rPr>
        <w:t>签章，</w:t>
      </w:r>
      <w:r w:rsidRPr="00214C11">
        <w:rPr>
          <w:rFonts w:ascii="宋体" w:hAnsi="宋体" w:hint="eastAsia"/>
          <w:sz w:val="24"/>
        </w:rPr>
        <w:t>协议当事人双方根据中国证监会的意见修改托管协议草案。托管协议以中国证监会</w:t>
      </w:r>
      <w:r w:rsidR="009F30AF" w:rsidRPr="00214C11">
        <w:rPr>
          <w:rFonts w:ascii="宋体" w:hAnsi="宋体" w:hint="eastAsia"/>
          <w:sz w:val="24"/>
        </w:rPr>
        <w:t>注册</w:t>
      </w:r>
      <w:r w:rsidRPr="00214C11">
        <w:rPr>
          <w:rFonts w:ascii="宋体" w:hAnsi="宋体" w:hint="eastAsia"/>
          <w:sz w:val="24"/>
        </w:rPr>
        <w:t>的文本为正式文本。</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（三）托管协议自生效之日起对托管协议当事人具有同等的法律约束力。</w:t>
      </w:r>
    </w:p>
    <w:p w:rsidR="00187081" w:rsidRPr="00214C11" w:rsidRDefault="00796CAC" w:rsidP="0067482A">
      <w:pPr>
        <w:adjustRightInd w:val="0"/>
        <w:snapToGrid w:val="0"/>
        <w:spacing w:line="360" w:lineRule="auto"/>
        <w:ind w:firstLineChars="200" w:firstLine="480"/>
        <w:rPr>
          <w:rFonts w:ascii="宋体" w:hAnsi="宋体"/>
          <w:sz w:val="30"/>
        </w:rPr>
      </w:pPr>
      <w:r w:rsidRPr="00214C11">
        <w:rPr>
          <w:rFonts w:ascii="宋体" w:hAnsi="宋体" w:hint="eastAsia"/>
          <w:sz w:val="24"/>
        </w:rPr>
        <w:t>（四）本协议一式六份，协议双方各持二份，上报监管机构二份，每份具有同等的法律效力。</w:t>
      </w:r>
    </w:p>
    <w:p w:rsidR="00187081" w:rsidRPr="00214C11" w:rsidRDefault="00187081" w:rsidP="0067482A">
      <w:pPr>
        <w:adjustRightInd w:val="0"/>
        <w:snapToGrid w:val="0"/>
        <w:spacing w:line="360" w:lineRule="auto"/>
        <w:rPr>
          <w:rFonts w:ascii="宋体" w:hAnsi="宋体"/>
          <w:sz w:val="24"/>
        </w:rPr>
      </w:pPr>
    </w:p>
    <w:p w:rsidR="00D150EA" w:rsidRPr="00214C11" w:rsidRDefault="00D150EA" w:rsidP="00310C11">
      <w:pPr>
        <w:keepNext/>
        <w:keepLines/>
        <w:spacing w:before="260" w:after="260" w:line="360" w:lineRule="auto"/>
        <w:jc w:val="center"/>
        <w:outlineLvl w:val="1"/>
        <w:rPr>
          <w:rFonts w:ascii="宋体" w:hAnsi="宋体"/>
          <w:b/>
          <w:sz w:val="30"/>
        </w:rPr>
        <w:sectPr w:rsidR="00D150EA" w:rsidRPr="00214C11" w:rsidSect="00A0626A">
          <w:footerReference w:type="default" r:id="rId29"/>
          <w:pgSz w:w="11906" w:h="16838" w:code="9"/>
          <w:pgMar w:top="1418" w:right="1701" w:bottom="1418" w:left="1701" w:header="851" w:footer="992" w:gutter="0"/>
          <w:pgNumType w:start="1"/>
          <w:cols w:space="425"/>
          <w:docGrid w:type="lines" w:linePitch="312"/>
        </w:sectPr>
      </w:pPr>
      <w:bookmarkStart w:id="97" w:name="_Toc124325904"/>
    </w:p>
    <w:p w:rsidR="00187081" w:rsidRPr="00214C11" w:rsidRDefault="00796CAC" w:rsidP="0067482A">
      <w:pPr>
        <w:keepNext/>
        <w:keepLines/>
        <w:spacing w:before="260" w:after="260" w:line="360" w:lineRule="auto"/>
        <w:jc w:val="center"/>
        <w:outlineLvl w:val="1"/>
        <w:rPr>
          <w:rFonts w:ascii="宋体" w:hAnsi="宋体"/>
          <w:sz w:val="30"/>
        </w:rPr>
      </w:pPr>
      <w:r w:rsidRPr="00214C11">
        <w:rPr>
          <w:rFonts w:ascii="宋体" w:hAnsi="宋体" w:hint="eastAsia"/>
          <w:b/>
          <w:sz w:val="30"/>
        </w:rPr>
        <w:lastRenderedPageBreak/>
        <w:t>二十、其他事项</w:t>
      </w:r>
      <w:bookmarkEnd w:id="97"/>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如发生有权司法机关依法冻结基金份额持有人的基金份额时，基金管理人应予以配合，承担司法协助义务。</w:t>
      </w:r>
    </w:p>
    <w:p w:rsidR="00187081" w:rsidRPr="00214C11" w:rsidRDefault="00796CAC" w:rsidP="0067482A">
      <w:pPr>
        <w:adjustRightInd w:val="0"/>
        <w:snapToGrid w:val="0"/>
        <w:spacing w:line="360" w:lineRule="auto"/>
        <w:ind w:firstLineChars="200" w:firstLine="480"/>
        <w:rPr>
          <w:rFonts w:ascii="宋体" w:hAnsi="宋体"/>
          <w:sz w:val="24"/>
        </w:rPr>
      </w:pPr>
      <w:r w:rsidRPr="00214C11">
        <w:rPr>
          <w:rFonts w:ascii="宋体" w:hAnsi="宋体" w:hint="eastAsia"/>
          <w:sz w:val="24"/>
        </w:rPr>
        <w:t>除本协议有明确定义外，本协议的用语定义适用《基金合同》的约定。本协议未尽事宜，当事人依据《基金合同》、有关法律法规等规定协商办理。</w:t>
      </w:r>
    </w:p>
    <w:p w:rsidR="00187081" w:rsidRPr="00214C11" w:rsidRDefault="00187081" w:rsidP="0067482A">
      <w:pPr>
        <w:adjustRightInd w:val="0"/>
        <w:snapToGrid w:val="0"/>
        <w:spacing w:line="360" w:lineRule="auto"/>
        <w:rPr>
          <w:rFonts w:ascii="宋体" w:hAnsi="宋体"/>
          <w:b/>
        </w:rPr>
      </w:pPr>
    </w:p>
    <w:p w:rsidR="00D150EA" w:rsidRPr="00214C11" w:rsidRDefault="00D150EA" w:rsidP="00310C11">
      <w:pPr>
        <w:keepNext/>
        <w:keepLines/>
        <w:spacing w:before="260" w:after="260" w:line="360" w:lineRule="auto"/>
        <w:jc w:val="center"/>
        <w:outlineLvl w:val="1"/>
        <w:rPr>
          <w:rFonts w:ascii="宋体" w:hAnsi="宋体"/>
          <w:b/>
          <w:sz w:val="30"/>
        </w:rPr>
        <w:sectPr w:rsidR="00D150EA" w:rsidRPr="00214C11" w:rsidSect="00A0626A">
          <w:footerReference w:type="default" r:id="rId30"/>
          <w:pgSz w:w="11906" w:h="16838" w:code="9"/>
          <w:pgMar w:top="1418" w:right="1701" w:bottom="1418" w:left="1701" w:header="851" w:footer="992" w:gutter="0"/>
          <w:pgNumType w:start="1"/>
          <w:cols w:space="425"/>
          <w:docGrid w:type="lines" w:linePitch="312"/>
        </w:sectPr>
      </w:pPr>
      <w:bookmarkStart w:id="98" w:name="_Toc124325905"/>
    </w:p>
    <w:p w:rsidR="00187081" w:rsidRPr="00214C11" w:rsidRDefault="00796CAC" w:rsidP="0067482A">
      <w:pPr>
        <w:keepNext/>
        <w:keepLines/>
        <w:spacing w:before="260" w:after="260" w:line="360" w:lineRule="auto"/>
        <w:jc w:val="center"/>
        <w:outlineLvl w:val="1"/>
        <w:rPr>
          <w:rFonts w:ascii="宋体" w:hAnsi="宋体"/>
          <w:sz w:val="30"/>
        </w:rPr>
      </w:pPr>
      <w:r w:rsidRPr="00214C11">
        <w:rPr>
          <w:rFonts w:ascii="宋体" w:hAnsi="宋体" w:hint="eastAsia"/>
          <w:b/>
          <w:sz w:val="30"/>
        </w:rPr>
        <w:lastRenderedPageBreak/>
        <w:t>二十一、托管协议的签订</w:t>
      </w:r>
      <w:bookmarkEnd w:id="98"/>
    </w:p>
    <w:p w:rsidR="00187081" w:rsidRPr="00214C11" w:rsidRDefault="00796CAC" w:rsidP="0067482A">
      <w:pPr>
        <w:adjustRightInd w:val="0"/>
        <w:snapToGrid w:val="0"/>
        <w:ind w:firstLineChars="200" w:firstLine="480"/>
        <w:rPr>
          <w:rFonts w:ascii="彩虹粗仿宋" w:eastAsia="彩虹粗仿宋" w:hAnsi="宋体" w:cs="Arial"/>
          <w:sz w:val="24"/>
        </w:rPr>
      </w:pPr>
      <w:r w:rsidRPr="00214C11">
        <w:rPr>
          <w:rFonts w:ascii="宋体" w:hAnsi="宋体" w:hint="eastAsia"/>
          <w:sz w:val="24"/>
        </w:rPr>
        <w:t>本协议双方法定代表人或授权代表签章、签订地、签订日</w:t>
      </w:r>
      <w:r w:rsidR="00A42226">
        <w:rPr>
          <w:rFonts w:ascii="宋体" w:hAnsi="宋体" w:hint="eastAsia"/>
          <w:sz w:val="24"/>
        </w:rPr>
        <w:t>。</w:t>
      </w:r>
      <w:bookmarkStart w:id="99" w:name="_GoBack"/>
      <w:bookmarkEnd w:id="99"/>
    </w:p>
    <w:p w:rsidR="00187081" w:rsidRPr="0067482A" w:rsidRDefault="00187081" w:rsidP="00A42226">
      <w:pPr>
        <w:adjustRightInd w:val="0"/>
        <w:snapToGrid w:val="0"/>
        <w:spacing w:line="360" w:lineRule="auto"/>
        <w:rPr>
          <w:rFonts w:ascii="宋体" w:hAnsi="宋体"/>
          <w:sz w:val="24"/>
        </w:rPr>
      </w:pPr>
    </w:p>
    <w:sectPr w:rsidR="00187081" w:rsidRPr="0067482A" w:rsidSect="003F62AC">
      <w:headerReference w:type="default" r:id="rId31"/>
      <w:footerReference w:type="default" r:id="rId3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EBE" w:rsidRDefault="003A7EBE" w:rsidP="00305525">
      <w:r>
        <w:separator/>
      </w:r>
    </w:p>
  </w:endnote>
  <w:endnote w:type="continuationSeparator" w:id="0">
    <w:p w:rsidR="003A7EBE" w:rsidRDefault="003A7EBE" w:rsidP="00305525">
      <w:r>
        <w:continuationSeparator/>
      </w:r>
    </w:p>
  </w:endnote>
  <w:endnote w:type="continuationNotice" w:id="1">
    <w:p w:rsidR="003A7EBE" w:rsidRDefault="003A7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方正仿宋简体">
    <w:altName w:val="Arial Unicode MS"/>
    <w:charset w:val="86"/>
    <w:family w:val="auto"/>
    <w:pitch w:val="variable"/>
    <w:sig w:usb0="00000001" w:usb1="080E0000" w:usb2="00000010" w:usb3="00000000" w:csb0="00040000" w:csb1="00000000"/>
  </w:font>
  <w:font w:name="楷体_GB2312">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65" w:rsidRDefault="000D1B6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D1B65" w:rsidRDefault="000D1B65">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65" w:rsidRDefault="000D1B65">
    <w:pPr>
      <w:pStyle w:val="a5"/>
      <w:framePr w:wrap="around" w:vAnchor="text" w:hAnchor="margin" w:xAlign="center" w:y="1"/>
      <w:rPr>
        <w:rStyle w:val="a6"/>
      </w:rPr>
    </w:pPr>
    <w:r>
      <w:rPr>
        <w:rStyle w:val="a6"/>
        <w:rFonts w:hint="eastAsia"/>
      </w:rPr>
      <w:t>8-</w:t>
    </w:r>
    <w:r>
      <w:rPr>
        <w:rStyle w:val="a6"/>
      </w:rPr>
      <w:fldChar w:fldCharType="begin"/>
    </w:r>
    <w:r>
      <w:rPr>
        <w:rStyle w:val="a6"/>
      </w:rPr>
      <w:instrText xml:space="preserve">PAGE  </w:instrText>
    </w:r>
    <w:r>
      <w:rPr>
        <w:rStyle w:val="a6"/>
      </w:rPr>
      <w:fldChar w:fldCharType="separate"/>
    </w:r>
    <w:r w:rsidR="00A42226">
      <w:rPr>
        <w:rStyle w:val="a6"/>
        <w:noProof/>
      </w:rPr>
      <w:t>1</w:t>
    </w:r>
    <w:r>
      <w:rPr>
        <w:rStyle w:val="a6"/>
      </w:rPr>
      <w:fldChar w:fldCharType="end"/>
    </w:r>
  </w:p>
  <w:p w:rsidR="000D1B65" w:rsidRDefault="000D1B65">
    <w:pPr>
      <w:pStyle w:val="a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65" w:rsidRDefault="000D1B65">
    <w:pPr>
      <w:pStyle w:val="a5"/>
      <w:framePr w:wrap="around" w:vAnchor="text" w:hAnchor="margin" w:xAlign="center" w:y="1"/>
      <w:rPr>
        <w:rStyle w:val="a6"/>
      </w:rPr>
    </w:pPr>
    <w:r>
      <w:rPr>
        <w:rStyle w:val="a6"/>
        <w:rFonts w:hint="eastAsia"/>
      </w:rPr>
      <w:t>9-</w:t>
    </w:r>
    <w:r>
      <w:rPr>
        <w:rStyle w:val="a6"/>
      </w:rPr>
      <w:fldChar w:fldCharType="begin"/>
    </w:r>
    <w:r>
      <w:rPr>
        <w:rStyle w:val="a6"/>
      </w:rPr>
      <w:instrText xml:space="preserve">PAGE  </w:instrText>
    </w:r>
    <w:r>
      <w:rPr>
        <w:rStyle w:val="a6"/>
      </w:rPr>
      <w:fldChar w:fldCharType="separate"/>
    </w:r>
    <w:r w:rsidR="00A42226">
      <w:rPr>
        <w:rStyle w:val="a6"/>
        <w:noProof/>
      </w:rPr>
      <w:t>1</w:t>
    </w:r>
    <w:r>
      <w:rPr>
        <w:rStyle w:val="a6"/>
      </w:rPr>
      <w:fldChar w:fldCharType="end"/>
    </w:r>
  </w:p>
  <w:p w:rsidR="000D1B65" w:rsidRDefault="000D1B65">
    <w:pPr>
      <w:pStyle w:val="a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65" w:rsidRDefault="000D1B65">
    <w:pPr>
      <w:pStyle w:val="a5"/>
      <w:framePr w:wrap="around" w:vAnchor="text" w:hAnchor="margin" w:xAlign="center" w:y="1"/>
      <w:rPr>
        <w:rStyle w:val="a6"/>
      </w:rPr>
    </w:pPr>
    <w:r>
      <w:rPr>
        <w:rStyle w:val="a6"/>
        <w:rFonts w:hint="eastAsia"/>
      </w:rPr>
      <w:t>10-</w:t>
    </w:r>
    <w:r>
      <w:rPr>
        <w:rStyle w:val="a6"/>
      </w:rPr>
      <w:fldChar w:fldCharType="begin"/>
    </w:r>
    <w:r>
      <w:rPr>
        <w:rStyle w:val="a6"/>
      </w:rPr>
      <w:instrText xml:space="preserve">PAGE  </w:instrText>
    </w:r>
    <w:r>
      <w:rPr>
        <w:rStyle w:val="a6"/>
      </w:rPr>
      <w:fldChar w:fldCharType="separate"/>
    </w:r>
    <w:r w:rsidR="00A42226">
      <w:rPr>
        <w:rStyle w:val="a6"/>
        <w:noProof/>
      </w:rPr>
      <w:t>2</w:t>
    </w:r>
    <w:r>
      <w:rPr>
        <w:rStyle w:val="a6"/>
      </w:rPr>
      <w:fldChar w:fldCharType="end"/>
    </w:r>
  </w:p>
  <w:p w:rsidR="000D1B65" w:rsidRDefault="000D1B65">
    <w:pPr>
      <w:pStyle w:val="a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65" w:rsidRDefault="000D1B65">
    <w:pPr>
      <w:pStyle w:val="a5"/>
      <w:framePr w:wrap="around" w:vAnchor="text" w:hAnchor="margin" w:xAlign="center" w:y="1"/>
      <w:rPr>
        <w:rStyle w:val="a6"/>
      </w:rPr>
    </w:pPr>
    <w:r>
      <w:rPr>
        <w:rStyle w:val="a6"/>
        <w:rFonts w:hint="eastAsia"/>
      </w:rPr>
      <w:t>11-</w:t>
    </w:r>
    <w:r>
      <w:rPr>
        <w:rStyle w:val="a6"/>
      </w:rPr>
      <w:fldChar w:fldCharType="begin"/>
    </w:r>
    <w:r>
      <w:rPr>
        <w:rStyle w:val="a6"/>
      </w:rPr>
      <w:instrText xml:space="preserve">PAGE  </w:instrText>
    </w:r>
    <w:r>
      <w:rPr>
        <w:rStyle w:val="a6"/>
      </w:rPr>
      <w:fldChar w:fldCharType="separate"/>
    </w:r>
    <w:r w:rsidR="00A42226">
      <w:rPr>
        <w:rStyle w:val="a6"/>
        <w:noProof/>
      </w:rPr>
      <w:t>1</w:t>
    </w:r>
    <w:r>
      <w:rPr>
        <w:rStyle w:val="a6"/>
      </w:rPr>
      <w:fldChar w:fldCharType="end"/>
    </w:r>
  </w:p>
  <w:p w:rsidR="000D1B65" w:rsidRDefault="000D1B65">
    <w:pPr>
      <w:pStyle w:val="a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65" w:rsidRDefault="000D1B65">
    <w:pPr>
      <w:pStyle w:val="a5"/>
      <w:framePr w:wrap="around" w:vAnchor="text" w:hAnchor="margin" w:xAlign="center" w:y="1"/>
      <w:rPr>
        <w:rStyle w:val="a6"/>
      </w:rPr>
    </w:pPr>
    <w:r>
      <w:rPr>
        <w:rStyle w:val="a6"/>
        <w:rFonts w:hint="eastAsia"/>
      </w:rPr>
      <w:t>12-</w:t>
    </w:r>
    <w:r>
      <w:rPr>
        <w:rStyle w:val="a6"/>
      </w:rPr>
      <w:fldChar w:fldCharType="begin"/>
    </w:r>
    <w:r>
      <w:rPr>
        <w:rStyle w:val="a6"/>
      </w:rPr>
      <w:instrText xml:space="preserve">PAGE  </w:instrText>
    </w:r>
    <w:r>
      <w:rPr>
        <w:rStyle w:val="a6"/>
      </w:rPr>
      <w:fldChar w:fldCharType="separate"/>
    </w:r>
    <w:r w:rsidR="00A42226">
      <w:rPr>
        <w:rStyle w:val="a6"/>
        <w:noProof/>
      </w:rPr>
      <w:t>1</w:t>
    </w:r>
    <w:r>
      <w:rPr>
        <w:rStyle w:val="a6"/>
      </w:rPr>
      <w:fldChar w:fldCharType="end"/>
    </w:r>
  </w:p>
  <w:p w:rsidR="000D1B65" w:rsidRDefault="000D1B65">
    <w:pPr>
      <w:pStyle w:val="a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65" w:rsidRDefault="000D1B65">
    <w:pPr>
      <w:pStyle w:val="a5"/>
      <w:framePr w:wrap="around" w:vAnchor="text" w:hAnchor="margin" w:xAlign="center" w:y="1"/>
      <w:rPr>
        <w:rStyle w:val="a6"/>
      </w:rPr>
    </w:pPr>
    <w:r>
      <w:rPr>
        <w:rStyle w:val="a6"/>
        <w:rFonts w:hint="eastAsia"/>
      </w:rPr>
      <w:t>13-</w:t>
    </w:r>
    <w:r>
      <w:rPr>
        <w:rStyle w:val="a6"/>
      </w:rPr>
      <w:fldChar w:fldCharType="begin"/>
    </w:r>
    <w:r>
      <w:rPr>
        <w:rStyle w:val="a6"/>
      </w:rPr>
      <w:instrText xml:space="preserve">PAGE  </w:instrText>
    </w:r>
    <w:r>
      <w:rPr>
        <w:rStyle w:val="a6"/>
      </w:rPr>
      <w:fldChar w:fldCharType="separate"/>
    </w:r>
    <w:r w:rsidR="00A42226">
      <w:rPr>
        <w:rStyle w:val="a6"/>
        <w:noProof/>
      </w:rPr>
      <w:t>1</w:t>
    </w:r>
    <w:r>
      <w:rPr>
        <w:rStyle w:val="a6"/>
      </w:rPr>
      <w:fldChar w:fldCharType="end"/>
    </w:r>
  </w:p>
  <w:p w:rsidR="000D1B65" w:rsidRDefault="000D1B65">
    <w:pPr>
      <w:pStyle w:val="a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65" w:rsidRDefault="000D1B65">
    <w:pPr>
      <w:pStyle w:val="a5"/>
      <w:framePr w:wrap="around" w:vAnchor="text" w:hAnchor="margin" w:xAlign="center" w:y="1"/>
      <w:rPr>
        <w:rStyle w:val="a6"/>
      </w:rPr>
    </w:pPr>
    <w:r>
      <w:rPr>
        <w:rStyle w:val="a6"/>
        <w:rFonts w:hint="eastAsia"/>
      </w:rPr>
      <w:t>14-</w:t>
    </w:r>
    <w:r>
      <w:rPr>
        <w:rStyle w:val="a6"/>
      </w:rPr>
      <w:fldChar w:fldCharType="begin"/>
    </w:r>
    <w:r>
      <w:rPr>
        <w:rStyle w:val="a6"/>
      </w:rPr>
      <w:instrText xml:space="preserve">PAGE  </w:instrText>
    </w:r>
    <w:r>
      <w:rPr>
        <w:rStyle w:val="a6"/>
      </w:rPr>
      <w:fldChar w:fldCharType="separate"/>
    </w:r>
    <w:r w:rsidR="00A42226">
      <w:rPr>
        <w:rStyle w:val="a6"/>
        <w:noProof/>
      </w:rPr>
      <w:t>2</w:t>
    </w:r>
    <w:r>
      <w:rPr>
        <w:rStyle w:val="a6"/>
      </w:rPr>
      <w:fldChar w:fldCharType="end"/>
    </w:r>
  </w:p>
  <w:p w:rsidR="000D1B65" w:rsidRDefault="000D1B65">
    <w:pPr>
      <w:pStyle w:val="a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65" w:rsidRDefault="000D1B65">
    <w:pPr>
      <w:pStyle w:val="a5"/>
      <w:framePr w:wrap="around" w:vAnchor="text" w:hAnchor="margin" w:xAlign="center" w:y="1"/>
      <w:rPr>
        <w:rStyle w:val="a6"/>
      </w:rPr>
    </w:pPr>
    <w:r>
      <w:rPr>
        <w:rStyle w:val="a6"/>
        <w:rFonts w:hint="eastAsia"/>
      </w:rPr>
      <w:t>15-</w:t>
    </w:r>
    <w:r>
      <w:rPr>
        <w:rStyle w:val="a6"/>
      </w:rPr>
      <w:fldChar w:fldCharType="begin"/>
    </w:r>
    <w:r>
      <w:rPr>
        <w:rStyle w:val="a6"/>
      </w:rPr>
      <w:instrText xml:space="preserve">PAGE  </w:instrText>
    </w:r>
    <w:r>
      <w:rPr>
        <w:rStyle w:val="a6"/>
      </w:rPr>
      <w:fldChar w:fldCharType="separate"/>
    </w:r>
    <w:r w:rsidR="00A42226">
      <w:rPr>
        <w:rStyle w:val="a6"/>
        <w:noProof/>
      </w:rPr>
      <w:t>1</w:t>
    </w:r>
    <w:r>
      <w:rPr>
        <w:rStyle w:val="a6"/>
      </w:rPr>
      <w:fldChar w:fldCharType="end"/>
    </w:r>
  </w:p>
  <w:p w:rsidR="000D1B65" w:rsidRDefault="000D1B65">
    <w:pPr>
      <w:pStyle w:val="a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65" w:rsidRDefault="000D1B65">
    <w:pPr>
      <w:pStyle w:val="a5"/>
      <w:framePr w:wrap="around" w:vAnchor="text" w:hAnchor="margin" w:xAlign="center" w:y="1"/>
      <w:rPr>
        <w:rStyle w:val="a6"/>
      </w:rPr>
    </w:pPr>
    <w:r>
      <w:rPr>
        <w:rStyle w:val="a6"/>
        <w:rFonts w:hint="eastAsia"/>
      </w:rPr>
      <w:t>16-</w:t>
    </w:r>
    <w:r>
      <w:rPr>
        <w:rStyle w:val="a6"/>
      </w:rPr>
      <w:fldChar w:fldCharType="begin"/>
    </w:r>
    <w:r>
      <w:rPr>
        <w:rStyle w:val="a6"/>
      </w:rPr>
      <w:instrText xml:space="preserve">PAGE  </w:instrText>
    </w:r>
    <w:r>
      <w:rPr>
        <w:rStyle w:val="a6"/>
      </w:rPr>
      <w:fldChar w:fldCharType="separate"/>
    </w:r>
    <w:r w:rsidR="00A42226">
      <w:rPr>
        <w:rStyle w:val="a6"/>
        <w:noProof/>
      </w:rPr>
      <w:t>2</w:t>
    </w:r>
    <w:r>
      <w:rPr>
        <w:rStyle w:val="a6"/>
      </w:rPr>
      <w:fldChar w:fldCharType="end"/>
    </w:r>
  </w:p>
  <w:p w:rsidR="000D1B65" w:rsidRDefault="000D1B65">
    <w:pPr>
      <w:pStyle w:val="a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65" w:rsidRDefault="000D1B65">
    <w:pPr>
      <w:pStyle w:val="a5"/>
      <w:framePr w:wrap="around" w:vAnchor="text" w:hAnchor="margin" w:xAlign="center" w:y="1"/>
      <w:rPr>
        <w:rStyle w:val="a6"/>
      </w:rPr>
    </w:pPr>
    <w:r>
      <w:rPr>
        <w:rStyle w:val="a6"/>
        <w:rFonts w:hint="eastAsia"/>
      </w:rPr>
      <w:t>17-</w:t>
    </w:r>
    <w:r>
      <w:rPr>
        <w:rStyle w:val="a6"/>
      </w:rPr>
      <w:fldChar w:fldCharType="begin"/>
    </w:r>
    <w:r>
      <w:rPr>
        <w:rStyle w:val="a6"/>
      </w:rPr>
      <w:instrText xml:space="preserve">PAGE  </w:instrText>
    </w:r>
    <w:r>
      <w:rPr>
        <w:rStyle w:val="a6"/>
      </w:rPr>
      <w:fldChar w:fldCharType="separate"/>
    </w:r>
    <w:r w:rsidR="00A42226">
      <w:rPr>
        <w:rStyle w:val="a6"/>
        <w:noProof/>
      </w:rPr>
      <w:t>1</w:t>
    </w:r>
    <w:r>
      <w:rPr>
        <w:rStyle w:val="a6"/>
      </w:rPr>
      <w:fldChar w:fldCharType="end"/>
    </w:r>
  </w:p>
  <w:p w:rsidR="000D1B65" w:rsidRDefault="000D1B6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65" w:rsidRDefault="000D1B6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42226">
      <w:rPr>
        <w:rStyle w:val="a6"/>
        <w:noProof/>
      </w:rPr>
      <w:t>2</w:t>
    </w:r>
    <w:r>
      <w:rPr>
        <w:rStyle w:val="a6"/>
      </w:rPr>
      <w:fldChar w:fldCharType="end"/>
    </w:r>
  </w:p>
  <w:p w:rsidR="000D1B65" w:rsidRDefault="000D1B65">
    <w:pPr>
      <w:pStyle w:val="a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65" w:rsidRDefault="000D1B65">
    <w:pPr>
      <w:pStyle w:val="a5"/>
      <w:framePr w:wrap="around" w:vAnchor="text" w:hAnchor="margin" w:xAlign="center" w:y="1"/>
      <w:rPr>
        <w:rStyle w:val="a6"/>
      </w:rPr>
    </w:pPr>
    <w:r>
      <w:rPr>
        <w:rStyle w:val="a6"/>
        <w:rFonts w:hint="eastAsia"/>
      </w:rPr>
      <w:t>18-</w:t>
    </w:r>
    <w:r>
      <w:rPr>
        <w:rStyle w:val="a6"/>
      </w:rPr>
      <w:fldChar w:fldCharType="begin"/>
    </w:r>
    <w:r>
      <w:rPr>
        <w:rStyle w:val="a6"/>
      </w:rPr>
      <w:instrText xml:space="preserve">PAGE  </w:instrText>
    </w:r>
    <w:r>
      <w:rPr>
        <w:rStyle w:val="a6"/>
      </w:rPr>
      <w:fldChar w:fldCharType="separate"/>
    </w:r>
    <w:r w:rsidR="00A42226">
      <w:rPr>
        <w:rStyle w:val="a6"/>
        <w:noProof/>
      </w:rPr>
      <w:t>1</w:t>
    </w:r>
    <w:r>
      <w:rPr>
        <w:rStyle w:val="a6"/>
      </w:rPr>
      <w:fldChar w:fldCharType="end"/>
    </w:r>
  </w:p>
  <w:p w:rsidR="000D1B65" w:rsidRDefault="000D1B65">
    <w:pPr>
      <w:pStyle w:val="a5"/>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65" w:rsidRDefault="000D1B65">
    <w:pPr>
      <w:pStyle w:val="a5"/>
      <w:framePr w:wrap="around" w:vAnchor="text" w:hAnchor="margin" w:xAlign="center" w:y="1"/>
      <w:rPr>
        <w:rStyle w:val="a6"/>
      </w:rPr>
    </w:pPr>
    <w:r>
      <w:rPr>
        <w:rStyle w:val="a6"/>
        <w:rFonts w:hint="eastAsia"/>
      </w:rPr>
      <w:t>19-</w:t>
    </w:r>
    <w:r>
      <w:rPr>
        <w:rStyle w:val="a6"/>
      </w:rPr>
      <w:fldChar w:fldCharType="begin"/>
    </w:r>
    <w:r>
      <w:rPr>
        <w:rStyle w:val="a6"/>
      </w:rPr>
      <w:instrText xml:space="preserve">PAGE  </w:instrText>
    </w:r>
    <w:r>
      <w:rPr>
        <w:rStyle w:val="a6"/>
      </w:rPr>
      <w:fldChar w:fldCharType="separate"/>
    </w:r>
    <w:r w:rsidR="00A42226">
      <w:rPr>
        <w:rStyle w:val="a6"/>
        <w:noProof/>
      </w:rPr>
      <w:t>1</w:t>
    </w:r>
    <w:r>
      <w:rPr>
        <w:rStyle w:val="a6"/>
      </w:rPr>
      <w:fldChar w:fldCharType="end"/>
    </w:r>
  </w:p>
  <w:p w:rsidR="000D1B65" w:rsidRDefault="000D1B65">
    <w:pPr>
      <w:pStyle w:val="a5"/>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65" w:rsidRDefault="000D1B65">
    <w:pPr>
      <w:pStyle w:val="a5"/>
      <w:framePr w:wrap="around" w:vAnchor="text" w:hAnchor="margin" w:xAlign="center" w:y="1"/>
      <w:rPr>
        <w:rStyle w:val="a6"/>
      </w:rPr>
    </w:pPr>
    <w:r>
      <w:rPr>
        <w:rStyle w:val="a6"/>
        <w:rFonts w:hint="eastAsia"/>
      </w:rPr>
      <w:t>20-</w:t>
    </w:r>
    <w:r>
      <w:rPr>
        <w:rStyle w:val="a6"/>
      </w:rPr>
      <w:fldChar w:fldCharType="begin"/>
    </w:r>
    <w:r>
      <w:rPr>
        <w:rStyle w:val="a6"/>
      </w:rPr>
      <w:instrText xml:space="preserve">PAGE  </w:instrText>
    </w:r>
    <w:r>
      <w:rPr>
        <w:rStyle w:val="a6"/>
      </w:rPr>
      <w:fldChar w:fldCharType="separate"/>
    </w:r>
    <w:r w:rsidR="00A42226">
      <w:rPr>
        <w:rStyle w:val="a6"/>
        <w:noProof/>
      </w:rPr>
      <w:t>1</w:t>
    </w:r>
    <w:r>
      <w:rPr>
        <w:rStyle w:val="a6"/>
      </w:rPr>
      <w:fldChar w:fldCharType="end"/>
    </w:r>
  </w:p>
  <w:p w:rsidR="000D1B65" w:rsidRDefault="000D1B65">
    <w:pPr>
      <w:pStyle w:val="a5"/>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65" w:rsidRDefault="000D1B6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65" w:rsidRDefault="000D1B65">
    <w:pPr>
      <w:pStyle w:val="a5"/>
      <w:framePr w:wrap="around" w:vAnchor="text" w:hAnchor="margin" w:xAlign="center" w:y="1"/>
      <w:rPr>
        <w:rStyle w:val="a6"/>
      </w:rPr>
    </w:pPr>
    <w:r>
      <w:rPr>
        <w:rStyle w:val="a6"/>
        <w:rFonts w:hint="eastAsia"/>
      </w:rPr>
      <w:t>1-</w:t>
    </w:r>
    <w:r>
      <w:rPr>
        <w:rStyle w:val="a6"/>
      </w:rPr>
      <w:fldChar w:fldCharType="begin"/>
    </w:r>
    <w:r>
      <w:rPr>
        <w:rStyle w:val="a6"/>
      </w:rPr>
      <w:instrText xml:space="preserve">PAGE  </w:instrText>
    </w:r>
    <w:r>
      <w:rPr>
        <w:rStyle w:val="a6"/>
      </w:rPr>
      <w:fldChar w:fldCharType="separate"/>
    </w:r>
    <w:r w:rsidR="00A42226">
      <w:rPr>
        <w:rStyle w:val="a6"/>
        <w:noProof/>
      </w:rPr>
      <w:t>1</w:t>
    </w:r>
    <w:r>
      <w:rPr>
        <w:rStyle w:val="a6"/>
      </w:rPr>
      <w:fldChar w:fldCharType="end"/>
    </w:r>
  </w:p>
  <w:p w:rsidR="000D1B65" w:rsidRDefault="000D1B6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65" w:rsidRDefault="000D1B65">
    <w:pPr>
      <w:pStyle w:val="a5"/>
      <w:framePr w:wrap="around" w:vAnchor="text" w:hAnchor="margin" w:xAlign="center" w:y="1"/>
      <w:rPr>
        <w:rStyle w:val="a6"/>
      </w:rPr>
    </w:pPr>
    <w:r>
      <w:rPr>
        <w:rStyle w:val="a6"/>
        <w:rFonts w:hint="eastAsia"/>
      </w:rPr>
      <w:t>2-</w:t>
    </w:r>
    <w:r>
      <w:rPr>
        <w:rStyle w:val="a6"/>
      </w:rPr>
      <w:fldChar w:fldCharType="begin"/>
    </w:r>
    <w:r>
      <w:rPr>
        <w:rStyle w:val="a6"/>
      </w:rPr>
      <w:instrText xml:space="preserve">PAGE  </w:instrText>
    </w:r>
    <w:r>
      <w:rPr>
        <w:rStyle w:val="a6"/>
      </w:rPr>
      <w:fldChar w:fldCharType="separate"/>
    </w:r>
    <w:r w:rsidR="00A42226">
      <w:rPr>
        <w:rStyle w:val="a6"/>
        <w:noProof/>
      </w:rPr>
      <w:t>1</w:t>
    </w:r>
    <w:r>
      <w:rPr>
        <w:rStyle w:val="a6"/>
      </w:rPr>
      <w:fldChar w:fldCharType="end"/>
    </w:r>
  </w:p>
  <w:p w:rsidR="000D1B65" w:rsidRDefault="000D1B65">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65" w:rsidRDefault="000D1B65">
    <w:pPr>
      <w:pStyle w:val="a5"/>
      <w:framePr w:wrap="around" w:vAnchor="text" w:hAnchor="margin" w:xAlign="center" w:y="1"/>
      <w:rPr>
        <w:rStyle w:val="a6"/>
      </w:rPr>
    </w:pPr>
    <w:r>
      <w:rPr>
        <w:rStyle w:val="a6"/>
        <w:rFonts w:hint="eastAsia"/>
      </w:rPr>
      <w:t>3-</w:t>
    </w:r>
    <w:r>
      <w:rPr>
        <w:rStyle w:val="a6"/>
      </w:rPr>
      <w:fldChar w:fldCharType="begin"/>
    </w:r>
    <w:r>
      <w:rPr>
        <w:rStyle w:val="a6"/>
      </w:rPr>
      <w:instrText xml:space="preserve">PAGE  </w:instrText>
    </w:r>
    <w:r>
      <w:rPr>
        <w:rStyle w:val="a6"/>
      </w:rPr>
      <w:fldChar w:fldCharType="separate"/>
    </w:r>
    <w:r w:rsidR="00A42226">
      <w:rPr>
        <w:rStyle w:val="a6"/>
        <w:noProof/>
      </w:rPr>
      <w:t>2</w:t>
    </w:r>
    <w:r>
      <w:rPr>
        <w:rStyle w:val="a6"/>
      </w:rPr>
      <w:fldChar w:fldCharType="end"/>
    </w:r>
  </w:p>
  <w:p w:rsidR="000D1B65" w:rsidRDefault="000D1B65">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65" w:rsidRDefault="000D1B65">
    <w:pPr>
      <w:pStyle w:val="a5"/>
      <w:framePr w:wrap="around" w:vAnchor="text" w:hAnchor="margin" w:xAlign="center" w:y="1"/>
      <w:rPr>
        <w:rStyle w:val="a6"/>
      </w:rPr>
    </w:pPr>
    <w:r>
      <w:rPr>
        <w:rStyle w:val="a6"/>
        <w:rFonts w:hint="eastAsia"/>
      </w:rPr>
      <w:t>4-</w:t>
    </w:r>
    <w:r>
      <w:rPr>
        <w:rStyle w:val="a6"/>
      </w:rPr>
      <w:fldChar w:fldCharType="begin"/>
    </w:r>
    <w:r>
      <w:rPr>
        <w:rStyle w:val="a6"/>
      </w:rPr>
      <w:instrText xml:space="preserve">PAGE  </w:instrText>
    </w:r>
    <w:r>
      <w:rPr>
        <w:rStyle w:val="a6"/>
      </w:rPr>
      <w:fldChar w:fldCharType="separate"/>
    </w:r>
    <w:r w:rsidR="00A42226">
      <w:rPr>
        <w:rStyle w:val="a6"/>
        <w:noProof/>
      </w:rPr>
      <w:t>1</w:t>
    </w:r>
    <w:r>
      <w:rPr>
        <w:rStyle w:val="a6"/>
      </w:rPr>
      <w:fldChar w:fldCharType="end"/>
    </w:r>
  </w:p>
  <w:p w:rsidR="000D1B65" w:rsidRDefault="000D1B65">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65" w:rsidRDefault="000D1B65">
    <w:pPr>
      <w:pStyle w:val="a5"/>
      <w:framePr w:wrap="around" w:vAnchor="text" w:hAnchor="margin" w:xAlign="center" w:y="1"/>
      <w:rPr>
        <w:rStyle w:val="a6"/>
      </w:rPr>
    </w:pPr>
    <w:r>
      <w:rPr>
        <w:rStyle w:val="a6"/>
        <w:rFonts w:hint="eastAsia"/>
      </w:rPr>
      <w:t>5-</w:t>
    </w:r>
    <w:r>
      <w:rPr>
        <w:rStyle w:val="a6"/>
      </w:rPr>
      <w:fldChar w:fldCharType="begin"/>
    </w:r>
    <w:r>
      <w:rPr>
        <w:rStyle w:val="a6"/>
      </w:rPr>
      <w:instrText xml:space="preserve">PAGE  </w:instrText>
    </w:r>
    <w:r>
      <w:rPr>
        <w:rStyle w:val="a6"/>
      </w:rPr>
      <w:fldChar w:fldCharType="separate"/>
    </w:r>
    <w:r w:rsidR="00A42226">
      <w:rPr>
        <w:rStyle w:val="a6"/>
        <w:noProof/>
      </w:rPr>
      <w:t>1</w:t>
    </w:r>
    <w:r>
      <w:rPr>
        <w:rStyle w:val="a6"/>
      </w:rPr>
      <w:fldChar w:fldCharType="end"/>
    </w:r>
  </w:p>
  <w:p w:rsidR="000D1B65" w:rsidRDefault="000D1B65">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65" w:rsidRDefault="000D1B65">
    <w:pPr>
      <w:pStyle w:val="a5"/>
      <w:framePr w:wrap="around" w:vAnchor="text" w:hAnchor="margin" w:xAlign="center" w:y="1"/>
      <w:rPr>
        <w:rStyle w:val="a6"/>
      </w:rPr>
    </w:pPr>
    <w:r>
      <w:rPr>
        <w:rStyle w:val="a6"/>
        <w:rFonts w:hint="eastAsia"/>
      </w:rPr>
      <w:t>6-</w:t>
    </w:r>
    <w:r>
      <w:rPr>
        <w:rStyle w:val="a6"/>
      </w:rPr>
      <w:fldChar w:fldCharType="begin"/>
    </w:r>
    <w:r>
      <w:rPr>
        <w:rStyle w:val="a6"/>
      </w:rPr>
      <w:instrText xml:space="preserve">PAGE  </w:instrText>
    </w:r>
    <w:r>
      <w:rPr>
        <w:rStyle w:val="a6"/>
      </w:rPr>
      <w:fldChar w:fldCharType="separate"/>
    </w:r>
    <w:r w:rsidR="00A42226">
      <w:rPr>
        <w:rStyle w:val="a6"/>
        <w:noProof/>
      </w:rPr>
      <w:t>2</w:t>
    </w:r>
    <w:r>
      <w:rPr>
        <w:rStyle w:val="a6"/>
      </w:rPr>
      <w:fldChar w:fldCharType="end"/>
    </w:r>
  </w:p>
  <w:p w:rsidR="000D1B65" w:rsidRDefault="000D1B65">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65" w:rsidRDefault="000D1B65">
    <w:pPr>
      <w:pStyle w:val="a5"/>
      <w:framePr w:wrap="around" w:vAnchor="text" w:hAnchor="margin" w:xAlign="center" w:y="1"/>
      <w:rPr>
        <w:rStyle w:val="a6"/>
      </w:rPr>
    </w:pPr>
    <w:r>
      <w:rPr>
        <w:rStyle w:val="a6"/>
        <w:rFonts w:hint="eastAsia"/>
      </w:rPr>
      <w:t>7-</w:t>
    </w:r>
    <w:r>
      <w:rPr>
        <w:rStyle w:val="a6"/>
      </w:rPr>
      <w:fldChar w:fldCharType="begin"/>
    </w:r>
    <w:r>
      <w:rPr>
        <w:rStyle w:val="a6"/>
      </w:rPr>
      <w:instrText xml:space="preserve">PAGE  </w:instrText>
    </w:r>
    <w:r>
      <w:rPr>
        <w:rStyle w:val="a6"/>
      </w:rPr>
      <w:fldChar w:fldCharType="separate"/>
    </w:r>
    <w:r w:rsidR="00A42226">
      <w:rPr>
        <w:rStyle w:val="a6"/>
        <w:noProof/>
      </w:rPr>
      <w:t>1</w:t>
    </w:r>
    <w:r>
      <w:rPr>
        <w:rStyle w:val="a6"/>
      </w:rPr>
      <w:fldChar w:fldCharType="end"/>
    </w:r>
  </w:p>
  <w:p w:rsidR="000D1B65" w:rsidRDefault="000D1B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EBE" w:rsidRDefault="003A7EBE" w:rsidP="00305525">
      <w:r>
        <w:separator/>
      </w:r>
    </w:p>
  </w:footnote>
  <w:footnote w:type="continuationSeparator" w:id="0">
    <w:p w:rsidR="003A7EBE" w:rsidRDefault="003A7EBE" w:rsidP="00305525">
      <w:r>
        <w:continuationSeparator/>
      </w:r>
    </w:p>
  </w:footnote>
  <w:footnote w:type="continuationNotice" w:id="1">
    <w:p w:rsidR="003A7EBE" w:rsidRDefault="003A7E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65" w:rsidRDefault="000D1B65" w:rsidP="00310C11">
    <w:pPr>
      <w:pStyle w:val="a4"/>
      <w:jc w:val="left"/>
    </w:pPr>
    <w:r>
      <w:rPr>
        <w:rFonts w:hint="eastAsia"/>
      </w:rPr>
      <w:t>博时睿丰灵活配置定期开放混合型证券投资基金托管协议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B65" w:rsidRDefault="000D1B65" w:rsidP="004625CF">
    <w:pPr>
      <w:pStyle w:val="a4"/>
      <w:jc w:val="left"/>
    </w:pPr>
    <w:r>
      <w:rPr>
        <w:rFonts w:hint="eastAsia"/>
      </w:rPr>
      <w:t>博时睿丰灵活配置定期开放混合型证券投资基金托管协议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F3F1B64"/>
    <w:multiLevelType w:val="hybridMultilevel"/>
    <w:tmpl w:val="F4589F0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4D1A3004"/>
    <w:multiLevelType w:val="hybridMultilevel"/>
    <w:tmpl w:val="4C3E7F60"/>
    <w:lvl w:ilvl="0" w:tplc="EFD41A1C">
      <w:start w:val="1"/>
      <w:numFmt w:val="decimal"/>
      <w:lvlText w:val="%1."/>
      <w:lvlJc w:val="left"/>
      <w:pPr>
        <w:ind w:left="900" w:hanging="420"/>
      </w:pPr>
      <w:rPr>
        <w:rFonts w:ascii="宋体" w:eastAsia="宋体" w:hAnsi="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9776A7A"/>
    <w:multiLevelType w:val="hybridMultilevel"/>
    <w:tmpl w:val="DC566756"/>
    <w:lvl w:ilvl="0" w:tplc="DA12917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1151F2A"/>
    <w:multiLevelType w:val="hybridMultilevel"/>
    <w:tmpl w:val="F4589F0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6F82194F"/>
    <w:multiLevelType w:val="hybridMultilevel"/>
    <w:tmpl w:val="7BAAB0B8"/>
    <w:lvl w:ilvl="0" w:tplc="A09E3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7E584299"/>
    <w:multiLevelType w:val="hybridMultilevel"/>
    <w:tmpl w:val="1100740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3"/>
  </w:num>
  <w:num w:numId="3">
    <w:abstractNumId w:val="0"/>
  </w:num>
  <w:num w:numId="4">
    <w:abstractNumId w:val="7"/>
  </w:num>
  <w:num w:numId="5">
    <w:abstractNumId w:val="9"/>
  </w:num>
  <w:num w:numId="6">
    <w:abstractNumId w:val="5"/>
  </w:num>
  <w:num w:numId="7">
    <w:abstractNumId w:val="8"/>
  </w:num>
  <w:num w:numId="8">
    <w:abstractNumId w:val="10"/>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16"/>
    <w:rsid w:val="00001A2E"/>
    <w:rsid w:val="00003D21"/>
    <w:rsid w:val="00004FB6"/>
    <w:rsid w:val="00006D94"/>
    <w:rsid w:val="00007148"/>
    <w:rsid w:val="000072F5"/>
    <w:rsid w:val="00013138"/>
    <w:rsid w:val="00014F7E"/>
    <w:rsid w:val="000167B7"/>
    <w:rsid w:val="0002152E"/>
    <w:rsid w:val="00023554"/>
    <w:rsid w:val="00023FE5"/>
    <w:rsid w:val="00025964"/>
    <w:rsid w:val="00026163"/>
    <w:rsid w:val="00026CE5"/>
    <w:rsid w:val="000272A8"/>
    <w:rsid w:val="00027507"/>
    <w:rsid w:val="00031F5B"/>
    <w:rsid w:val="000344BA"/>
    <w:rsid w:val="0003485B"/>
    <w:rsid w:val="000400C4"/>
    <w:rsid w:val="00040992"/>
    <w:rsid w:val="00044B81"/>
    <w:rsid w:val="00044DF6"/>
    <w:rsid w:val="00052115"/>
    <w:rsid w:val="000555AC"/>
    <w:rsid w:val="00057B09"/>
    <w:rsid w:val="000613DF"/>
    <w:rsid w:val="0006511C"/>
    <w:rsid w:val="00065C19"/>
    <w:rsid w:val="00065EA6"/>
    <w:rsid w:val="000671DC"/>
    <w:rsid w:val="0006723C"/>
    <w:rsid w:val="000731BF"/>
    <w:rsid w:val="000764FF"/>
    <w:rsid w:val="000809D7"/>
    <w:rsid w:val="00080FDA"/>
    <w:rsid w:val="0008271D"/>
    <w:rsid w:val="0008484F"/>
    <w:rsid w:val="00084DAB"/>
    <w:rsid w:val="000961C0"/>
    <w:rsid w:val="000A0652"/>
    <w:rsid w:val="000A4D16"/>
    <w:rsid w:val="000B37DB"/>
    <w:rsid w:val="000B5A07"/>
    <w:rsid w:val="000B66CC"/>
    <w:rsid w:val="000C0D35"/>
    <w:rsid w:val="000C3867"/>
    <w:rsid w:val="000D0434"/>
    <w:rsid w:val="000D1B65"/>
    <w:rsid w:val="000D2FFD"/>
    <w:rsid w:val="000D40AD"/>
    <w:rsid w:val="000D5535"/>
    <w:rsid w:val="000D5FE8"/>
    <w:rsid w:val="000D62F1"/>
    <w:rsid w:val="000E12D2"/>
    <w:rsid w:val="000E3198"/>
    <w:rsid w:val="000E36C9"/>
    <w:rsid w:val="000E52C4"/>
    <w:rsid w:val="000F0B59"/>
    <w:rsid w:val="000F0D51"/>
    <w:rsid w:val="000F153E"/>
    <w:rsid w:val="000F33C2"/>
    <w:rsid w:val="000F5A85"/>
    <w:rsid w:val="000F5D4B"/>
    <w:rsid w:val="0010317B"/>
    <w:rsid w:val="00104AFA"/>
    <w:rsid w:val="00107E7F"/>
    <w:rsid w:val="00111691"/>
    <w:rsid w:val="00114F49"/>
    <w:rsid w:val="00116B57"/>
    <w:rsid w:val="00117776"/>
    <w:rsid w:val="001210EC"/>
    <w:rsid w:val="001231A2"/>
    <w:rsid w:val="001311A5"/>
    <w:rsid w:val="001364EE"/>
    <w:rsid w:val="00137DA3"/>
    <w:rsid w:val="00140054"/>
    <w:rsid w:val="00140BB9"/>
    <w:rsid w:val="00146732"/>
    <w:rsid w:val="0015256E"/>
    <w:rsid w:val="001525A2"/>
    <w:rsid w:val="00152CB0"/>
    <w:rsid w:val="001639A2"/>
    <w:rsid w:val="00164713"/>
    <w:rsid w:val="00166113"/>
    <w:rsid w:val="00170D1A"/>
    <w:rsid w:val="001748D6"/>
    <w:rsid w:val="00176104"/>
    <w:rsid w:val="001764D0"/>
    <w:rsid w:val="00184BEB"/>
    <w:rsid w:val="00186D2E"/>
    <w:rsid w:val="00187081"/>
    <w:rsid w:val="001878E8"/>
    <w:rsid w:val="00187ED4"/>
    <w:rsid w:val="00191221"/>
    <w:rsid w:val="00191298"/>
    <w:rsid w:val="001948C8"/>
    <w:rsid w:val="00194D47"/>
    <w:rsid w:val="001952E8"/>
    <w:rsid w:val="001954A4"/>
    <w:rsid w:val="00196880"/>
    <w:rsid w:val="001A044F"/>
    <w:rsid w:val="001A2CF6"/>
    <w:rsid w:val="001A5E5A"/>
    <w:rsid w:val="001A5EF9"/>
    <w:rsid w:val="001A634F"/>
    <w:rsid w:val="001B2884"/>
    <w:rsid w:val="001B2BA8"/>
    <w:rsid w:val="001B560E"/>
    <w:rsid w:val="001B6711"/>
    <w:rsid w:val="001C5ADC"/>
    <w:rsid w:val="001C5E36"/>
    <w:rsid w:val="001C5E75"/>
    <w:rsid w:val="001D14FA"/>
    <w:rsid w:val="001D1693"/>
    <w:rsid w:val="001D331B"/>
    <w:rsid w:val="001D382E"/>
    <w:rsid w:val="001D4888"/>
    <w:rsid w:val="001D5523"/>
    <w:rsid w:val="001D5978"/>
    <w:rsid w:val="001E1EEE"/>
    <w:rsid w:val="001E47EF"/>
    <w:rsid w:val="001E692C"/>
    <w:rsid w:val="001E74C6"/>
    <w:rsid w:val="001F1874"/>
    <w:rsid w:val="001F6B74"/>
    <w:rsid w:val="00202B6B"/>
    <w:rsid w:val="00202CEB"/>
    <w:rsid w:val="0020393C"/>
    <w:rsid w:val="00204FE6"/>
    <w:rsid w:val="00205831"/>
    <w:rsid w:val="00206406"/>
    <w:rsid w:val="00206C57"/>
    <w:rsid w:val="00212D31"/>
    <w:rsid w:val="002130C8"/>
    <w:rsid w:val="0021317E"/>
    <w:rsid w:val="00214C11"/>
    <w:rsid w:val="00215D8B"/>
    <w:rsid w:val="00220242"/>
    <w:rsid w:val="002207AE"/>
    <w:rsid w:val="002223D4"/>
    <w:rsid w:val="002235A8"/>
    <w:rsid w:val="00223DEC"/>
    <w:rsid w:val="002270F1"/>
    <w:rsid w:val="00227201"/>
    <w:rsid w:val="00232558"/>
    <w:rsid w:val="00237E33"/>
    <w:rsid w:val="00241040"/>
    <w:rsid w:val="00244C93"/>
    <w:rsid w:val="00245B0D"/>
    <w:rsid w:val="00251CE5"/>
    <w:rsid w:val="00251E8D"/>
    <w:rsid w:val="00255D01"/>
    <w:rsid w:val="002560A6"/>
    <w:rsid w:val="002629E0"/>
    <w:rsid w:val="00263D0E"/>
    <w:rsid w:val="0026407C"/>
    <w:rsid w:val="0026499D"/>
    <w:rsid w:val="00267BB2"/>
    <w:rsid w:val="00270972"/>
    <w:rsid w:val="002716BE"/>
    <w:rsid w:val="00277D97"/>
    <w:rsid w:val="00280A05"/>
    <w:rsid w:val="00281EA5"/>
    <w:rsid w:val="00282357"/>
    <w:rsid w:val="00283FE2"/>
    <w:rsid w:val="002848D6"/>
    <w:rsid w:val="002858B9"/>
    <w:rsid w:val="00285965"/>
    <w:rsid w:val="0028622A"/>
    <w:rsid w:val="00287B8D"/>
    <w:rsid w:val="00287CB0"/>
    <w:rsid w:val="00292D86"/>
    <w:rsid w:val="0029435A"/>
    <w:rsid w:val="002949DB"/>
    <w:rsid w:val="002961EA"/>
    <w:rsid w:val="002A511E"/>
    <w:rsid w:val="002A6EAA"/>
    <w:rsid w:val="002B167B"/>
    <w:rsid w:val="002B1E8A"/>
    <w:rsid w:val="002B5639"/>
    <w:rsid w:val="002B651A"/>
    <w:rsid w:val="002B6E7E"/>
    <w:rsid w:val="002C1536"/>
    <w:rsid w:val="002C50A8"/>
    <w:rsid w:val="002C58DE"/>
    <w:rsid w:val="002C77E4"/>
    <w:rsid w:val="002D0F0F"/>
    <w:rsid w:val="002D1553"/>
    <w:rsid w:val="002D1AE1"/>
    <w:rsid w:val="002D52E7"/>
    <w:rsid w:val="002D7BFB"/>
    <w:rsid w:val="002E0A4D"/>
    <w:rsid w:val="002E1ACA"/>
    <w:rsid w:val="002E3E01"/>
    <w:rsid w:val="002E4DD7"/>
    <w:rsid w:val="002E6530"/>
    <w:rsid w:val="002F1AAE"/>
    <w:rsid w:val="002F23D0"/>
    <w:rsid w:val="002F2D1C"/>
    <w:rsid w:val="002F35C8"/>
    <w:rsid w:val="002F36F4"/>
    <w:rsid w:val="002F4C05"/>
    <w:rsid w:val="002F63AB"/>
    <w:rsid w:val="002F6AE7"/>
    <w:rsid w:val="00301E1D"/>
    <w:rsid w:val="00305525"/>
    <w:rsid w:val="00310C11"/>
    <w:rsid w:val="003134F5"/>
    <w:rsid w:val="0031449D"/>
    <w:rsid w:val="00316C2C"/>
    <w:rsid w:val="003204F0"/>
    <w:rsid w:val="0032273D"/>
    <w:rsid w:val="00327F11"/>
    <w:rsid w:val="00330725"/>
    <w:rsid w:val="00331867"/>
    <w:rsid w:val="00335AC3"/>
    <w:rsid w:val="00335F40"/>
    <w:rsid w:val="00340BAB"/>
    <w:rsid w:val="00341333"/>
    <w:rsid w:val="0034160C"/>
    <w:rsid w:val="003425EE"/>
    <w:rsid w:val="00347353"/>
    <w:rsid w:val="003477AA"/>
    <w:rsid w:val="00350A10"/>
    <w:rsid w:val="00351B60"/>
    <w:rsid w:val="003522DE"/>
    <w:rsid w:val="00352F02"/>
    <w:rsid w:val="00354C4D"/>
    <w:rsid w:val="00357362"/>
    <w:rsid w:val="003624EA"/>
    <w:rsid w:val="003627A1"/>
    <w:rsid w:val="00384DB0"/>
    <w:rsid w:val="0038528B"/>
    <w:rsid w:val="00386085"/>
    <w:rsid w:val="0038734E"/>
    <w:rsid w:val="00387380"/>
    <w:rsid w:val="00391CCD"/>
    <w:rsid w:val="0039239D"/>
    <w:rsid w:val="0039257D"/>
    <w:rsid w:val="00393666"/>
    <w:rsid w:val="00396CC2"/>
    <w:rsid w:val="003A0BCD"/>
    <w:rsid w:val="003A1182"/>
    <w:rsid w:val="003A178F"/>
    <w:rsid w:val="003A2301"/>
    <w:rsid w:val="003A2B51"/>
    <w:rsid w:val="003A3B6C"/>
    <w:rsid w:val="003A4911"/>
    <w:rsid w:val="003A7EBE"/>
    <w:rsid w:val="003C24A1"/>
    <w:rsid w:val="003C4212"/>
    <w:rsid w:val="003C48AB"/>
    <w:rsid w:val="003C5020"/>
    <w:rsid w:val="003C5E55"/>
    <w:rsid w:val="003C77FA"/>
    <w:rsid w:val="003C790B"/>
    <w:rsid w:val="003C7E8B"/>
    <w:rsid w:val="003D7D69"/>
    <w:rsid w:val="003E2434"/>
    <w:rsid w:val="003F034A"/>
    <w:rsid w:val="003F32F3"/>
    <w:rsid w:val="003F4B87"/>
    <w:rsid w:val="003F62AC"/>
    <w:rsid w:val="003F6501"/>
    <w:rsid w:val="003F69DD"/>
    <w:rsid w:val="004002E6"/>
    <w:rsid w:val="0040056E"/>
    <w:rsid w:val="0040259A"/>
    <w:rsid w:val="004054F5"/>
    <w:rsid w:val="00405594"/>
    <w:rsid w:val="00413EC0"/>
    <w:rsid w:val="004160F2"/>
    <w:rsid w:val="00416F02"/>
    <w:rsid w:val="00422664"/>
    <w:rsid w:val="00423669"/>
    <w:rsid w:val="00423F0C"/>
    <w:rsid w:val="00424565"/>
    <w:rsid w:val="00425F4D"/>
    <w:rsid w:val="00426EDC"/>
    <w:rsid w:val="00430660"/>
    <w:rsid w:val="00431591"/>
    <w:rsid w:val="00431D76"/>
    <w:rsid w:val="00432AEB"/>
    <w:rsid w:val="004353A9"/>
    <w:rsid w:val="00437C49"/>
    <w:rsid w:val="00440882"/>
    <w:rsid w:val="00441B6B"/>
    <w:rsid w:val="00441F0D"/>
    <w:rsid w:val="00446A42"/>
    <w:rsid w:val="00453C79"/>
    <w:rsid w:val="0045548A"/>
    <w:rsid w:val="0046029D"/>
    <w:rsid w:val="00460B5E"/>
    <w:rsid w:val="004625CF"/>
    <w:rsid w:val="004639FD"/>
    <w:rsid w:val="00465091"/>
    <w:rsid w:val="00465DF7"/>
    <w:rsid w:val="00472185"/>
    <w:rsid w:val="00472EA2"/>
    <w:rsid w:val="00474BB6"/>
    <w:rsid w:val="00480388"/>
    <w:rsid w:val="0048085B"/>
    <w:rsid w:val="00483BA4"/>
    <w:rsid w:val="004845C1"/>
    <w:rsid w:val="00487F4D"/>
    <w:rsid w:val="00491855"/>
    <w:rsid w:val="00494CF7"/>
    <w:rsid w:val="004965D0"/>
    <w:rsid w:val="004A20DA"/>
    <w:rsid w:val="004A6146"/>
    <w:rsid w:val="004B14AC"/>
    <w:rsid w:val="004B3877"/>
    <w:rsid w:val="004B3CCD"/>
    <w:rsid w:val="004B4580"/>
    <w:rsid w:val="004B7FB4"/>
    <w:rsid w:val="004C17BF"/>
    <w:rsid w:val="004C1E81"/>
    <w:rsid w:val="004D176A"/>
    <w:rsid w:val="004D764C"/>
    <w:rsid w:val="004E1C3F"/>
    <w:rsid w:val="004E1C53"/>
    <w:rsid w:val="004E1ED0"/>
    <w:rsid w:val="004E2301"/>
    <w:rsid w:val="004E4626"/>
    <w:rsid w:val="004E4ABF"/>
    <w:rsid w:val="004E5C40"/>
    <w:rsid w:val="004E5E57"/>
    <w:rsid w:val="004E77A7"/>
    <w:rsid w:val="004F0246"/>
    <w:rsid w:val="004F2D3C"/>
    <w:rsid w:val="004F494B"/>
    <w:rsid w:val="004F5AA3"/>
    <w:rsid w:val="00501182"/>
    <w:rsid w:val="00501FB7"/>
    <w:rsid w:val="00502365"/>
    <w:rsid w:val="00510CD0"/>
    <w:rsid w:val="0051463E"/>
    <w:rsid w:val="00517A52"/>
    <w:rsid w:val="00523B97"/>
    <w:rsid w:val="00524415"/>
    <w:rsid w:val="00531816"/>
    <w:rsid w:val="0053197E"/>
    <w:rsid w:val="00535798"/>
    <w:rsid w:val="005379C7"/>
    <w:rsid w:val="00537B45"/>
    <w:rsid w:val="005408B0"/>
    <w:rsid w:val="00540BCF"/>
    <w:rsid w:val="00541085"/>
    <w:rsid w:val="00542780"/>
    <w:rsid w:val="00545ACA"/>
    <w:rsid w:val="00546381"/>
    <w:rsid w:val="00546747"/>
    <w:rsid w:val="00546BB1"/>
    <w:rsid w:val="00547C4D"/>
    <w:rsid w:val="00550E05"/>
    <w:rsid w:val="00550EFF"/>
    <w:rsid w:val="00550FC6"/>
    <w:rsid w:val="00552B11"/>
    <w:rsid w:val="00554676"/>
    <w:rsid w:val="0055713B"/>
    <w:rsid w:val="00557414"/>
    <w:rsid w:val="005667F7"/>
    <w:rsid w:val="00566BFE"/>
    <w:rsid w:val="00567B04"/>
    <w:rsid w:val="00575B5B"/>
    <w:rsid w:val="00580A32"/>
    <w:rsid w:val="00584207"/>
    <w:rsid w:val="005928D7"/>
    <w:rsid w:val="00593402"/>
    <w:rsid w:val="005955C0"/>
    <w:rsid w:val="005A1824"/>
    <w:rsid w:val="005A5B14"/>
    <w:rsid w:val="005A6E91"/>
    <w:rsid w:val="005C0D2E"/>
    <w:rsid w:val="005C3D53"/>
    <w:rsid w:val="005C409A"/>
    <w:rsid w:val="005C7F1B"/>
    <w:rsid w:val="005D4EF8"/>
    <w:rsid w:val="005D670E"/>
    <w:rsid w:val="005D70F8"/>
    <w:rsid w:val="005E4B45"/>
    <w:rsid w:val="005F12DC"/>
    <w:rsid w:val="006010D4"/>
    <w:rsid w:val="00601207"/>
    <w:rsid w:val="00603CBB"/>
    <w:rsid w:val="0060524B"/>
    <w:rsid w:val="00607C2D"/>
    <w:rsid w:val="00607FF6"/>
    <w:rsid w:val="0061157C"/>
    <w:rsid w:val="00611634"/>
    <w:rsid w:val="00611D50"/>
    <w:rsid w:val="0061274C"/>
    <w:rsid w:val="00614FCB"/>
    <w:rsid w:val="00616DCF"/>
    <w:rsid w:val="006178DD"/>
    <w:rsid w:val="00620C3B"/>
    <w:rsid w:val="00621B64"/>
    <w:rsid w:val="00625535"/>
    <w:rsid w:val="00626C04"/>
    <w:rsid w:val="00630003"/>
    <w:rsid w:val="00636A29"/>
    <w:rsid w:val="00644864"/>
    <w:rsid w:val="006500D8"/>
    <w:rsid w:val="00657D74"/>
    <w:rsid w:val="006617E7"/>
    <w:rsid w:val="0066368C"/>
    <w:rsid w:val="00664067"/>
    <w:rsid w:val="006659C4"/>
    <w:rsid w:val="006669A7"/>
    <w:rsid w:val="00667BA5"/>
    <w:rsid w:val="006702D1"/>
    <w:rsid w:val="00671A34"/>
    <w:rsid w:val="00672E84"/>
    <w:rsid w:val="0067370E"/>
    <w:rsid w:val="0067482A"/>
    <w:rsid w:val="006766A3"/>
    <w:rsid w:val="006809AD"/>
    <w:rsid w:val="00680DB5"/>
    <w:rsid w:val="00681579"/>
    <w:rsid w:val="00682322"/>
    <w:rsid w:val="00684F00"/>
    <w:rsid w:val="00691CE6"/>
    <w:rsid w:val="00692695"/>
    <w:rsid w:val="00697F97"/>
    <w:rsid w:val="006A13E4"/>
    <w:rsid w:val="006A4E00"/>
    <w:rsid w:val="006A77E6"/>
    <w:rsid w:val="006B020D"/>
    <w:rsid w:val="006B0CDC"/>
    <w:rsid w:val="006B0D00"/>
    <w:rsid w:val="006B2BB4"/>
    <w:rsid w:val="006B3B83"/>
    <w:rsid w:val="006B3DDE"/>
    <w:rsid w:val="006C38D0"/>
    <w:rsid w:val="006C3F8D"/>
    <w:rsid w:val="006C4D0D"/>
    <w:rsid w:val="006D2B73"/>
    <w:rsid w:val="006D4E96"/>
    <w:rsid w:val="006D5D88"/>
    <w:rsid w:val="006D63A3"/>
    <w:rsid w:val="006D6600"/>
    <w:rsid w:val="006E134F"/>
    <w:rsid w:val="006E5251"/>
    <w:rsid w:val="006E70BA"/>
    <w:rsid w:val="006E76C5"/>
    <w:rsid w:val="006F3E66"/>
    <w:rsid w:val="006F5E0C"/>
    <w:rsid w:val="006F6B83"/>
    <w:rsid w:val="00700BF4"/>
    <w:rsid w:val="007060BF"/>
    <w:rsid w:val="00706170"/>
    <w:rsid w:val="00710AD3"/>
    <w:rsid w:val="00710D6C"/>
    <w:rsid w:val="00711BDB"/>
    <w:rsid w:val="007136D1"/>
    <w:rsid w:val="007178B3"/>
    <w:rsid w:val="00723EB0"/>
    <w:rsid w:val="00725B2D"/>
    <w:rsid w:val="00726680"/>
    <w:rsid w:val="00727580"/>
    <w:rsid w:val="00727D18"/>
    <w:rsid w:val="00730362"/>
    <w:rsid w:val="00731519"/>
    <w:rsid w:val="00732EE7"/>
    <w:rsid w:val="0073752F"/>
    <w:rsid w:val="00740B53"/>
    <w:rsid w:val="00743215"/>
    <w:rsid w:val="00747EA7"/>
    <w:rsid w:val="0075099E"/>
    <w:rsid w:val="007540BC"/>
    <w:rsid w:val="00754170"/>
    <w:rsid w:val="00757588"/>
    <w:rsid w:val="00757E9B"/>
    <w:rsid w:val="00760415"/>
    <w:rsid w:val="007638E6"/>
    <w:rsid w:val="00763EF6"/>
    <w:rsid w:val="00770D02"/>
    <w:rsid w:val="00776037"/>
    <w:rsid w:val="00776D44"/>
    <w:rsid w:val="007773D2"/>
    <w:rsid w:val="007778FA"/>
    <w:rsid w:val="00777CA0"/>
    <w:rsid w:val="00781433"/>
    <w:rsid w:val="00782886"/>
    <w:rsid w:val="007837B8"/>
    <w:rsid w:val="007865B3"/>
    <w:rsid w:val="00787082"/>
    <w:rsid w:val="007908C8"/>
    <w:rsid w:val="00796CAC"/>
    <w:rsid w:val="00797DF3"/>
    <w:rsid w:val="007A145C"/>
    <w:rsid w:val="007A1DAB"/>
    <w:rsid w:val="007A33D9"/>
    <w:rsid w:val="007B13B1"/>
    <w:rsid w:val="007B4AAF"/>
    <w:rsid w:val="007C13DB"/>
    <w:rsid w:val="007C6EEF"/>
    <w:rsid w:val="007D0C31"/>
    <w:rsid w:val="007D3297"/>
    <w:rsid w:val="007D48B5"/>
    <w:rsid w:val="007D59C8"/>
    <w:rsid w:val="007E3A9A"/>
    <w:rsid w:val="007E3A9E"/>
    <w:rsid w:val="007E4CE1"/>
    <w:rsid w:val="007E4DCB"/>
    <w:rsid w:val="007E6ABD"/>
    <w:rsid w:val="007F2D46"/>
    <w:rsid w:val="007F66C7"/>
    <w:rsid w:val="007F7AF4"/>
    <w:rsid w:val="00802385"/>
    <w:rsid w:val="008034A5"/>
    <w:rsid w:val="00804372"/>
    <w:rsid w:val="00805C7C"/>
    <w:rsid w:val="0080749A"/>
    <w:rsid w:val="0080783E"/>
    <w:rsid w:val="0081140A"/>
    <w:rsid w:val="00811D4C"/>
    <w:rsid w:val="00813446"/>
    <w:rsid w:val="00823866"/>
    <w:rsid w:val="00824997"/>
    <w:rsid w:val="008250F6"/>
    <w:rsid w:val="00825349"/>
    <w:rsid w:val="008253FF"/>
    <w:rsid w:val="00825D04"/>
    <w:rsid w:val="00826106"/>
    <w:rsid w:val="0082696E"/>
    <w:rsid w:val="0082750C"/>
    <w:rsid w:val="00832D22"/>
    <w:rsid w:val="008360A9"/>
    <w:rsid w:val="0083636C"/>
    <w:rsid w:val="008371F1"/>
    <w:rsid w:val="008376E1"/>
    <w:rsid w:val="00843A15"/>
    <w:rsid w:val="008447EC"/>
    <w:rsid w:val="00846D66"/>
    <w:rsid w:val="00851AE3"/>
    <w:rsid w:val="00855528"/>
    <w:rsid w:val="00857C20"/>
    <w:rsid w:val="00861448"/>
    <w:rsid w:val="008614B2"/>
    <w:rsid w:val="00863FCE"/>
    <w:rsid w:val="008656B9"/>
    <w:rsid w:val="00867CEF"/>
    <w:rsid w:val="00870BA8"/>
    <w:rsid w:val="00870DB0"/>
    <w:rsid w:val="00873357"/>
    <w:rsid w:val="008735BC"/>
    <w:rsid w:val="008776C3"/>
    <w:rsid w:val="0088115E"/>
    <w:rsid w:val="0088669F"/>
    <w:rsid w:val="00887495"/>
    <w:rsid w:val="00890DB3"/>
    <w:rsid w:val="00892AC4"/>
    <w:rsid w:val="0089461A"/>
    <w:rsid w:val="00896178"/>
    <w:rsid w:val="008A136C"/>
    <w:rsid w:val="008A2AEA"/>
    <w:rsid w:val="008B00A4"/>
    <w:rsid w:val="008B0861"/>
    <w:rsid w:val="008B223B"/>
    <w:rsid w:val="008B3949"/>
    <w:rsid w:val="008B433E"/>
    <w:rsid w:val="008B4631"/>
    <w:rsid w:val="008B4CEF"/>
    <w:rsid w:val="008B730F"/>
    <w:rsid w:val="008B7AD5"/>
    <w:rsid w:val="008C239D"/>
    <w:rsid w:val="008C35E5"/>
    <w:rsid w:val="008C4BBE"/>
    <w:rsid w:val="008C6800"/>
    <w:rsid w:val="008C7F0E"/>
    <w:rsid w:val="008D0888"/>
    <w:rsid w:val="008D4A75"/>
    <w:rsid w:val="008E0EEA"/>
    <w:rsid w:val="008E0F7B"/>
    <w:rsid w:val="008E2276"/>
    <w:rsid w:val="008E2874"/>
    <w:rsid w:val="008E5C9E"/>
    <w:rsid w:val="008E5CC5"/>
    <w:rsid w:val="008E720D"/>
    <w:rsid w:val="008F0E65"/>
    <w:rsid w:val="008F2FC4"/>
    <w:rsid w:val="00902E7F"/>
    <w:rsid w:val="0090512D"/>
    <w:rsid w:val="00905C71"/>
    <w:rsid w:val="009070A4"/>
    <w:rsid w:val="00910B43"/>
    <w:rsid w:val="009120F0"/>
    <w:rsid w:val="009163CE"/>
    <w:rsid w:val="00916854"/>
    <w:rsid w:val="0092095C"/>
    <w:rsid w:val="009314BC"/>
    <w:rsid w:val="009326E5"/>
    <w:rsid w:val="009329AE"/>
    <w:rsid w:val="009342EA"/>
    <w:rsid w:val="009359A6"/>
    <w:rsid w:val="009427F3"/>
    <w:rsid w:val="0094579A"/>
    <w:rsid w:val="00951968"/>
    <w:rsid w:val="009550E0"/>
    <w:rsid w:val="00955244"/>
    <w:rsid w:val="00956220"/>
    <w:rsid w:val="00961755"/>
    <w:rsid w:val="009629A3"/>
    <w:rsid w:val="0096483B"/>
    <w:rsid w:val="009777DE"/>
    <w:rsid w:val="0098109E"/>
    <w:rsid w:val="00983D27"/>
    <w:rsid w:val="00985A78"/>
    <w:rsid w:val="00987944"/>
    <w:rsid w:val="00990B73"/>
    <w:rsid w:val="00991C9D"/>
    <w:rsid w:val="00991EE2"/>
    <w:rsid w:val="00992AC2"/>
    <w:rsid w:val="00993F89"/>
    <w:rsid w:val="00993FCD"/>
    <w:rsid w:val="00996AE3"/>
    <w:rsid w:val="00996D01"/>
    <w:rsid w:val="009A0B6C"/>
    <w:rsid w:val="009A0CBA"/>
    <w:rsid w:val="009A1205"/>
    <w:rsid w:val="009A1C4D"/>
    <w:rsid w:val="009A45F5"/>
    <w:rsid w:val="009A5E83"/>
    <w:rsid w:val="009A631B"/>
    <w:rsid w:val="009A68D9"/>
    <w:rsid w:val="009A7CEE"/>
    <w:rsid w:val="009B0078"/>
    <w:rsid w:val="009B0889"/>
    <w:rsid w:val="009B0E2A"/>
    <w:rsid w:val="009B3101"/>
    <w:rsid w:val="009B567A"/>
    <w:rsid w:val="009C02F2"/>
    <w:rsid w:val="009C19A9"/>
    <w:rsid w:val="009C19E9"/>
    <w:rsid w:val="009C1B1C"/>
    <w:rsid w:val="009C2EFE"/>
    <w:rsid w:val="009C475C"/>
    <w:rsid w:val="009C6AEE"/>
    <w:rsid w:val="009C7E37"/>
    <w:rsid w:val="009D013D"/>
    <w:rsid w:val="009D04E4"/>
    <w:rsid w:val="009D220F"/>
    <w:rsid w:val="009D4AA1"/>
    <w:rsid w:val="009D4F67"/>
    <w:rsid w:val="009D5609"/>
    <w:rsid w:val="009D63BC"/>
    <w:rsid w:val="009D7528"/>
    <w:rsid w:val="009E2EF1"/>
    <w:rsid w:val="009E316F"/>
    <w:rsid w:val="009E3F64"/>
    <w:rsid w:val="009E48A1"/>
    <w:rsid w:val="009E6127"/>
    <w:rsid w:val="009E7BAF"/>
    <w:rsid w:val="009E7DB9"/>
    <w:rsid w:val="009F0A03"/>
    <w:rsid w:val="009F2374"/>
    <w:rsid w:val="009F30AF"/>
    <w:rsid w:val="009F34C7"/>
    <w:rsid w:val="009F7CA2"/>
    <w:rsid w:val="00A008B2"/>
    <w:rsid w:val="00A01708"/>
    <w:rsid w:val="00A049F4"/>
    <w:rsid w:val="00A0626A"/>
    <w:rsid w:val="00A11520"/>
    <w:rsid w:val="00A123BF"/>
    <w:rsid w:val="00A13F94"/>
    <w:rsid w:val="00A2089D"/>
    <w:rsid w:val="00A22EA2"/>
    <w:rsid w:val="00A25F87"/>
    <w:rsid w:val="00A26814"/>
    <w:rsid w:val="00A26E18"/>
    <w:rsid w:val="00A332D1"/>
    <w:rsid w:val="00A3381C"/>
    <w:rsid w:val="00A34739"/>
    <w:rsid w:val="00A36120"/>
    <w:rsid w:val="00A37C02"/>
    <w:rsid w:val="00A4178A"/>
    <w:rsid w:val="00A42226"/>
    <w:rsid w:val="00A450F7"/>
    <w:rsid w:val="00A4558B"/>
    <w:rsid w:val="00A46DA6"/>
    <w:rsid w:val="00A478F9"/>
    <w:rsid w:val="00A50C22"/>
    <w:rsid w:val="00A551BA"/>
    <w:rsid w:val="00A60378"/>
    <w:rsid w:val="00A609A3"/>
    <w:rsid w:val="00A60DFA"/>
    <w:rsid w:val="00A63950"/>
    <w:rsid w:val="00A64340"/>
    <w:rsid w:val="00A65BCF"/>
    <w:rsid w:val="00A67739"/>
    <w:rsid w:val="00A70401"/>
    <w:rsid w:val="00A7063C"/>
    <w:rsid w:val="00A7588D"/>
    <w:rsid w:val="00A774D0"/>
    <w:rsid w:val="00A80897"/>
    <w:rsid w:val="00A82600"/>
    <w:rsid w:val="00A82A3E"/>
    <w:rsid w:val="00A82B10"/>
    <w:rsid w:val="00A916AC"/>
    <w:rsid w:val="00A92982"/>
    <w:rsid w:val="00A9433E"/>
    <w:rsid w:val="00A962A1"/>
    <w:rsid w:val="00A96B7A"/>
    <w:rsid w:val="00AA0B93"/>
    <w:rsid w:val="00AA58BC"/>
    <w:rsid w:val="00AA660D"/>
    <w:rsid w:val="00AA6A93"/>
    <w:rsid w:val="00AB3459"/>
    <w:rsid w:val="00AB618C"/>
    <w:rsid w:val="00AC017E"/>
    <w:rsid w:val="00AC0703"/>
    <w:rsid w:val="00AC11C3"/>
    <w:rsid w:val="00AC1C18"/>
    <w:rsid w:val="00AC2B23"/>
    <w:rsid w:val="00AC63B4"/>
    <w:rsid w:val="00AC6400"/>
    <w:rsid w:val="00AC6A74"/>
    <w:rsid w:val="00AC713D"/>
    <w:rsid w:val="00AD0408"/>
    <w:rsid w:val="00AD2F3E"/>
    <w:rsid w:val="00AD4013"/>
    <w:rsid w:val="00AD7455"/>
    <w:rsid w:val="00AE1683"/>
    <w:rsid w:val="00AE1E16"/>
    <w:rsid w:val="00AE20AF"/>
    <w:rsid w:val="00AE23D2"/>
    <w:rsid w:val="00AE311A"/>
    <w:rsid w:val="00AE3505"/>
    <w:rsid w:val="00AE60C0"/>
    <w:rsid w:val="00AE6230"/>
    <w:rsid w:val="00AE7E36"/>
    <w:rsid w:val="00AF016E"/>
    <w:rsid w:val="00AF05EF"/>
    <w:rsid w:val="00AF0946"/>
    <w:rsid w:val="00AF1A0C"/>
    <w:rsid w:val="00AF320E"/>
    <w:rsid w:val="00AF57A7"/>
    <w:rsid w:val="00B00110"/>
    <w:rsid w:val="00B01B1F"/>
    <w:rsid w:val="00B03192"/>
    <w:rsid w:val="00B03A37"/>
    <w:rsid w:val="00B15101"/>
    <w:rsid w:val="00B1576F"/>
    <w:rsid w:val="00B20988"/>
    <w:rsid w:val="00B22679"/>
    <w:rsid w:val="00B23F5A"/>
    <w:rsid w:val="00B241AC"/>
    <w:rsid w:val="00B24C9D"/>
    <w:rsid w:val="00B2759E"/>
    <w:rsid w:val="00B277FB"/>
    <w:rsid w:val="00B27B2E"/>
    <w:rsid w:val="00B36EB3"/>
    <w:rsid w:val="00B43681"/>
    <w:rsid w:val="00B4433B"/>
    <w:rsid w:val="00B45C97"/>
    <w:rsid w:val="00B4699F"/>
    <w:rsid w:val="00B5103F"/>
    <w:rsid w:val="00B53349"/>
    <w:rsid w:val="00B548E9"/>
    <w:rsid w:val="00B56218"/>
    <w:rsid w:val="00B6102A"/>
    <w:rsid w:val="00B635EA"/>
    <w:rsid w:val="00B649E4"/>
    <w:rsid w:val="00B71BF7"/>
    <w:rsid w:val="00B74232"/>
    <w:rsid w:val="00B7426F"/>
    <w:rsid w:val="00B74271"/>
    <w:rsid w:val="00B76B34"/>
    <w:rsid w:val="00B80738"/>
    <w:rsid w:val="00B81067"/>
    <w:rsid w:val="00B82909"/>
    <w:rsid w:val="00B83DE3"/>
    <w:rsid w:val="00B85AB9"/>
    <w:rsid w:val="00B86A90"/>
    <w:rsid w:val="00B878DF"/>
    <w:rsid w:val="00B92354"/>
    <w:rsid w:val="00B94233"/>
    <w:rsid w:val="00B94D6E"/>
    <w:rsid w:val="00B95D9E"/>
    <w:rsid w:val="00B97BBA"/>
    <w:rsid w:val="00BA0275"/>
    <w:rsid w:val="00BA18D9"/>
    <w:rsid w:val="00BA213B"/>
    <w:rsid w:val="00BA2759"/>
    <w:rsid w:val="00BA3EAC"/>
    <w:rsid w:val="00BA58BB"/>
    <w:rsid w:val="00BB0028"/>
    <w:rsid w:val="00BB2FD5"/>
    <w:rsid w:val="00BB3AD4"/>
    <w:rsid w:val="00BB5335"/>
    <w:rsid w:val="00BB7D54"/>
    <w:rsid w:val="00BC054D"/>
    <w:rsid w:val="00BC138B"/>
    <w:rsid w:val="00BC419D"/>
    <w:rsid w:val="00BC4302"/>
    <w:rsid w:val="00BC68DE"/>
    <w:rsid w:val="00BC7A01"/>
    <w:rsid w:val="00BD333A"/>
    <w:rsid w:val="00BD3752"/>
    <w:rsid w:val="00BD5996"/>
    <w:rsid w:val="00BD5E7A"/>
    <w:rsid w:val="00BD70CD"/>
    <w:rsid w:val="00BE1362"/>
    <w:rsid w:val="00BE2C85"/>
    <w:rsid w:val="00BE3544"/>
    <w:rsid w:val="00BE4DB4"/>
    <w:rsid w:val="00BE5010"/>
    <w:rsid w:val="00BE65C0"/>
    <w:rsid w:val="00BF2AEE"/>
    <w:rsid w:val="00BF2D9A"/>
    <w:rsid w:val="00BF3D0A"/>
    <w:rsid w:val="00BF6284"/>
    <w:rsid w:val="00C0046D"/>
    <w:rsid w:val="00C00CD8"/>
    <w:rsid w:val="00C043A3"/>
    <w:rsid w:val="00C045A4"/>
    <w:rsid w:val="00C1072D"/>
    <w:rsid w:val="00C10B36"/>
    <w:rsid w:val="00C121BD"/>
    <w:rsid w:val="00C21114"/>
    <w:rsid w:val="00C2341E"/>
    <w:rsid w:val="00C33EEA"/>
    <w:rsid w:val="00C34C71"/>
    <w:rsid w:val="00C3617F"/>
    <w:rsid w:val="00C36C76"/>
    <w:rsid w:val="00C4042A"/>
    <w:rsid w:val="00C46468"/>
    <w:rsid w:val="00C46B37"/>
    <w:rsid w:val="00C50970"/>
    <w:rsid w:val="00C511A7"/>
    <w:rsid w:val="00C516A9"/>
    <w:rsid w:val="00C51F81"/>
    <w:rsid w:val="00C52177"/>
    <w:rsid w:val="00C542EE"/>
    <w:rsid w:val="00C55E7B"/>
    <w:rsid w:val="00C5688F"/>
    <w:rsid w:val="00C56CE0"/>
    <w:rsid w:val="00C60EA1"/>
    <w:rsid w:val="00C6203D"/>
    <w:rsid w:val="00C622CD"/>
    <w:rsid w:val="00C631AC"/>
    <w:rsid w:val="00C63651"/>
    <w:rsid w:val="00C642CB"/>
    <w:rsid w:val="00C648B6"/>
    <w:rsid w:val="00C66B0A"/>
    <w:rsid w:val="00C6723B"/>
    <w:rsid w:val="00C726F9"/>
    <w:rsid w:val="00C74608"/>
    <w:rsid w:val="00C76379"/>
    <w:rsid w:val="00C800F6"/>
    <w:rsid w:val="00C83B26"/>
    <w:rsid w:val="00C91194"/>
    <w:rsid w:val="00C91942"/>
    <w:rsid w:val="00C92315"/>
    <w:rsid w:val="00C95B35"/>
    <w:rsid w:val="00C95B9D"/>
    <w:rsid w:val="00C9641E"/>
    <w:rsid w:val="00CA0461"/>
    <w:rsid w:val="00CA0800"/>
    <w:rsid w:val="00CA6BE7"/>
    <w:rsid w:val="00CA7E2A"/>
    <w:rsid w:val="00CB0E16"/>
    <w:rsid w:val="00CB3B41"/>
    <w:rsid w:val="00CC0C85"/>
    <w:rsid w:val="00CC25F6"/>
    <w:rsid w:val="00CC31FB"/>
    <w:rsid w:val="00CC53A5"/>
    <w:rsid w:val="00CC6BD7"/>
    <w:rsid w:val="00CD2967"/>
    <w:rsid w:val="00CD3042"/>
    <w:rsid w:val="00CD3563"/>
    <w:rsid w:val="00CD3996"/>
    <w:rsid w:val="00CD75FD"/>
    <w:rsid w:val="00CD78EB"/>
    <w:rsid w:val="00CE1B63"/>
    <w:rsid w:val="00CE59BA"/>
    <w:rsid w:val="00CF1FBB"/>
    <w:rsid w:val="00CF1FF0"/>
    <w:rsid w:val="00CF4085"/>
    <w:rsid w:val="00CF4797"/>
    <w:rsid w:val="00CF50F2"/>
    <w:rsid w:val="00CF63F5"/>
    <w:rsid w:val="00CF77A9"/>
    <w:rsid w:val="00D0049D"/>
    <w:rsid w:val="00D00D99"/>
    <w:rsid w:val="00D01694"/>
    <w:rsid w:val="00D0542B"/>
    <w:rsid w:val="00D0730F"/>
    <w:rsid w:val="00D0747A"/>
    <w:rsid w:val="00D07D54"/>
    <w:rsid w:val="00D13782"/>
    <w:rsid w:val="00D13AE5"/>
    <w:rsid w:val="00D14F83"/>
    <w:rsid w:val="00D150EA"/>
    <w:rsid w:val="00D200FB"/>
    <w:rsid w:val="00D22FD8"/>
    <w:rsid w:val="00D26F04"/>
    <w:rsid w:val="00D302C8"/>
    <w:rsid w:val="00D30554"/>
    <w:rsid w:val="00D30603"/>
    <w:rsid w:val="00D34201"/>
    <w:rsid w:val="00D35BFE"/>
    <w:rsid w:val="00D37B79"/>
    <w:rsid w:val="00D4046D"/>
    <w:rsid w:val="00D404ED"/>
    <w:rsid w:val="00D4151D"/>
    <w:rsid w:val="00D41721"/>
    <w:rsid w:val="00D47993"/>
    <w:rsid w:val="00D516D6"/>
    <w:rsid w:val="00D5272B"/>
    <w:rsid w:val="00D5585F"/>
    <w:rsid w:val="00D55E61"/>
    <w:rsid w:val="00D5631C"/>
    <w:rsid w:val="00D568E3"/>
    <w:rsid w:val="00D5752C"/>
    <w:rsid w:val="00D577BE"/>
    <w:rsid w:val="00D6133E"/>
    <w:rsid w:val="00D63124"/>
    <w:rsid w:val="00D63E9F"/>
    <w:rsid w:val="00D65C7C"/>
    <w:rsid w:val="00D66ED4"/>
    <w:rsid w:val="00D71493"/>
    <w:rsid w:val="00D743A2"/>
    <w:rsid w:val="00D74E22"/>
    <w:rsid w:val="00D77B1C"/>
    <w:rsid w:val="00D8089C"/>
    <w:rsid w:val="00D81CD9"/>
    <w:rsid w:val="00D81D99"/>
    <w:rsid w:val="00D86913"/>
    <w:rsid w:val="00D906CE"/>
    <w:rsid w:val="00D921E8"/>
    <w:rsid w:val="00D92D6C"/>
    <w:rsid w:val="00D94214"/>
    <w:rsid w:val="00DB388B"/>
    <w:rsid w:val="00DB43DB"/>
    <w:rsid w:val="00DC05C2"/>
    <w:rsid w:val="00DC0E9C"/>
    <w:rsid w:val="00DC3C97"/>
    <w:rsid w:val="00DC3C9F"/>
    <w:rsid w:val="00DC4459"/>
    <w:rsid w:val="00DC78CB"/>
    <w:rsid w:val="00DC7DCB"/>
    <w:rsid w:val="00DD3197"/>
    <w:rsid w:val="00DD378C"/>
    <w:rsid w:val="00DD5A41"/>
    <w:rsid w:val="00DD6256"/>
    <w:rsid w:val="00DE0448"/>
    <w:rsid w:val="00DE2331"/>
    <w:rsid w:val="00DE3A6A"/>
    <w:rsid w:val="00DE5C3E"/>
    <w:rsid w:val="00DE6271"/>
    <w:rsid w:val="00DF1C93"/>
    <w:rsid w:val="00DF232E"/>
    <w:rsid w:val="00DF2364"/>
    <w:rsid w:val="00DF37C4"/>
    <w:rsid w:val="00DF4D33"/>
    <w:rsid w:val="00DF6065"/>
    <w:rsid w:val="00DF79C0"/>
    <w:rsid w:val="00E005AD"/>
    <w:rsid w:val="00E01501"/>
    <w:rsid w:val="00E016AA"/>
    <w:rsid w:val="00E04B5D"/>
    <w:rsid w:val="00E04B97"/>
    <w:rsid w:val="00E05F86"/>
    <w:rsid w:val="00E06EDF"/>
    <w:rsid w:val="00E07253"/>
    <w:rsid w:val="00E14E95"/>
    <w:rsid w:val="00E1596B"/>
    <w:rsid w:val="00E16892"/>
    <w:rsid w:val="00E20E1B"/>
    <w:rsid w:val="00E21161"/>
    <w:rsid w:val="00E2625C"/>
    <w:rsid w:val="00E26513"/>
    <w:rsid w:val="00E2755E"/>
    <w:rsid w:val="00E3012B"/>
    <w:rsid w:val="00E32DC9"/>
    <w:rsid w:val="00E34F51"/>
    <w:rsid w:val="00E35626"/>
    <w:rsid w:val="00E37D93"/>
    <w:rsid w:val="00E405F3"/>
    <w:rsid w:val="00E40C2B"/>
    <w:rsid w:val="00E41D82"/>
    <w:rsid w:val="00E43984"/>
    <w:rsid w:val="00E4788E"/>
    <w:rsid w:val="00E50984"/>
    <w:rsid w:val="00E55209"/>
    <w:rsid w:val="00E57CFB"/>
    <w:rsid w:val="00E60149"/>
    <w:rsid w:val="00E63F2D"/>
    <w:rsid w:val="00E66383"/>
    <w:rsid w:val="00E6773B"/>
    <w:rsid w:val="00E7399C"/>
    <w:rsid w:val="00E753F8"/>
    <w:rsid w:val="00E76CAD"/>
    <w:rsid w:val="00E77947"/>
    <w:rsid w:val="00E77D4A"/>
    <w:rsid w:val="00E81DC5"/>
    <w:rsid w:val="00E90590"/>
    <w:rsid w:val="00E90C76"/>
    <w:rsid w:val="00E924F4"/>
    <w:rsid w:val="00E979E9"/>
    <w:rsid w:val="00EA0B38"/>
    <w:rsid w:val="00EA48E5"/>
    <w:rsid w:val="00EA4BFD"/>
    <w:rsid w:val="00EA5E27"/>
    <w:rsid w:val="00EA70D1"/>
    <w:rsid w:val="00EB3C07"/>
    <w:rsid w:val="00EB7A26"/>
    <w:rsid w:val="00EB7B49"/>
    <w:rsid w:val="00EC0E83"/>
    <w:rsid w:val="00EC18C4"/>
    <w:rsid w:val="00EC1A32"/>
    <w:rsid w:val="00EC7D10"/>
    <w:rsid w:val="00ED06EC"/>
    <w:rsid w:val="00ED0931"/>
    <w:rsid w:val="00ED39C0"/>
    <w:rsid w:val="00ED5320"/>
    <w:rsid w:val="00ED7D44"/>
    <w:rsid w:val="00EE0490"/>
    <w:rsid w:val="00EE04BE"/>
    <w:rsid w:val="00EE1709"/>
    <w:rsid w:val="00EE4E0A"/>
    <w:rsid w:val="00EF394E"/>
    <w:rsid w:val="00EF68AE"/>
    <w:rsid w:val="00EF7E64"/>
    <w:rsid w:val="00F00B10"/>
    <w:rsid w:val="00F016E5"/>
    <w:rsid w:val="00F0559F"/>
    <w:rsid w:val="00F104CB"/>
    <w:rsid w:val="00F11C1A"/>
    <w:rsid w:val="00F126BE"/>
    <w:rsid w:val="00F12FAC"/>
    <w:rsid w:val="00F1624D"/>
    <w:rsid w:val="00F16BC1"/>
    <w:rsid w:val="00F17AC5"/>
    <w:rsid w:val="00F233EA"/>
    <w:rsid w:val="00F247CA"/>
    <w:rsid w:val="00F24F75"/>
    <w:rsid w:val="00F2568C"/>
    <w:rsid w:val="00F2684A"/>
    <w:rsid w:val="00F27894"/>
    <w:rsid w:val="00F30197"/>
    <w:rsid w:val="00F33CB8"/>
    <w:rsid w:val="00F35917"/>
    <w:rsid w:val="00F36A22"/>
    <w:rsid w:val="00F3728F"/>
    <w:rsid w:val="00F4470A"/>
    <w:rsid w:val="00F465BE"/>
    <w:rsid w:val="00F52AA6"/>
    <w:rsid w:val="00F5313D"/>
    <w:rsid w:val="00F546D4"/>
    <w:rsid w:val="00F54B89"/>
    <w:rsid w:val="00F558A4"/>
    <w:rsid w:val="00F65E7C"/>
    <w:rsid w:val="00F677E0"/>
    <w:rsid w:val="00F765EA"/>
    <w:rsid w:val="00F77501"/>
    <w:rsid w:val="00F8022C"/>
    <w:rsid w:val="00F81067"/>
    <w:rsid w:val="00F85625"/>
    <w:rsid w:val="00F860F0"/>
    <w:rsid w:val="00F8696C"/>
    <w:rsid w:val="00F87F4B"/>
    <w:rsid w:val="00F91E98"/>
    <w:rsid w:val="00F92891"/>
    <w:rsid w:val="00F93ECA"/>
    <w:rsid w:val="00F943FF"/>
    <w:rsid w:val="00F95C30"/>
    <w:rsid w:val="00F9729A"/>
    <w:rsid w:val="00FA08FF"/>
    <w:rsid w:val="00FA66AA"/>
    <w:rsid w:val="00FB3FB0"/>
    <w:rsid w:val="00FB459F"/>
    <w:rsid w:val="00FB512D"/>
    <w:rsid w:val="00FC06ED"/>
    <w:rsid w:val="00FC3DB1"/>
    <w:rsid w:val="00FC72A2"/>
    <w:rsid w:val="00FD01D9"/>
    <w:rsid w:val="00FD0D51"/>
    <w:rsid w:val="00FD47A7"/>
    <w:rsid w:val="00FE55C5"/>
    <w:rsid w:val="00FE5E69"/>
    <w:rsid w:val="00FF30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5CF"/>
    <w:pPr>
      <w:widowControl w:val="0"/>
      <w:jc w:val="both"/>
    </w:pPr>
    <w:rPr>
      <w:kern w:val="2"/>
      <w:sz w:val="21"/>
      <w:szCs w:val="22"/>
    </w:rPr>
  </w:style>
  <w:style w:type="paragraph" w:styleId="2">
    <w:name w:val="heading 2"/>
    <w:basedOn w:val="a"/>
    <w:next w:val="a0"/>
    <w:link w:val="2Char"/>
    <w:qFormat/>
    <w:rsid w:val="004625CF"/>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4625C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rsid w:val="00305525"/>
    <w:rPr>
      <w:sz w:val="18"/>
      <w:szCs w:val="18"/>
    </w:rPr>
  </w:style>
  <w:style w:type="paragraph" w:styleId="a5">
    <w:name w:val="footer"/>
    <w:basedOn w:val="a"/>
    <w:link w:val="Char0"/>
    <w:unhideWhenUsed/>
    <w:rsid w:val="004625CF"/>
    <w:pPr>
      <w:tabs>
        <w:tab w:val="center" w:pos="4153"/>
        <w:tab w:val="right" w:pos="8306"/>
      </w:tabs>
      <w:snapToGrid w:val="0"/>
      <w:jc w:val="left"/>
    </w:pPr>
    <w:rPr>
      <w:kern w:val="0"/>
      <w:sz w:val="18"/>
      <w:szCs w:val="18"/>
    </w:rPr>
  </w:style>
  <w:style w:type="character" w:customStyle="1" w:styleId="Char0">
    <w:name w:val="页脚 Char"/>
    <w:link w:val="a5"/>
    <w:rsid w:val="00305525"/>
    <w:rPr>
      <w:sz w:val="18"/>
      <w:szCs w:val="18"/>
    </w:rPr>
  </w:style>
  <w:style w:type="character" w:customStyle="1" w:styleId="2Char">
    <w:name w:val="标题 2 Char"/>
    <w:link w:val="2"/>
    <w:rsid w:val="00305525"/>
    <w:rPr>
      <w:rFonts w:ascii="Arial" w:eastAsia="黑体" w:hAnsi="Arial"/>
      <w:b/>
      <w:sz w:val="32"/>
    </w:rPr>
  </w:style>
  <w:style w:type="numbering" w:customStyle="1" w:styleId="1">
    <w:name w:val="无列表1"/>
    <w:next w:val="a3"/>
    <w:semiHidden/>
    <w:rsid w:val="00305525"/>
  </w:style>
  <w:style w:type="character" w:styleId="a6">
    <w:name w:val="page number"/>
    <w:basedOn w:val="a1"/>
    <w:rsid w:val="00305525"/>
  </w:style>
  <w:style w:type="paragraph" w:styleId="a7">
    <w:name w:val="Normal (Web)"/>
    <w:basedOn w:val="a"/>
    <w:rsid w:val="00305525"/>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305525"/>
    <w:rPr>
      <w:b/>
      <w:bCs/>
    </w:rPr>
  </w:style>
  <w:style w:type="character" w:styleId="a9">
    <w:name w:val="Hyperlink"/>
    <w:rsid w:val="00305525"/>
    <w:rPr>
      <w:color w:val="0000FF"/>
      <w:u w:val="single"/>
    </w:rPr>
  </w:style>
  <w:style w:type="paragraph" w:customStyle="1" w:styleId="wz1">
    <w:name w:val="wz1"/>
    <w:basedOn w:val="a"/>
    <w:rsid w:val="0030552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305525"/>
    <w:pPr>
      <w:spacing w:line="360" w:lineRule="auto"/>
    </w:pPr>
    <w:rPr>
      <w:rFonts w:ascii="仿宋_GB2312" w:eastAsia="仿宋_GB2312" w:hAnsi="Times New Roman"/>
      <w:color w:val="000000"/>
      <w:kern w:val="0"/>
      <w:sz w:val="24"/>
      <w:szCs w:val="28"/>
    </w:rPr>
  </w:style>
  <w:style w:type="character" w:customStyle="1" w:styleId="Char1">
    <w:name w:val="正文文本 Char"/>
    <w:link w:val="aa"/>
    <w:rsid w:val="00305525"/>
    <w:rPr>
      <w:rFonts w:ascii="仿宋_GB2312" w:eastAsia="仿宋_GB2312" w:hAnsi="Times New Roman" w:cs="Times New Roman"/>
      <w:color w:val="000000"/>
      <w:kern w:val="0"/>
      <w:sz w:val="24"/>
      <w:szCs w:val="28"/>
    </w:rPr>
  </w:style>
  <w:style w:type="character" w:customStyle="1" w:styleId="read">
    <w:name w:val="read"/>
    <w:basedOn w:val="a1"/>
    <w:rsid w:val="00305525"/>
  </w:style>
  <w:style w:type="paragraph" w:styleId="a0">
    <w:name w:val="Normal Indent"/>
    <w:basedOn w:val="a"/>
    <w:rsid w:val="00305525"/>
    <w:pPr>
      <w:ind w:firstLineChars="200" w:firstLine="420"/>
    </w:pPr>
    <w:rPr>
      <w:rFonts w:ascii="Times New Roman" w:hAnsi="Times New Roman"/>
      <w:szCs w:val="24"/>
    </w:rPr>
  </w:style>
  <w:style w:type="paragraph" w:styleId="ab">
    <w:name w:val="Body Text Indent"/>
    <w:basedOn w:val="a"/>
    <w:link w:val="Char2"/>
    <w:rsid w:val="004625CF"/>
    <w:pPr>
      <w:adjustRightInd w:val="0"/>
      <w:snapToGrid w:val="0"/>
      <w:spacing w:line="560" w:lineRule="exact"/>
      <w:ind w:firstLineChars="200" w:firstLine="480"/>
    </w:pPr>
    <w:rPr>
      <w:rFonts w:ascii="Times New Roman" w:eastAsia="方正仿宋简体" w:hAnsi="Times New Roman"/>
      <w:kern w:val="0"/>
      <w:sz w:val="24"/>
      <w:szCs w:val="30"/>
    </w:rPr>
  </w:style>
  <w:style w:type="character" w:customStyle="1" w:styleId="Char2">
    <w:name w:val="正文文本缩进 Char"/>
    <w:link w:val="ab"/>
    <w:rsid w:val="00305525"/>
    <w:rPr>
      <w:rFonts w:ascii="Times New Roman" w:eastAsia="方正仿宋简体" w:hAnsi="Times New Roman"/>
      <w:sz w:val="24"/>
      <w:szCs w:val="30"/>
    </w:rPr>
  </w:style>
  <w:style w:type="paragraph" w:styleId="20">
    <w:name w:val="Body Text Indent 2"/>
    <w:basedOn w:val="a"/>
    <w:link w:val="2Char0"/>
    <w:rsid w:val="004625CF"/>
    <w:pPr>
      <w:spacing w:line="360" w:lineRule="auto"/>
      <w:ind w:firstLine="525"/>
    </w:pPr>
    <w:rPr>
      <w:rFonts w:ascii="宋体" w:hAnsi="宋体"/>
      <w:kern w:val="0"/>
      <w:sz w:val="28"/>
      <w:szCs w:val="20"/>
    </w:rPr>
  </w:style>
  <w:style w:type="character" w:customStyle="1" w:styleId="2Char0">
    <w:name w:val="正文文本缩进 2 Char"/>
    <w:link w:val="20"/>
    <w:rsid w:val="00305525"/>
    <w:rPr>
      <w:rFonts w:ascii="宋体" w:hAnsi="宋体"/>
      <w:sz w:val="28"/>
    </w:rPr>
  </w:style>
  <w:style w:type="paragraph" w:styleId="3">
    <w:name w:val="Body Text Indent 3"/>
    <w:basedOn w:val="a"/>
    <w:link w:val="3Char"/>
    <w:rsid w:val="004625CF"/>
    <w:pPr>
      <w:adjustRightInd w:val="0"/>
      <w:snapToGrid w:val="0"/>
      <w:ind w:firstLineChars="200" w:firstLine="480"/>
    </w:pPr>
    <w:rPr>
      <w:rFonts w:ascii="仿宋_GB2312" w:eastAsia="仿宋_GB2312" w:hAnsi="宋体"/>
      <w:color w:val="000000"/>
      <w:kern w:val="0"/>
      <w:sz w:val="24"/>
      <w:szCs w:val="24"/>
    </w:rPr>
  </w:style>
  <w:style w:type="character" w:customStyle="1" w:styleId="3Char">
    <w:name w:val="正文文本缩进 3 Char"/>
    <w:link w:val="3"/>
    <w:rsid w:val="00305525"/>
    <w:rPr>
      <w:rFonts w:ascii="仿宋_GB2312" w:eastAsia="仿宋_GB2312" w:hAnsi="宋体"/>
      <w:color w:val="000000"/>
      <w:sz w:val="24"/>
      <w:szCs w:val="24"/>
    </w:rPr>
  </w:style>
  <w:style w:type="paragraph" w:styleId="10">
    <w:name w:val="toc 1"/>
    <w:basedOn w:val="a"/>
    <w:next w:val="a"/>
    <w:autoRedefine/>
    <w:semiHidden/>
    <w:rsid w:val="00305525"/>
    <w:rPr>
      <w:rFonts w:ascii="Times New Roman" w:hAnsi="Times New Roman"/>
      <w:szCs w:val="24"/>
    </w:rPr>
  </w:style>
  <w:style w:type="paragraph" w:styleId="21">
    <w:name w:val="toc 2"/>
    <w:basedOn w:val="a"/>
    <w:next w:val="a"/>
    <w:autoRedefine/>
    <w:semiHidden/>
    <w:rsid w:val="00305525"/>
    <w:pPr>
      <w:ind w:leftChars="200" w:left="420"/>
    </w:pPr>
    <w:rPr>
      <w:rFonts w:ascii="Times New Roman" w:hAnsi="Times New Roman"/>
      <w:szCs w:val="24"/>
    </w:rPr>
  </w:style>
  <w:style w:type="paragraph" w:styleId="30">
    <w:name w:val="toc 3"/>
    <w:basedOn w:val="a"/>
    <w:next w:val="a"/>
    <w:autoRedefine/>
    <w:semiHidden/>
    <w:rsid w:val="00305525"/>
    <w:pPr>
      <w:ind w:leftChars="400" w:left="840"/>
    </w:pPr>
    <w:rPr>
      <w:rFonts w:ascii="Times New Roman" w:hAnsi="Times New Roman"/>
      <w:szCs w:val="24"/>
    </w:rPr>
  </w:style>
  <w:style w:type="paragraph" w:styleId="4">
    <w:name w:val="toc 4"/>
    <w:basedOn w:val="a"/>
    <w:next w:val="a"/>
    <w:autoRedefine/>
    <w:semiHidden/>
    <w:rsid w:val="00305525"/>
    <w:pPr>
      <w:ind w:leftChars="600" w:left="1260"/>
    </w:pPr>
    <w:rPr>
      <w:rFonts w:ascii="Times New Roman" w:hAnsi="Times New Roman"/>
      <w:szCs w:val="24"/>
    </w:rPr>
  </w:style>
  <w:style w:type="paragraph" w:styleId="5">
    <w:name w:val="toc 5"/>
    <w:basedOn w:val="a"/>
    <w:next w:val="a"/>
    <w:autoRedefine/>
    <w:semiHidden/>
    <w:rsid w:val="00305525"/>
    <w:pPr>
      <w:ind w:leftChars="800" w:left="1680"/>
    </w:pPr>
    <w:rPr>
      <w:rFonts w:ascii="Times New Roman" w:hAnsi="Times New Roman"/>
      <w:szCs w:val="24"/>
    </w:rPr>
  </w:style>
  <w:style w:type="paragraph" w:styleId="6">
    <w:name w:val="toc 6"/>
    <w:basedOn w:val="a"/>
    <w:next w:val="a"/>
    <w:autoRedefine/>
    <w:semiHidden/>
    <w:rsid w:val="00305525"/>
    <w:pPr>
      <w:ind w:leftChars="1000" w:left="2100"/>
    </w:pPr>
    <w:rPr>
      <w:rFonts w:ascii="Times New Roman" w:hAnsi="Times New Roman"/>
      <w:szCs w:val="24"/>
    </w:rPr>
  </w:style>
  <w:style w:type="paragraph" w:styleId="7">
    <w:name w:val="toc 7"/>
    <w:basedOn w:val="a"/>
    <w:next w:val="a"/>
    <w:autoRedefine/>
    <w:semiHidden/>
    <w:rsid w:val="00305525"/>
    <w:pPr>
      <w:ind w:leftChars="1200" w:left="2520"/>
    </w:pPr>
    <w:rPr>
      <w:rFonts w:ascii="Times New Roman" w:hAnsi="Times New Roman"/>
      <w:szCs w:val="24"/>
    </w:rPr>
  </w:style>
  <w:style w:type="paragraph" w:styleId="8">
    <w:name w:val="toc 8"/>
    <w:basedOn w:val="a"/>
    <w:next w:val="a"/>
    <w:autoRedefine/>
    <w:semiHidden/>
    <w:rsid w:val="00305525"/>
    <w:pPr>
      <w:ind w:leftChars="1400" w:left="2940"/>
    </w:pPr>
    <w:rPr>
      <w:rFonts w:ascii="Times New Roman" w:hAnsi="Times New Roman"/>
      <w:szCs w:val="24"/>
    </w:rPr>
  </w:style>
  <w:style w:type="paragraph" w:styleId="9">
    <w:name w:val="toc 9"/>
    <w:basedOn w:val="a"/>
    <w:next w:val="a"/>
    <w:autoRedefine/>
    <w:semiHidden/>
    <w:rsid w:val="00305525"/>
    <w:pPr>
      <w:ind w:leftChars="1600" w:left="3360"/>
    </w:pPr>
    <w:rPr>
      <w:rFonts w:ascii="Times New Roman" w:hAnsi="Times New Roman"/>
      <w:szCs w:val="24"/>
    </w:rPr>
  </w:style>
  <w:style w:type="paragraph" w:customStyle="1" w:styleId="ac">
    <w:rsid w:val="00305525"/>
    <w:pPr>
      <w:widowControl w:val="0"/>
      <w:jc w:val="both"/>
    </w:pPr>
    <w:rPr>
      <w:kern w:val="2"/>
      <w:sz w:val="21"/>
      <w:szCs w:val="22"/>
    </w:rPr>
  </w:style>
  <w:style w:type="paragraph" w:styleId="ad">
    <w:name w:val="Balloon Text"/>
    <w:basedOn w:val="a"/>
    <w:link w:val="Char3"/>
    <w:semiHidden/>
    <w:rsid w:val="004625CF"/>
    <w:rPr>
      <w:rFonts w:ascii="Times New Roman" w:hAnsi="Times New Roman"/>
      <w:kern w:val="0"/>
      <w:sz w:val="18"/>
      <w:szCs w:val="18"/>
    </w:rPr>
  </w:style>
  <w:style w:type="character" w:customStyle="1" w:styleId="Char3">
    <w:name w:val="批注框文本 Char"/>
    <w:link w:val="ad"/>
    <w:semiHidden/>
    <w:rsid w:val="00305525"/>
    <w:rPr>
      <w:rFonts w:ascii="Times New Roman" w:hAnsi="Times New Roman"/>
      <w:sz w:val="18"/>
      <w:szCs w:val="18"/>
    </w:rPr>
  </w:style>
  <w:style w:type="paragraph" w:customStyle="1" w:styleId="Char4">
    <w:name w:val="Char"/>
    <w:basedOn w:val="a"/>
    <w:rsid w:val="00305525"/>
    <w:rPr>
      <w:rFonts w:ascii="Times New Roman" w:hAnsi="Times New Roman"/>
      <w:szCs w:val="24"/>
    </w:rPr>
  </w:style>
  <w:style w:type="paragraph" w:customStyle="1" w:styleId="Char10">
    <w:name w:val="Char1"/>
    <w:basedOn w:val="a"/>
    <w:autoRedefine/>
    <w:rsid w:val="00305525"/>
    <w:pPr>
      <w:tabs>
        <w:tab w:val="num" w:pos="832"/>
      </w:tabs>
      <w:ind w:left="832" w:hanging="420"/>
      <w:jc w:val="center"/>
    </w:pPr>
    <w:rPr>
      <w:rFonts w:ascii="楷体_GB2312" w:eastAsia="楷体_GB2312" w:hAnsi="Times New Roman"/>
      <w:b/>
      <w:color w:val="000080"/>
      <w:sz w:val="30"/>
      <w:szCs w:val="30"/>
    </w:rPr>
  </w:style>
  <w:style w:type="paragraph" w:customStyle="1" w:styleId="CharCharChar">
    <w:name w:val="Char Char Char"/>
    <w:basedOn w:val="a"/>
    <w:rsid w:val="00305525"/>
    <w:rPr>
      <w:rFonts w:ascii="Times New Roman" w:hAnsi="Times New Roman"/>
      <w:szCs w:val="24"/>
    </w:rPr>
  </w:style>
  <w:style w:type="character" w:styleId="ae">
    <w:name w:val="annotation reference"/>
    <w:rsid w:val="00305525"/>
    <w:rPr>
      <w:sz w:val="21"/>
      <w:szCs w:val="21"/>
    </w:rPr>
  </w:style>
  <w:style w:type="paragraph" w:styleId="af">
    <w:name w:val="annotation text"/>
    <w:basedOn w:val="a"/>
    <w:link w:val="Char5"/>
    <w:rsid w:val="004625CF"/>
    <w:pPr>
      <w:jc w:val="left"/>
    </w:pPr>
    <w:rPr>
      <w:rFonts w:ascii="Times New Roman" w:hAnsi="Times New Roman"/>
      <w:kern w:val="0"/>
      <w:sz w:val="20"/>
      <w:szCs w:val="24"/>
    </w:rPr>
  </w:style>
  <w:style w:type="character" w:customStyle="1" w:styleId="Char5">
    <w:name w:val="批注文字 Char"/>
    <w:link w:val="af"/>
    <w:rsid w:val="00305525"/>
    <w:rPr>
      <w:rFonts w:ascii="Times New Roman" w:hAnsi="Times New Roman"/>
      <w:szCs w:val="24"/>
    </w:rPr>
  </w:style>
  <w:style w:type="paragraph" w:customStyle="1" w:styleId="CharCharCharCharCharCharChar1CharCharCharCharCharChar">
    <w:name w:val="Char Char Char Char Char Char Char1 Char Char Char Char Char Char"/>
    <w:basedOn w:val="a"/>
    <w:rsid w:val="00305525"/>
    <w:rPr>
      <w:rFonts w:ascii="Times New Roman" w:hAnsi="Times New Roman"/>
      <w:szCs w:val="24"/>
    </w:rPr>
  </w:style>
  <w:style w:type="paragraph" w:customStyle="1" w:styleId="CharChar">
    <w:name w:val="Char Char"/>
    <w:basedOn w:val="a"/>
    <w:rsid w:val="00305525"/>
    <w:rPr>
      <w:rFonts w:ascii="Times New Roman" w:hAnsi="Times New Roman"/>
      <w:szCs w:val="20"/>
    </w:rPr>
  </w:style>
  <w:style w:type="paragraph" w:styleId="HTML">
    <w:name w:val="HTML Preformatted"/>
    <w:basedOn w:val="a"/>
    <w:link w:val="HTMLChar"/>
    <w:uiPriority w:val="99"/>
    <w:unhideWhenUsed/>
    <w:rsid w:val="003055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link w:val="HTML"/>
    <w:uiPriority w:val="99"/>
    <w:rsid w:val="00305525"/>
    <w:rPr>
      <w:rFonts w:ascii="宋体" w:eastAsia="宋体" w:hAnsi="宋体" w:cs="宋体"/>
      <w:kern w:val="0"/>
      <w:sz w:val="24"/>
      <w:szCs w:val="24"/>
    </w:rPr>
  </w:style>
  <w:style w:type="paragraph" w:styleId="af0">
    <w:name w:val="annotation subject"/>
    <w:basedOn w:val="af"/>
    <w:next w:val="af"/>
    <w:link w:val="Char6"/>
    <w:rsid w:val="004625CF"/>
    <w:rPr>
      <w:b/>
      <w:bCs/>
    </w:rPr>
  </w:style>
  <w:style w:type="character" w:customStyle="1" w:styleId="Char6">
    <w:name w:val="批注主题 Char"/>
    <w:link w:val="af0"/>
    <w:rsid w:val="00305525"/>
    <w:rPr>
      <w:rFonts w:ascii="Times New Roman" w:hAnsi="Times New Roman"/>
      <w:b/>
      <w:bCs/>
      <w:szCs w:val="24"/>
    </w:rPr>
  </w:style>
  <w:style w:type="character" w:styleId="af1">
    <w:name w:val="FollowedHyperlink"/>
    <w:uiPriority w:val="99"/>
    <w:semiHidden/>
    <w:unhideWhenUsed/>
    <w:rsid w:val="00305525"/>
    <w:rPr>
      <w:color w:val="800080"/>
      <w:u w:val="single"/>
    </w:rPr>
  </w:style>
  <w:style w:type="numbering" w:customStyle="1" w:styleId="22">
    <w:name w:val="无列表2"/>
    <w:next w:val="a3"/>
    <w:semiHidden/>
    <w:rsid w:val="007A33D9"/>
  </w:style>
  <w:style w:type="paragraph" w:customStyle="1" w:styleId="af2">
    <w:rsid w:val="007A33D9"/>
    <w:pPr>
      <w:widowControl w:val="0"/>
      <w:jc w:val="both"/>
    </w:pPr>
    <w:rPr>
      <w:kern w:val="2"/>
      <w:sz w:val="21"/>
      <w:szCs w:val="22"/>
    </w:rPr>
  </w:style>
  <w:style w:type="paragraph" w:customStyle="1" w:styleId="Char7">
    <w:name w:val="Char"/>
    <w:basedOn w:val="a"/>
    <w:rsid w:val="007A33D9"/>
    <w:rPr>
      <w:rFonts w:ascii="Times New Roman" w:hAnsi="Times New Roman"/>
      <w:szCs w:val="24"/>
    </w:rPr>
  </w:style>
  <w:style w:type="paragraph" w:customStyle="1" w:styleId="Char11">
    <w:name w:val="Char1"/>
    <w:basedOn w:val="a"/>
    <w:autoRedefine/>
    <w:rsid w:val="007A33D9"/>
    <w:pPr>
      <w:tabs>
        <w:tab w:val="num" w:pos="832"/>
      </w:tabs>
      <w:ind w:left="832" w:hanging="420"/>
      <w:jc w:val="center"/>
    </w:pPr>
    <w:rPr>
      <w:rFonts w:ascii="楷体_GB2312" w:eastAsia="楷体_GB2312" w:hAnsi="Times New Roman"/>
      <w:b/>
      <w:color w:val="000080"/>
      <w:sz w:val="30"/>
      <w:szCs w:val="30"/>
    </w:rPr>
  </w:style>
  <w:style w:type="paragraph" w:customStyle="1" w:styleId="CharCharChar0">
    <w:name w:val="Char Char Char"/>
    <w:basedOn w:val="a"/>
    <w:rsid w:val="007A33D9"/>
    <w:rPr>
      <w:rFonts w:ascii="Times New Roman" w:hAnsi="Times New Roman"/>
      <w:szCs w:val="24"/>
    </w:rPr>
  </w:style>
  <w:style w:type="paragraph" w:customStyle="1" w:styleId="CharCharCharCharCharCharChar1CharCharCharCharCharChar0">
    <w:name w:val="Char Char Char Char Char Char Char1 Char Char Char Char Char Char"/>
    <w:basedOn w:val="a"/>
    <w:rsid w:val="007A33D9"/>
    <w:rPr>
      <w:rFonts w:ascii="Times New Roman" w:hAnsi="Times New Roman"/>
      <w:szCs w:val="24"/>
    </w:rPr>
  </w:style>
  <w:style w:type="paragraph" w:customStyle="1" w:styleId="CharChar0">
    <w:name w:val="Char Char"/>
    <w:basedOn w:val="a"/>
    <w:rsid w:val="007A33D9"/>
    <w:rPr>
      <w:rFonts w:ascii="Times New Roman" w:hAnsi="Times New Roman"/>
      <w:szCs w:val="20"/>
    </w:rPr>
  </w:style>
  <w:style w:type="paragraph" w:customStyle="1" w:styleId="af3">
    <w:uiPriority w:val="99"/>
    <w:unhideWhenUsed/>
    <w:rsid w:val="00241040"/>
    <w:pPr>
      <w:widowControl w:val="0"/>
      <w:jc w:val="both"/>
    </w:pPr>
    <w:rPr>
      <w:kern w:val="2"/>
      <w:sz w:val="21"/>
      <w:szCs w:val="22"/>
    </w:rPr>
  </w:style>
  <w:style w:type="paragraph" w:styleId="af4">
    <w:name w:val="Revision"/>
    <w:hidden/>
    <w:uiPriority w:val="99"/>
    <w:semiHidden/>
    <w:rsid w:val="00241040"/>
    <w:rPr>
      <w:rFonts w:ascii="Times New Roman" w:hAnsi="Times New Roman"/>
      <w:kern w:val="2"/>
      <w:sz w:val="21"/>
      <w:szCs w:val="24"/>
    </w:rPr>
  </w:style>
  <w:style w:type="paragraph" w:customStyle="1" w:styleId="af5">
    <w:uiPriority w:val="99"/>
    <w:unhideWhenUsed/>
    <w:rsid w:val="004625CF"/>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5CF"/>
    <w:pPr>
      <w:widowControl w:val="0"/>
      <w:jc w:val="both"/>
    </w:pPr>
    <w:rPr>
      <w:kern w:val="2"/>
      <w:sz w:val="21"/>
      <w:szCs w:val="22"/>
    </w:rPr>
  </w:style>
  <w:style w:type="paragraph" w:styleId="2">
    <w:name w:val="heading 2"/>
    <w:basedOn w:val="a"/>
    <w:next w:val="a0"/>
    <w:link w:val="2Char"/>
    <w:qFormat/>
    <w:rsid w:val="004625CF"/>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4625C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rsid w:val="00305525"/>
    <w:rPr>
      <w:sz w:val="18"/>
      <w:szCs w:val="18"/>
    </w:rPr>
  </w:style>
  <w:style w:type="paragraph" w:styleId="a5">
    <w:name w:val="footer"/>
    <w:basedOn w:val="a"/>
    <w:link w:val="Char0"/>
    <w:unhideWhenUsed/>
    <w:rsid w:val="004625CF"/>
    <w:pPr>
      <w:tabs>
        <w:tab w:val="center" w:pos="4153"/>
        <w:tab w:val="right" w:pos="8306"/>
      </w:tabs>
      <w:snapToGrid w:val="0"/>
      <w:jc w:val="left"/>
    </w:pPr>
    <w:rPr>
      <w:kern w:val="0"/>
      <w:sz w:val="18"/>
      <w:szCs w:val="18"/>
    </w:rPr>
  </w:style>
  <w:style w:type="character" w:customStyle="1" w:styleId="Char0">
    <w:name w:val="页脚 Char"/>
    <w:link w:val="a5"/>
    <w:rsid w:val="00305525"/>
    <w:rPr>
      <w:sz w:val="18"/>
      <w:szCs w:val="18"/>
    </w:rPr>
  </w:style>
  <w:style w:type="character" w:customStyle="1" w:styleId="2Char">
    <w:name w:val="标题 2 Char"/>
    <w:link w:val="2"/>
    <w:rsid w:val="00305525"/>
    <w:rPr>
      <w:rFonts w:ascii="Arial" w:eastAsia="黑体" w:hAnsi="Arial"/>
      <w:b/>
      <w:sz w:val="32"/>
    </w:rPr>
  </w:style>
  <w:style w:type="numbering" w:customStyle="1" w:styleId="1">
    <w:name w:val="无列表1"/>
    <w:next w:val="a3"/>
    <w:semiHidden/>
    <w:rsid w:val="00305525"/>
  </w:style>
  <w:style w:type="character" w:styleId="a6">
    <w:name w:val="page number"/>
    <w:basedOn w:val="a1"/>
    <w:rsid w:val="00305525"/>
  </w:style>
  <w:style w:type="paragraph" w:styleId="a7">
    <w:name w:val="Normal (Web)"/>
    <w:basedOn w:val="a"/>
    <w:rsid w:val="00305525"/>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305525"/>
    <w:rPr>
      <w:b/>
      <w:bCs/>
    </w:rPr>
  </w:style>
  <w:style w:type="character" w:styleId="a9">
    <w:name w:val="Hyperlink"/>
    <w:rsid w:val="00305525"/>
    <w:rPr>
      <w:color w:val="0000FF"/>
      <w:u w:val="single"/>
    </w:rPr>
  </w:style>
  <w:style w:type="paragraph" w:customStyle="1" w:styleId="wz1">
    <w:name w:val="wz1"/>
    <w:basedOn w:val="a"/>
    <w:rsid w:val="0030552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305525"/>
    <w:pPr>
      <w:spacing w:line="360" w:lineRule="auto"/>
    </w:pPr>
    <w:rPr>
      <w:rFonts w:ascii="仿宋_GB2312" w:eastAsia="仿宋_GB2312" w:hAnsi="Times New Roman"/>
      <w:color w:val="000000"/>
      <w:kern w:val="0"/>
      <w:sz w:val="24"/>
      <w:szCs w:val="28"/>
    </w:rPr>
  </w:style>
  <w:style w:type="character" w:customStyle="1" w:styleId="Char1">
    <w:name w:val="正文文本 Char"/>
    <w:link w:val="aa"/>
    <w:rsid w:val="00305525"/>
    <w:rPr>
      <w:rFonts w:ascii="仿宋_GB2312" w:eastAsia="仿宋_GB2312" w:hAnsi="Times New Roman" w:cs="Times New Roman"/>
      <w:color w:val="000000"/>
      <w:kern w:val="0"/>
      <w:sz w:val="24"/>
      <w:szCs w:val="28"/>
    </w:rPr>
  </w:style>
  <w:style w:type="character" w:customStyle="1" w:styleId="read">
    <w:name w:val="read"/>
    <w:basedOn w:val="a1"/>
    <w:rsid w:val="00305525"/>
  </w:style>
  <w:style w:type="paragraph" w:styleId="a0">
    <w:name w:val="Normal Indent"/>
    <w:basedOn w:val="a"/>
    <w:rsid w:val="00305525"/>
    <w:pPr>
      <w:ind w:firstLineChars="200" w:firstLine="420"/>
    </w:pPr>
    <w:rPr>
      <w:rFonts w:ascii="Times New Roman" w:hAnsi="Times New Roman"/>
      <w:szCs w:val="24"/>
    </w:rPr>
  </w:style>
  <w:style w:type="paragraph" w:styleId="ab">
    <w:name w:val="Body Text Indent"/>
    <w:basedOn w:val="a"/>
    <w:link w:val="Char2"/>
    <w:rsid w:val="004625CF"/>
    <w:pPr>
      <w:adjustRightInd w:val="0"/>
      <w:snapToGrid w:val="0"/>
      <w:spacing w:line="560" w:lineRule="exact"/>
      <w:ind w:firstLineChars="200" w:firstLine="480"/>
    </w:pPr>
    <w:rPr>
      <w:rFonts w:ascii="Times New Roman" w:eastAsia="方正仿宋简体" w:hAnsi="Times New Roman"/>
      <w:kern w:val="0"/>
      <w:sz w:val="24"/>
      <w:szCs w:val="30"/>
    </w:rPr>
  </w:style>
  <w:style w:type="character" w:customStyle="1" w:styleId="Char2">
    <w:name w:val="正文文本缩进 Char"/>
    <w:link w:val="ab"/>
    <w:rsid w:val="00305525"/>
    <w:rPr>
      <w:rFonts w:ascii="Times New Roman" w:eastAsia="方正仿宋简体" w:hAnsi="Times New Roman"/>
      <w:sz w:val="24"/>
      <w:szCs w:val="30"/>
    </w:rPr>
  </w:style>
  <w:style w:type="paragraph" w:styleId="20">
    <w:name w:val="Body Text Indent 2"/>
    <w:basedOn w:val="a"/>
    <w:link w:val="2Char0"/>
    <w:rsid w:val="004625CF"/>
    <w:pPr>
      <w:spacing w:line="360" w:lineRule="auto"/>
      <w:ind w:firstLine="525"/>
    </w:pPr>
    <w:rPr>
      <w:rFonts w:ascii="宋体" w:hAnsi="宋体"/>
      <w:kern w:val="0"/>
      <w:sz w:val="28"/>
      <w:szCs w:val="20"/>
    </w:rPr>
  </w:style>
  <w:style w:type="character" w:customStyle="1" w:styleId="2Char0">
    <w:name w:val="正文文本缩进 2 Char"/>
    <w:link w:val="20"/>
    <w:rsid w:val="00305525"/>
    <w:rPr>
      <w:rFonts w:ascii="宋体" w:hAnsi="宋体"/>
      <w:sz w:val="28"/>
    </w:rPr>
  </w:style>
  <w:style w:type="paragraph" w:styleId="3">
    <w:name w:val="Body Text Indent 3"/>
    <w:basedOn w:val="a"/>
    <w:link w:val="3Char"/>
    <w:rsid w:val="004625CF"/>
    <w:pPr>
      <w:adjustRightInd w:val="0"/>
      <w:snapToGrid w:val="0"/>
      <w:ind w:firstLineChars="200" w:firstLine="480"/>
    </w:pPr>
    <w:rPr>
      <w:rFonts w:ascii="仿宋_GB2312" w:eastAsia="仿宋_GB2312" w:hAnsi="宋体"/>
      <w:color w:val="000000"/>
      <w:kern w:val="0"/>
      <w:sz w:val="24"/>
      <w:szCs w:val="24"/>
    </w:rPr>
  </w:style>
  <w:style w:type="character" w:customStyle="1" w:styleId="3Char">
    <w:name w:val="正文文本缩进 3 Char"/>
    <w:link w:val="3"/>
    <w:rsid w:val="00305525"/>
    <w:rPr>
      <w:rFonts w:ascii="仿宋_GB2312" w:eastAsia="仿宋_GB2312" w:hAnsi="宋体"/>
      <w:color w:val="000000"/>
      <w:sz w:val="24"/>
      <w:szCs w:val="24"/>
    </w:rPr>
  </w:style>
  <w:style w:type="paragraph" w:styleId="10">
    <w:name w:val="toc 1"/>
    <w:basedOn w:val="a"/>
    <w:next w:val="a"/>
    <w:autoRedefine/>
    <w:semiHidden/>
    <w:rsid w:val="00305525"/>
    <w:rPr>
      <w:rFonts w:ascii="Times New Roman" w:hAnsi="Times New Roman"/>
      <w:szCs w:val="24"/>
    </w:rPr>
  </w:style>
  <w:style w:type="paragraph" w:styleId="21">
    <w:name w:val="toc 2"/>
    <w:basedOn w:val="a"/>
    <w:next w:val="a"/>
    <w:autoRedefine/>
    <w:semiHidden/>
    <w:rsid w:val="00305525"/>
    <w:pPr>
      <w:ind w:leftChars="200" w:left="420"/>
    </w:pPr>
    <w:rPr>
      <w:rFonts w:ascii="Times New Roman" w:hAnsi="Times New Roman"/>
      <w:szCs w:val="24"/>
    </w:rPr>
  </w:style>
  <w:style w:type="paragraph" w:styleId="30">
    <w:name w:val="toc 3"/>
    <w:basedOn w:val="a"/>
    <w:next w:val="a"/>
    <w:autoRedefine/>
    <w:semiHidden/>
    <w:rsid w:val="00305525"/>
    <w:pPr>
      <w:ind w:leftChars="400" w:left="840"/>
    </w:pPr>
    <w:rPr>
      <w:rFonts w:ascii="Times New Roman" w:hAnsi="Times New Roman"/>
      <w:szCs w:val="24"/>
    </w:rPr>
  </w:style>
  <w:style w:type="paragraph" w:styleId="4">
    <w:name w:val="toc 4"/>
    <w:basedOn w:val="a"/>
    <w:next w:val="a"/>
    <w:autoRedefine/>
    <w:semiHidden/>
    <w:rsid w:val="00305525"/>
    <w:pPr>
      <w:ind w:leftChars="600" w:left="1260"/>
    </w:pPr>
    <w:rPr>
      <w:rFonts w:ascii="Times New Roman" w:hAnsi="Times New Roman"/>
      <w:szCs w:val="24"/>
    </w:rPr>
  </w:style>
  <w:style w:type="paragraph" w:styleId="5">
    <w:name w:val="toc 5"/>
    <w:basedOn w:val="a"/>
    <w:next w:val="a"/>
    <w:autoRedefine/>
    <w:semiHidden/>
    <w:rsid w:val="00305525"/>
    <w:pPr>
      <w:ind w:leftChars="800" w:left="1680"/>
    </w:pPr>
    <w:rPr>
      <w:rFonts w:ascii="Times New Roman" w:hAnsi="Times New Roman"/>
      <w:szCs w:val="24"/>
    </w:rPr>
  </w:style>
  <w:style w:type="paragraph" w:styleId="6">
    <w:name w:val="toc 6"/>
    <w:basedOn w:val="a"/>
    <w:next w:val="a"/>
    <w:autoRedefine/>
    <w:semiHidden/>
    <w:rsid w:val="00305525"/>
    <w:pPr>
      <w:ind w:leftChars="1000" w:left="2100"/>
    </w:pPr>
    <w:rPr>
      <w:rFonts w:ascii="Times New Roman" w:hAnsi="Times New Roman"/>
      <w:szCs w:val="24"/>
    </w:rPr>
  </w:style>
  <w:style w:type="paragraph" w:styleId="7">
    <w:name w:val="toc 7"/>
    <w:basedOn w:val="a"/>
    <w:next w:val="a"/>
    <w:autoRedefine/>
    <w:semiHidden/>
    <w:rsid w:val="00305525"/>
    <w:pPr>
      <w:ind w:leftChars="1200" w:left="2520"/>
    </w:pPr>
    <w:rPr>
      <w:rFonts w:ascii="Times New Roman" w:hAnsi="Times New Roman"/>
      <w:szCs w:val="24"/>
    </w:rPr>
  </w:style>
  <w:style w:type="paragraph" w:styleId="8">
    <w:name w:val="toc 8"/>
    <w:basedOn w:val="a"/>
    <w:next w:val="a"/>
    <w:autoRedefine/>
    <w:semiHidden/>
    <w:rsid w:val="00305525"/>
    <w:pPr>
      <w:ind w:leftChars="1400" w:left="2940"/>
    </w:pPr>
    <w:rPr>
      <w:rFonts w:ascii="Times New Roman" w:hAnsi="Times New Roman"/>
      <w:szCs w:val="24"/>
    </w:rPr>
  </w:style>
  <w:style w:type="paragraph" w:styleId="9">
    <w:name w:val="toc 9"/>
    <w:basedOn w:val="a"/>
    <w:next w:val="a"/>
    <w:autoRedefine/>
    <w:semiHidden/>
    <w:rsid w:val="00305525"/>
    <w:pPr>
      <w:ind w:leftChars="1600" w:left="3360"/>
    </w:pPr>
    <w:rPr>
      <w:rFonts w:ascii="Times New Roman" w:hAnsi="Times New Roman"/>
      <w:szCs w:val="24"/>
    </w:rPr>
  </w:style>
  <w:style w:type="paragraph" w:customStyle="1" w:styleId="ac">
    <w:rsid w:val="00305525"/>
    <w:pPr>
      <w:widowControl w:val="0"/>
      <w:jc w:val="both"/>
    </w:pPr>
    <w:rPr>
      <w:kern w:val="2"/>
      <w:sz w:val="21"/>
      <w:szCs w:val="22"/>
    </w:rPr>
  </w:style>
  <w:style w:type="paragraph" w:styleId="ad">
    <w:name w:val="Balloon Text"/>
    <w:basedOn w:val="a"/>
    <w:link w:val="Char3"/>
    <w:semiHidden/>
    <w:rsid w:val="004625CF"/>
    <w:rPr>
      <w:rFonts w:ascii="Times New Roman" w:hAnsi="Times New Roman"/>
      <w:kern w:val="0"/>
      <w:sz w:val="18"/>
      <w:szCs w:val="18"/>
    </w:rPr>
  </w:style>
  <w:style w:type="character" w:customStyle="1" w:styleId="Char3">
    <w:name w:val="批注框文本 Char"/>
    <w:link w:val="ad"/>
    <w:semiHidden/>
    <w:rsid w:val="00305525"/>
    <w:rPr>
      <w:rFonts w:ascii="Times New Roman" w:hAnsi="Times New Roman"/>
      <w:sz w:val="18"/>
      <w:szCs w:val="18"/>
    </w:rPr>
  </w:style>
  <w:style w:type="paragraph" w:customStyle="1" w:styleId="Char4">
    <w:name w:val="Char"/>
    <w:basedOn w:val="a"/>
    <w:rsid w:val="00305525"/>
    <w:rPr>
      <w:rFonts w:ascii="Times New Roman" w:hAnsi="Times New Roman"/>
      <w:szCs w:val="24"/>
    </w:rPr>
  </w:style>
  <w:style w:type="paragraph" w:customStyle="1" w:styleId="Char10">
    <w:name w:val="Char1"/>
    <w:basedOn w:val="a"/>
    <w:autoRedefine/>
    <w:rsid w:val="00305525"/>
    <w:pPr>
      <w:tabs>
        <w:tab w:val="num" w:pos="832"/>
      </w:tabs>
      <w:ind w:left="832" w:hanging="420"/>
      <w:jc w:val="center"/>
    </w:pPr>
    <w:rPr>
      <w:rFonts w:ascii="楷体_GB2312" w:eastAsia="楷体_GB2312" w:hAnsi="Times New Roman"/>
      <w:b/>
      <w:color w:val="000080"/>
      <w:sz w:val="30"/>
      <w:szCs w:val="30"/>
    </w:rPr>
  </w:style>
  <w:style w:type="paragraph" w:customStyle="1" w:styleId="CharCharChar">
    <w:name w:val="Char Char Char"/>
    <w:basedOn w:val="a"/>
    <w:rsid w:val="00305525"/>
    <w:rPr>
      <w:rFonts w:ascii="Times New Roman" w:hAnsi="Times New Roman"/>
      <w:szCs w:val="24"/>
    </w:rPr>
  </w:style>
  <w:style w:type="character" w:styleId="ae">
    <w:name w:val="annotation reference"/>
    <w:rsid w:val="00305525"/>
    <w:rPr>
      <w:sz w:val="21"/>
      <w:szCs w:val="21"/>
    </w:rPr>
  </w:style>
  <w:style w:type="paragraph" w:styleId="af">
    <w:name w:val="annotation text"/>
    <w:basedOn w:val="a"/>
    <w:link w:val="Char5"/>
    <w:rsid w:val="004625CF"/>
    <w:pPr>
      <w:jc w:val="left"/>
    </w:pPr>
    <w:rPr>
      <w:rFonts w:ascii="Times New Roman" w:hAnsi="Times New Roman"/>
      <w:kern w:val="0"/>
      <w:sz w:val="20"/>
      <w:szCs w:val="24"/>
    </w:rPr>
  </w:style>
  <w:style w:type="character" w:customStyle="1" w:styleId="Char5">
    <w:name w:val="批注文字 Char"/>
    <w:link w:val="af"/>
    <w:rsid w:val="00305525"/>
    <w:rPr>
      <w:rFonts w:ascii="Times New Roman" w:hAnsi="Times New Roman"/>
      <w:szCs w:val="24"/>
    </w:rPr>
  </w:style>
  <w:style w:type="paragraph" w:customStyle="1" w:styleId="CharCharCharCharCharCharChar1CharCharCharCharCharChar">
    <w:name w:val="Char Char Char Char Char Char Char1 Char Char Char Char Char Char"/>
    <w:basedOn w:val="a"/>
    <w:rsid w:val="00305525"/>
    <w:rPr>
      <w:rFonts w:ascii="Times New Roman" w:hAnsi="Times New Roman"/>
      <w:szCs w:val="24"/>
    </w:rPr>
  </w:style>
  <w:style w:type="paragraph" w:customStyle="1" w:styleId="CharChar">
    <w:name w:val="Char Char"/>
    <w:basedOn w:val="a"/>
    <w:rsid w:val="00305525"/>
    <w:rPr>
      <w:rFonts w:ascii="Times New Roman" w:hAnsi="Times New Roman"/>
      <w:szCs w:val="20"/>
    </w:rPr>
  </w:style>
  <w:style w:type="paragraph" w:styleId="HTML">
    <w:name w:val="HTML Preformatted"/>
    <w:basedOn w:val="a"/>
    <w:link w:val="HTMLChar"/>
    <w:uiPriority w:val="99"/>
    <w:unhideWhenUsed/>
    <w:rsid w:val="003055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link w:val="HTML"/>
    <w:uiPriority w:val="99"/>
    <w:rsid w:val="00305525"/>
    <w:rPr>
      <w:rFonts w:ascii="宋体" w:eastAsia="宋体" w:hAnsi="宋体" w:cs="宋体"/>
      <w:kern w:val="0"/>
      <w:sz w:val="24"/>
      <w:szCs w:val="24"/>
    </w:rPr>
  </w:style>
  <w:style w:type="paragraph" w:styleId="af0">
    <w:name w:val="annotation subject"/>
    <w:basedOn w:val="af"/>
    <w:next w:val="af"/>
    <w:link w:val="Char6"/>
    <w:rsid w:val="004625CF"/>
    <w:rPr>
      <w:b/>
      <w:bCs/>
    </w:rPr>
  </w:style>
  <w:style w:type="character" w:customStyle="1" w:styleId="Char6">
    <w:name w:val="批注主题 Char"/>
    <w:link w:val="af0"/>
    <w:rsid w:val="00305525"/>
    <w:rPr>
      <w:rFonts w:ascii="Times New Roman" w:hAnsi="Times New Roman"/>
      <w:b/>
      <w:bCs/>
      <w:szCs w:val="24"/>
    </w:rPr>
  </w:style>
  <w:style w:type="character" w:styleId="af1">
    <w:name w:val="FollowedHyperlink"/>
    <w:uiPriority w:val="99"/>
    <w:semiHidden/>
    <w:unhideWhenUsed/>
    <w:rsid w:val="00305525"/>
    <w:rPr>
      <w:color w:val="800080"/>
      <w:u w:val="single"/>
    </w:rPr>
  </w:style>
  <w:style w:type="numbering" w:customStyle="1" w:styleId="22">
    <w:name w:val="无列表2"/>
    <w:next w:val="a3"/>
    <w:semiHidden/>
    <w:rsid w:val="007A33D9"/>
  </w:style>
  <w:style w:type="paragraph" w:customStyle="1" w:styleId="af2">
    <w:rsid w:val="007A33D9"/>
    <w:pPr>
      <w:widowControl w:val="0"/>
      <w:jc w:val="both"/>
    </w:pPr>
    <w:rPr>
      <w:kern w:val="2"/>
      <w:sz w:val="21"/>
      <w:szCs w:val="22"/>
    </w:rPr>
  </w:style>
  <w:style w:type="paragraph" w:customStyle="1" w:styleId="Char7">
    <w:name w:val="Char"/>
    <w:basedOn w:val="a"/>
    <w:rsid w:val="007A33D9"/>
    <w:rPr>
      <w:rFonts w:ascii="Times New Roman" w:hAnsi="Times New Roman"/>
      <w:szCs w:val="24"/>
    </w:rPr>
  </w:style>
  <w:style w:type="paragraph" w:customStyle="1" w:styleId="Char11">
    <w:name w:val="Char1"/>
    <w:basedOn w:val="a"/>
    <w:autoRedefine/>
    <w:rsid w:val="007A33D9"/>
    <w:pPr>
      <w:tabs>
        <w:tab w:val="num" w:pos="832"/>
      </w:tabs>
      <w:ind w:left="832" w:hanging="420"/>
      <w:jc w:val="center"/>
    </w:pPr>
    <w:rPr>
      <w:rFonts w:ascii="楷体_GB2312" w:eastAsia="楷体_GB2312" w:hAnsi="Times New Roman"/>
      <w:b/>
      <w:color w:val="000080"/>
      <w:sz w:val="30"/>
      <w:szCs w:val="30"/>
    </w:rPr>
  </w:style>
  <w:style w:type="paragraph" w:customStyle="1" w:styleId="CharCharChar0">
    <w:name w:val="Char Char Char"/>
    <w:basedOn w:val="a"/>
    <w:rsid w:val="007A33D9"/>
    <w:rPr>
      <w:rFonts w:ascii="Times New Roman" w:hAnsi="Times New Roman"/>
      <w:szCs w:val="24"/>
    </w:rPr>
  </w:style>
  <w:style w:type="paragraph" w:customStyle="1" w:styleId="CharCharCharCharCharCharChar1CharCharCharCharCharChar0">
    <w:name w:val="Char Char Char Char Char Char Char1 Char Char Char Char Char Char"/>
    <w:basedOn w:val="a"/>
    <w:rsid w:val="007A33D9"/>
    <w:rPr>
      <w:rFonts w:ascii="Times New Roman" w:hAnsi="Times New Roman"/>
      <w:szCs w:val="24"/>
    </w:rPr>
  </w:style>
  <w:style w:type="paragraph" w:customStyle="1" w:styleId="CharChar0">
    <w:name w:val="Char Char"/>
    <w:basedOn w:val="a"/>
    <w:rsid w:val="007A33D9"/>
    <w:rPr>
      <w:rFonts w:ascii="Times New Roman" w:hAnsi="Times New Roman"/>
      <w:szCs w:val="20"/>
    </w:rPr>
  </w:style>
  <w:style w:type="paragraph" w:customStyle="1" w:styleId="af3">
    <w:uiPriority w:val="99"/>
    <w:unhideWhenUsed/>
    <w:rsid w:val="00241040"/>
    <w:pPr>
      <w:widowControl w:val="0"/>
      <w:jc w:val="both"/>
    </w:pPr>
    <w:rPr>
      <w:kern w:val="2"/>
      <w:sz w:val="21"/>
      <w:szCs w:val="22"/>
    </w:rPr>
  </w:style>
  <w:style w:type="paragraph" w:styleId="af4">
    <w:name w:val="Revision"/>
    <w:hidden/>
    <w:uiPriority w:val="99"/>
    <w:semiHidden/>
    <w:rsid w:val="00241040"/>
    <w:rPr>
      <w:rFonts w:ascii="Times New Roman" w:hAnsi="Times New Roman"/>
      <w:kern w:val="2"/>
      <w:sz w:val="21"/>
      <w:szCs w:val="24"/>
    </w:rPr>
  </w:style>
  <w:style w:type="paragraph" w:customStyle="1" w:styleId="af5">
    <w:uiPriority w:val="99"/>
    <w:unhideWhenUsed/>
    <w:rsid w:val="004625CF"/>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18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microsoft.com/office/2007/relationships/stylesWithEffects" Target="stylesWithEffects.xml"/><Relationship Id="rId21" Type="http://schemas.openxmlformats.org/officeDocument/2006/relationships/footer" Target="footer1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header" Target="header1.xml"/><Relationship Id="rId19" Type="http://schemas.openxmlformats.org/officeDocument/2006/relationships/footer" Target="footer11.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4322</Words>
  <Characters>24639</Characters>
  <Application>Microsoft Office Word</Application>
  <DocSecurity>0</DocSecurity>
  <Lines>205</Lines>
  <Paragraphs>57</Paragraphs>
  <ScaleCrop>false</ScaleCrop>
  <Company/>
  <LinksUpToDate>false</LinksUpToDate>
  <CharactersWithSpaces>28904</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宁成龙</dc:creator>
  <cp:lastModifiedBy>徐宪岚</cp:lastModifiedBy>
  <cp:revision>2</cp:revision>
  <cp:lastPrinted>2016-08-11T06:00:00Z</cp:lastPrinted>
  <dcterms:created xsi:type="dcterms:W3CDTF">2017-02-21T05:25:00Z</dcterms:created>
  <dcterms:modified xsi:type="dcterms:W3CDTF">2017-02-21T05:25:00Z</dcterms:modified>
</cp:coreProperties>
</file>