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DB" w:rsidRPr="004D4BDB" w:rsidRDefault="004D4BDB" w:rsidP="004D4BDB">
      <w:pPr>
        <w:adjustRightInd w:val="0"/>
        <w:snapToGrid w:val="0"/>
        <w:jc w:val="center"/>
        <w:rPr>
          <w:rFonts w:ascii="宋体" w:eastAsia="宋体" w:hAnsi="宋体" w:cs="Arial"/>
          <w:sz w:val="24"/>
          <w:szCs w:val="24"/>
        </w:rPr>
      </w:pPr>
    </w:p>
    <w:p w:rsidR="004D4BDB" w:rsidRPr="004D4BDB" w:rsidRDefault="004D4BDB" w:rsidP="004D4BDB">
      <w:pPr>
        <w:adjustRightInd w:val="0"/>
        <w:snapToGrid w:val="0"/>
        <w:jc w:val="center"/>
        <w:rPr>
          <w:rFonts w:ascii="宋体" w:eastAsia="宋体" w:hAnsi="宋体" w:cs="Arial"/>
          <w:sz w:val="24"/>
          <w:szCs w:val="24"/>
        </w:rPr>
      </w:pPr>
    </w:p>
    <w:p w:rsidR="004D4BDB" w:rsidRPr="004D4BDB" w:rsidRDefault="004D4BDB" w:rsidP="004D4BDB">
      <w:pPr>
        <w:adjustRightInd w:val="0"/>
        <w:snapToGrid w:val="0"/>
        <w:jc w:val="center"/>
        <w:rPr>
          <w:rFonts w:ascii="宋体" w:eastAsia="宋体" w:hAnsi="宋体" w:cs="Arial"/>
          <w:sz w:val="24"/>
          <w:szCs w:val="24"/>
        </w:rPr>
      </w:pPr>
    </w:p>
    <w:p w:rsidR="004D4BDB" w:rsidRPr="004D4BDB" w:rsidRDefault="004D4BDB" w:rsidP="004D4BDB">
      <w:pPr>
        <w:adjustRightInd w:val="0"/>
        <w:snapToGrid w:val="0"/>
        <w:jc w:val="center"/>
        <w:rPr>
          <w:rFonts w:ascii="宋体" w:eastAsia="宋体" w:hAnsi="宋体" w:cs="Arial"/>
          <w:sz w:val="24"/>
          <w:szCs w:val="24"/>
        </w:rPr>
      </w:pPr>
    </w:p>
    <w:p w:rsidR="004D4BDB" w:rsidRPr="004D4BDB" w:rsidRDefault="004D4BDB" w:rsidP="004D4BDB">
      <w:pPr>
        <w:adjustRightInd w:val="0"/>
        <w:snapToGrid w:val="0"/>
        <w:jc w:val="center"/>
        <w:rPr>
          <w:rFonts w:ascii="宋体" w:eastAsia="宋体" w:hAnsi="宋体" w:cs="Arial"/>
          <w:sz w:val="24"/>
          <w:szCs w:val="24"/>
        </w:rPr>
      </w:pPr>
    </w:p>
    <w:p w:rsidR="004D4BDB" w:rsidRPr="004D4BDB" w:rsidRDefault="004D4BDB" w:rsidP="004D4BDB">
      <w:pPr>
        <w:adjustRightInd w:val="0"/>
        <w:snapToGrid w:val="0"/>
        <w:jc w:val="center"/>
        <w:rPr>
          <w:rFonts w:ascii="宋体" w:eastAsia="宋体" w:hAnsi="宋体" w:cs="Arial"/>
          <w:sz w:val="24"/>
          <w:szCs w:val="24"/>
        </w:rPr>
      </w:pPr>
    </w:p>
    <w:p w:rsidR="004D4BDB" w:rsidRPr="004D4BDB" w:rsidRDefault="004D4BDB" w:rsidP="004D4BDB">
      <w:pPr>
        <w:adjustRightInd w:val="0"/>
        <w:snapToGrid w:val="0"/>
        <w:jc w:val="center"/>
        <w:rPr>
          <w:rFonts w:ascii="宋体" w:eastAsia="宋体" w:hAnsi="宋体" w:cs="Arial"/>
          <w:sz w:val="24"/>
          <w:szCs w:val="24"/>
        </w:rPr>
      </w:pPr>
    </w:p>
    <w:p w:rsidR="004D4BDB" w:rsidRPr="004D4BDB" w:rsidRDefault="004D4BDB" w:rsidP="004D4BDB">
      <w:pPr>
        <w:adjustRightInd w:val="0"/>
        <w:snapToGrid w:val="0"/>
        <w:jc w:val="center"/>
        <w:rPr>
          <w:rFonts w:ascii="宋体" w:eastAsia="宋体" w:hAnsi="宋体" w:cs="Arial"/>
          <w:sz w:val="24"/>
          <w:szCs w:val="24"/>
        </w:rPr>
      </w:pPr>
    </w:p>
    <w:p w:rsidR="004D4BDB" w:rsidRPr="004D4BDB" w:rsidRDefault="004D4BDB" w:rsidP="00CF2AFE">
      <w:pPr>
        <w:adjustRightInd w:val="0"/>
        <w:snapToGrid w:val="0"/>
        <w:spacing w:line="360" w:lineRule="auto"/>
        <w:jc w:val="center"/>
        <w:rPr>
          <w:rFonts w:ascii="宋体" w:eastAsia="宋体" w:hAnsi="宋体" w:cs="Arial"/>
          <w:b/>
          <w:sz w:val="44"/>
          <w:szCs w:val="24"/>
        </w:rPr>
      </w:pPr>
      <w:r w:rsidRPr="004D4BDB">
        <w:rPr>
          <w:rFonts w:ascii="宋体" w:eastAsia="宋体" w:hAnsi="宋体" w:cs="Arial" w:hint="eastAsia"/>
          <w:b/>
          <w:sz w:val="44"/>
          <w:szCs w:val="24"/>
        </w:rPr>
        <w:t>广发</w:t>
      </w:r>
      <w:r w:rsidR="00CF2AFE" w:rsidRPr="00CF2AFE">
        <w:rPr>
          <w:rFonts w:ascii="宋体" w:eastAsia="宋体" w:hAnsi="宋体" w:cs="Arial" w:hint="eastAsia"/>
          <w:b/>
          <w:sz w:val="44"/>
          <w:szCs w:val="24"/>
        </w:rPr>
        <w:t>集丰债券型</w:t>
      </w:r>
      <w:r w:rsidRPr="004D4BDB">
        <w:rPr>
          <w:rFonts w:ascii="宋体" w:eastAsia="宋体" w:hAnsi="宋体" w:cs="Arial" w:hint="eastAsia"/>
          <w:b/>
          <w:sz w:val="44"/>
          <w:szCs w:val="24"/>
        </w:rPr>
        <w:t>证券投资基金</w:t>
      </w:r>
    </w:p>
    <w:p w:rsidR="004D4BDB" w:rsidRPr="004D4BDB" w:rsidRDefault="004D4BDB" w:rsidP="004D4BDB">
      <w:pPr>
        <w:adjustRightInd w:val="0"/>
        <w:snapToGrid w:val="0"/>
        <w:spacing w:line="360" w:lineRule="auto"/>
        <w:jc w:val="center"/>
        <w:rPr>
          <w:rFonts w:ascii="宋体" w:eastAsia="宋体" w:hAnsi="宋体" w:cs="Arial"/>
          <w:b/>
          <w:sz w:val="44"/>
          <w:szCs w:val="24"/>
        </w:rPr>
      </w:pPr>
      <w:r w:rsidRPr="004D4BDB">
        <w:rPr>
          <w:rFonts w:ascii="宋体" w:eastAsia="宋体" w:hAnsi="宋体" w:cs="Arial" w:hint="eastAsia"/>
          <w:b/>
          <w:sz w:val="44"/>
          <w:szCs w:val="24"/>
        </w:rPr>
        <w:t>托管协议</w:t>
      </w: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spacing w:line="360" w:lineRule="auto"/>
        <w:jc w:val="center"/>
        <w:outlineLvl w:val="0"/>
        <w:rPr>
          <w:rFonts w:ascii="宋体" w:eastAsia="宋体" w:hAnsi="宋体" w:cs="Arial"/>
          <w:b/>
          <w:bCs/>
          <w:sz w:val="32"/>
          <w:szCs w:val="32"/>
        </w:rPr>
      </w:pPr>
      <w:r w:rsidRPr="004D4BDB">
        <w:rPr>
          <w:rFonts w:ascii="宋体" w:eastAsia="宋体" w:hAnsi="宋体" w:cs="Arial" w:hint="eastAsia"/>
          <w:b/>
          <w:bCs/>
          <w:sz w:val="28"/>
          <w:szCs w:val="24"/>
        </w:rPr>
        <w:t xml:space="preserve">    </w:t>
      </w:r>
      <w:r w:rsidRPr="004D4BDB">
        <w:rPr>
          <w:rFonts w:ascii="宋体" w:eastAsia="宋体" w:hAnsi="宋体" w:cs="Arial" w:hint="eastAsia"/>
          <w:b/>
          <w:bCs/>
          <w:sz w:val="32"/>
          <w:szCs w:val="32"/>
        </w:rPr>
        <w:t>基金管理人：广发基金管理有限公司</w:t>
      </w:r>
    </w:p>
    <w:p w:rsidR="004D4BDB" w:rsidRPr="004D4BDB" w:rsidRDefault="004D4BDB" w:rsidP="004D4BDB">
      <w:pPr>
        <w:adjustRightInd w:val="0"/>
        <w:snapToGrid w:val="0"/>
        <w:spacing w:line="360" w:lineRule="auto"/>
        <w:jc w:val="center"/>
        <w:outlineLvl w:val="0"/>
        <w:rPr>
          <w:rFonts w:ascii="宋体" w:eastAsia="宋体" w:hAnsi="宋体" w:cs="Arial"/>
          <w:b/>
          <w:bCs/>
          <w:sz w:val="32"/>
          <w:szCs w:val="32"/>
        </w:rPr>
      </w:pPr>
      <w:r w:rsidRPr="004D4BDB">
        <w:rPr>
          <w:rFonts w:ascii="宋体" w:eastAsia="宋体" w:hAnsi="宋体" w:cs="Arial" w:hint="eastAsia"/>
          <w:b/>
          <w:bCs/>
          <w:sz w:val="32"/>
          <w:szCs w:val="32"/>
        </w:rPr>
        <w:t xml:space="preserve">      基金托管人：中国建设银行股份有限公司</w:t>
      </w: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outlineLvl w:val="0"/>
        <w:rPr>
          <w:rFonts w:ascii="宋体" w:eastAsia="宋体" w:hAnsi="宋体" w:cs="Arial"/>
          <w:sz w:val="28"/>
          <w:szCs w:val="28"/>
        </w:rPr>
      </w:pPr>
    </w:p>
    <w:p w:rsidR="00604019" w:rsidRDefault="004D4BDB" w:rsidP="004D4BDB">
      <w:pPr>
        <w:adjustRightInd w:val="0"/>
        <w:snapToGrid w:val="0"/>
        <w:outlineLvl w:val="0"/>
        <w:rPr>
          <w:rFonts w:ascii="宋体" w:eastAsia="宋体" w:hAnsi="宋体" w:cs="Arial"/>
          <w:b/>
          <w:sz w:val="30"/>
          <w:szCs w:val="30"/>
        </w:rPr>
      </w:pPr>
      <w:r w:rsidRPr="004D4BDB">
        <w:rPr>
          <w:rFonts w:ascii="宋体" w:eastAsia="宋体" w:hAnsi="宋体" w:cs="Arial" w:hint="eastAsia"/>
          <w:sz w:val="28"/>
          <w:szCs w:val="28"/>
        </w:rPr>
        <w:t xml:space="preserve">                       </w:t>
      </w:r>
      <w:r w:rsidR="00083CD8">
        <w:rPr>
          <w:rFonts w:ascii="宋体" w:eastAsia="宋体" w:hAnsi="宋体" w:cs="Arial" w:hint="eastAsia"/>
          <w:b/>
          <w:sz w:val="30"/>
          <w:szCs w:val="30"/>
        </w:rPr>
        <w:t>二零一</w:t>
      </w:r>
      <w:r w:rsidR="008B4BF7">
        <w:rPr>
          <w:rFonts w:ascii="宋体" w:eastAsia="宋体" w:hAnsi="宋体" w:cs="Arial" w:hint="eastAsia"/>
          <w:b/>
          <w:sz w:val="30"/>
          <w:szCs w:val="30"/>
        </w:rPr>
        <w:t>六</w:t>
      </w:r>
      <w:r w:rsidR="00083CD8">
        <w:rPr>
          <w:rFonts w:ascii="宋体" w:eastAsia="宋体" w:hAnsi="宋体" w:cs="Arial" w:hint="eastAsia"/>
          <w:b/>
          <w:sz w:val="30"/>
          <w:szCs w:val="30"/>
        </w:rPr>
        <w:t>年</w:t>
      </w:r>
      <w:r w:rsidR="00613020">
        <w:rPr>
          <w:rFonts w:ascii="宋体" w:eastAsia="宋体" w:hAnsi="宋体" w:cs="Arial" w:hint="eastAsia"/>
          <w:b/>
          <w:sz w:val="30"/>
          <w:szCs w:val="30"/>
        </w:rPr>
        <w:t>八</w:t>
      </w:r>
      <w:r w:rsidRPr="004D4BDB">
        <w:rPr>
          <w:rFonts w:ascii="宋体" w:eastAsia="宋体" w:hAnsi="宋体" w:cs="Arial" w:hint="eastAsia"/>
          <w:b/>
          <w:sz w:val="30"/>
          <w:szCs w:val="30"/>
        </w:rPr>
        <w:t>月</w:t>
      </w:r>
    </w:p>
    <w:p w:rsidR="00604019" w:rsidRDefault="00604019">
      <w:pPr>
        <w:widowControl/>
        <w:jc w:val="left"/>
        <w:rPr>
          <w:rFonts w:ascii="宋体" w:eastAsia="宋体" w:hAnsi="宋体" w:cs="Arial"/>
          <w:b/>
          <w:sz w:val="30"/>
          <w:szCs w:val="30"/>
        </w:rPr>
      </w:pPr>
      <w:r>
        <w:rPr>
          <w:rFonts w:ascii="宋体" w:eastAsia="宋体" w:hAnsi="宋体" w:cs="Arial"/>
          <w:b/>
          <w:sz w:val="30"/>
          <w:szCs w:val="30"/>
        </w:rPr>
        <w:br w:type="page"/>
      </w:r>
    </w:p>
    <w:p w:rsidR="004D4BDB" w:rsidRPr="004D4BDB" w:rsidRDefault="004D4BDB" w:rsidP="004D4BDB">
      <w:pPr>
        <w:adjustRightInd w:val="0"/>
        <w:snapToGrid w:val="0"/>
        <w:outlineLvl w:val="0"/>
        <w:rPr>
          <w:rFonts w:ascii="宋体" w:eastAsia="宋体" w:hAnsi="宋体" w:cs="Arial"/>
          <w:b/>
          <w:sz w:val="30"/>
          <w:szCs w:val="30"/>
        </w:rPr>
      </w:pPr>
    </w:p>
    <w:p w:rsidR="004D4BDB" w:rsidRPr="004D4BDB" w:rsidRDefault="004D4BDB" w:rsidP="004D4BDB">
      <w:pPr>
        <w:adjustRightInd w:val="0"/>
        <w:snapToGrid w:val="0"/>
        <w:jc w:val="center"/>
        <w:outlineLvl w:val="0"/>
        <w:rPr>
          <w:rFonts w:ascii="宋体" w:eastAsia="宋体" w:hAnsi="宋体" w:cs="Arial"/>
          <w:sz w:val="24"/>
          <w:szCs w:val="24"/>
        </w:rPr>
      </w:pPr>
    </w:p>
    <w:p w:rsidR="004D4BDB" w:rsidRPr="004D4BDB" w:rsidRDefault="004D4BDB" w:rsidP="004D4BDB">
      <w:pPr>
        <w:adjustRightInd w:val="0"/>
        <w:snapToGrid w:val="0"/>
        <w:jc w:val="center"/>
        <w:rPr>
          <w:rFonts w:ascii="宋体" w:eastAsia="宋体" w:hAnsi="宋体" w:cs="Arial"/>
          <w:bCs/>
          <w:sz w:val="24"/>
          <w:szCs w:val="24"/>
        </w:rPr>
      </w:pPr>
    </w:p>
    <w:p w:rsidR="004D4BDB" w:rsidRPr="004D4BDB" w:rsidRDefault="004D4BDB" w:rsidP="004D4BDB">
      <w:pPr>
        <w:adjustRightInd w:val="0"/>
        <w:snapToGrid w:val="0"/>
        <w:jc w:val="center"/>
        <w:rPr>
          <w:rFonts w:ascii="宋体" w:eastAsia="宋体" w:hAnsi="宋体" w:cs="Arial"/>
          <w:bCs/>
          <w:sz w:val="24"/>
          <w:szCs w:val="24"/>
        </w:rPr>
      </w:pPr>
    </w:p>
    <w:p w:rsidR="004D4BDB" w:rsidRPr="004D4BDB" w:rsidRDefault="004D4BDB" w:rsidP="004D4BDB">
      <w:pPr>
        <w:adjustRightInd w:val="0"/>
        <w:snapToGrid w:val="0"/>
        <w:jc w:val="center"/>
        <w:rPr>
          <w:rFonts w:ascii="宋体" w:eastAsia="宋体" w:hAnsi="宋体" w:cs="Arial"/>
          <w:bCs/>
          <w:sz w:val="24"/>
          <w:szCs w:val="24"/>
        </w:rPr>
      </w:pPr>
    </w:p>
    <w:p w:rsidR="004D4BDB" w:rsidRPr="004D4BDB" w:rsidRDefault="004D4BDB" w:rsidP="004D4BDB">
      <w:pPr>
        <w:adjustRightInd w:val="0"/>
        <w:snapToGrid w:val="0"/>
        <w:jc w:val="center"/>
        <w:rPr>
          <w:rFonts w:ascii="宋体" w:eastAsia="宋体" w:hAnsi="宋体" w:cs="Arial"/>
          <w:bCs/>
          <w:sz w:val="24"/>
          <w:szCs w:val="24"/>
        </w:rPr>
      </w:pPr>
    </w:p>
    <w:p w:rsidR="004D4BDB" w:rsidRPr="004D4BDB" w:rsidRDefault="004D4BDB" w:rsidP="004D4BDB">
      <w:pPr>
        <w:adjustRightInd w:val="0"/>
        <w:snapToGrid w:val="0"/>
        <w:jc w:val="center"/>
        <w:rPr>
          <w:rFonts w:ascii="宋体" w:eastAsia="宋体" w:hAnsi="宋体" w:cs="Arial"/>
          <w:bCs/>
          <w:sz w:val="24"/>
          <w:szCs w:val="24"/>
        </w:rPr>
      </w:pPr>
    </w:p>
    <w:p w:rsidR="004D4BDB" w:rsidRPr="004D4BDB" w:rsidRDefault="004D4BDB" w:rsidP="004D4BDB">
      <w:pPr>
        <w:adjustRightInd w:val="0"/>
        <w:snapToGrid w:val="0"/>
        <w:jc w:val="center"/>
        <w:rPr>
          <w:rFonts w:ascii="宋体" w:eastAsia="宋体" w:hAnsi="宋体" w:cs="Arial"/>
          <w:bCs/>
          <w:sz w:val="24"/>
          <w:szCs w:val="24"/>
        </w:rPr>
      </w:pPr>
    </w:p>
    <w:p w:rsidR="004D4BDB" w:rsidRPr="004D4BDB" w:rsidRDefault="004D4BDB" w:rsidP="004D4BDB">
      <w:pPr>
        <w:adjustRightInd w:val="0"/>
        <w:snapToGrid w:val="0"/>
        <w:jc w:val="center"/>
        <w:rPr>
          <w:rFonts w:ascii="宋体" w:eastAsia="宋体" w:hAnsi="宋体" w:cs="Arial"/>
          <w:bCs/>
          <w:sz w:val="24"/>
          <w:szCs w:val="24"/>
        </w:rPr>
      </w:pPr>
    </w:p>
    <w:p w:rsidR="004D4BDB" w:rsidRPr="004D4BDB" w:rsidRDefault="004D4BDB" w:rsidP="004D4BDB">
      <w:pPr>
        <w:adjustRightInd w:val="0"/>
        <w:snapToGrid w:val="0"/>
        <w:jc w:val="center"/>
        <w:rPr>
          <w:rFonts w:ascii="宋体" w:eastAsia="宋体" w:hAnsi="宋体" w:cs="Arial"/>
          <w:bCs/>
          <w:sz w:val="24"/>
          <w:szCs w:val="24"/>
        </w:rPr>
        <w:sectPr w:rsidR="004D4BDB" w:rsidRPr="004D4BDB">
          <w:footerReference w:type="even" r:id="rId8"/>
          <w:pgSz w:w="11906" w:h="16838" w:code="9"/>
          <w:pgMar w:top="1418" w:right="1701" w:bottom="1418" w:left="1701" w:header="851" w:footer="992" w:gutter="0"/>
          <w:cols w:space="425"/>
          <w:docGrid w:type="lines" w:linePitch="312"/>
        </w:sectPr>
      </w:pPr>
    </w:p>
    <w:p w:rsidR="004D4BDB" w:rsidRPr="004D4BDB" w:rsidRDefault="004D4BDB" w:rsidP="004D4BDB">
      <w:pPr>
        <w:adjustRightInd w:val="0"/>
        <w:snapToGrid w:val="0"/>
        <w:rPr>
          <w:rFonts w:ascii="宋体" w:eastAsia="宋体" w:hAnsi="宋体" w:cs="Arial"/>
          <w:bCs/>
          <w:sz w:val="24"/>
          <w:szCs w:val="24"/>
        </w:rPr>
      </w:pPr>
    </w:p>
    <w:p w:rsidR="004D4BDB" w:rsidRPr="004D4BDB" w:rsidRDefault="004D4BDB" w:rsidP="004D4BDB">
      <w:pPr>
        <w:jc w:val="center"/>
        <w:rPr>
          <w:rFonts w:ascii="宋体" w:eastAsia="宋体" w:hAnsi="宋体" w:cs="Times New Roman"/>
          <w:b/>
          <w:bCs/>
          <w:sz w:val="30"/>
          <w:szCs w:val="24"/>
        </w:rPr>
      </w:pPr>
      <w:r w:rsidRPr="004D4BDB">
        <w:rPr>
          <w:rFonts w:ascii="宋体" w:eastAsia="宋体" w:hAnsi="宋体" w:cs="Times New Roman" w:hint="eastAsia"/>
          <w:b/>
          <w:bCs/>
          <w:sz w:val="30"/>
          <w:szCs w:val="24"/>
        </w:rPr>
        <w:t>目    录</w:t>
      </w:r>
    </w:p>
    <w:p w:rsidR="004D4BDB" w:rsidRPr="004D4BDB" w:rsidRDefault="004D4BDB" w:rsidP="004D4BDB">
      <w:pPr>
        <w:tabs>
          <w:tab w:val="right" w:leader="dot" w:pos="8494"/>
        </w:tabs>
        <w:ind w:leftChars="200" w:left="420"/>
        <w:rPr>
          <w:rFonts w:ascii="宋体" w:eastAsia="宋体" w:hAnsi="宋体" w:cs="Times New Roman"/>
          <w:noProof/>
          <w:sz w:val="28"/>
          <w:szCs w:val="24"/>
        </w:rPr>
      </w:pPr>
      <w:r w:rsidRPr="004D4BDB">
        <w:rPr>
          <w:rFonts w:ascii="宋体" w:eastAsia="宋体" w:hAnsi="宋体" w:cs="Times New Roman" w:hint="eastAsia"/>
          <w:sz w:val="28"/>
          <w:szCs w:val="24"/>
        </w:rPr>
        <w:fldChar w:fldCharType="begin"/>
      </w:r>
      <w:r w:rsidRPr="004D4BDB">
        <w:rPr>
          <w:rFonts w:ascii="宋体" w:eastAsia="宋体" w:hAnsi="宋体" w:cs="Times New Roman" w:hint="eastAsia"/>
          <w:sz w:val="28"/>
          <w:szCs w:val="24"/>
        </w:rPr>
        <w:instrText xml:space="preserve"> TOC \o "1-2" \h \z </w:instrText>
      </w:r>
      <w:r w:rsidRPr="004D4BDB">
        <w:rPr>
          <w:rFonts w:ascii="宋体" w:eastAsia="宋体" w:hAnsi="宋体" w:cs="Times New Roman" w:hint="eastAsia"/>
          <w:sz w:val="28"/>
          <w:szCs w:val="24"/>
        </w:rPr>
        <w:fldChar w:fldCharType="separate"/>
      </w:r>
      <w:hyperlink w:anchor="_Toc124325885" w:history="1">
        <w:r w:rsidRPr="004D4BDB">
          <w:rPr>
            <w:rFonts w:ascii="宋体" w:eastAsia="宋体" w:hAnsi="宋体" w:cs="Times New Roman" w:hint="eastAsia"/>
            <w:noProof/>
            <w:sz w:val="28"/>
            <w:szCs w:val="32"/>
          </w:rPr>
          <w:t>一、基金托管协议当事人</w:t>
        </w:r>
        <w:r w:rsidRPr="004D4BDB">
          <w:rPr>
            <w:rFonts w:ascii="宋体" w:eastAsia="宋体" w:hAnsi="宋体" w:cs="Times New Roman" w:hint="eastAsia"/>
            <w:noProof/>
            <w:webHidden/>
            <w:sz w:val="28"/>
            <w:szCs w:val="24"/>
          </w:rPr>
          <w:tab/>
        </w:r>
        <w:r w:rsidRPr="004D4BDB">
          <w:rPr>
            <w:rFonts w:ascii="宋体" w:eastAsia="宋体" w:hAnsi="宋体" w:cs="Times New Roman" w:hint="eastAsia"/>
            <w:noProof/>
            <w:webHidden/>
            <w:sz w:val="28"/>
            <w:szCs w:val="24"/>
          </w:rPr>
          <w:fldChar w:fldCharType="begin"/>
        </w:r>
        <w:r w:rsidRPr="004D4BDB">
          <w:rPr>
            <w:rFonts w:ascii="宋体" w:eastAsia="宋体" w:hAnsi="宋体" w:cs="Times New Roman" w:hint="eastAsia"/>
            <w:noProof/>
            <w:webHidden/>
            <w:sz w:val="28"/>
            <w:szCs w:val="24"/>
          </w:rPr>
          <w:instrText xml:space="preserve"> PAGEREF _Toc124325885 \h </w:instrText>
        </w:r>
        <w:r w:rsidRPr="004D4BDB">
          <w:rPr>
            <w:rFonts w:ascii="宋体" w:eastAsia="宋体" w:hAnsi="宋体" w:cs="Times New Roman" w:hint="eastAsia"/>
            <w:noProof/>
            <w:webHidden/>
            <w:sz w:val="28"/>
            <w:szCs w:val="24"/>
          </w:rPr>
        </w:r>
        <w:r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1</w:t>
        </w:r>
        <w:r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86" w:history="1">
        <w:r w:rsidR="004D4BDB" w:rsidRPr="004D4BDB">
          <w:rPr>
            <w:rFonts w:ascii="宋体" w:eastAsia="宋体" w:hAnsi="宋体" w:cs="Times New Roman" w:hint="eastAsia"/>
            <w:noProof/>
            <w:sz w:val="28"/>
            <w:szCs w:val="32"/>
          </w:rPr>
          <w:t>二、基金托管协议的依据、目的和原则</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_Toc124325886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2</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87" w:history="1">
        <w:r w:rsidR="004D4BDB" w:rsidRPr="004D4BDB">
          <w:rPr>
            <w:rFonts w:ascii="宋体" w:eastAsia="宋体" w:hAnsi="宋体" w:cs="Times New Roman" w:hint="eastAsia"/>
            <w:noProof/>
            <w:sz w:val="28"/>
            <w:szCs w:val="32"/>
          </w:rPr>
          <w:t>三、基金托管人对基金管理人的业务监督和核查</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_Toc124325887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3</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88" w:history="1">
        <w:r w:rsidR="004D4BDB" w:rsidRPr="004D4BDB">
          <w:rPr>
            <w:rFonts w:ascii="宋体" w:eastAsia="宋体" w:hAnsi="宋体" w:cs="Times New Roman" w:hint="eastAsia"/>
            <w:noProof/>
            <w:sz w:val="28"/>
            <w:szCs w:val="32"/>
          </w:rPr>
          <w:t>四、基金管理人对基金托管人的业</w:t>
        </w:r>
        <w:bookmarkStart w:id="0" w:name="_GoBack"/>
        <w:bookmarkEnd w:id="0"/>
        <w:r w:rsidR="004D4BDB" w:rsidRPr="004D4BDB">
          <w:rPr>
            <w:rFonts w:ascii="宋体" w:eastAsia="宋体" w:hAnsi="宋体" w:cs="Times New Roman" w:hint="eastAsia"/>
            <w:noProof/>
            <w:sz w:val="28"/>
            <w:szCs w:val="32"/>
          </w:rPr>
          <w:t>务核查</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_Toc124325888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9</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89" w:history="1">
        <w:r w:rsidR="004D4BDB" w:rsidRPr="004D4BDB">
          <w:rPr>
            <w:rFonts w:ascii="宋体" w:eastAsia="宋体" w:hAnsi="宋体" w:cs="Times New Roman" w:hint="eastAsia"/>
            <w:noProof/>
            <w:sz w:val="28"/>
            <w:szCs w:val="32"/>
          </w:rPr>
          <w:t>五、基金财产的保管</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_Toc124325889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9</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90" w:history="1">
        <w:r w:rsidR="004D4BDB" w:rsidRPr="004D4BDB">
          <w:rPr>
            <w:rFonts w:ascii="宋体" w:eastAsia="宋体" w:hAnsi="宋体" w:cs="Times New Roman" w:hint="eastAsia"/>
            <w:noProof/>
            <w:sz w:val="28"/>
            <w:szCs w:val="32"/>
          </w:rPr>
          <w:t>六、指令的发送、确认及执行</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_Toc124325890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12</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91" w:history="1">
        <w:r w:rsidR="004D4BDB" w:rsidRPr="004D4BDB">
          <w:rPr>
            <w:rFonts w:ascii="宋体" w:eastAsia="宋体" w:hAnsi="宋体" w:cs="Times New Roman" w:hint="eastAsia"/>
            <w:noProof/>
            <w:sz w:val="28"/>
            <w:szCs w:val="32"/>
          </w:rPr>
          <w:t>七、交易及清算交收安排</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_Toc124325891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15</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92" w:history="1">
        <w:r w:rsidR="004D4BDB" w:rsidRPr="004D4BDB">
          <w:rPr>
            <w:rFonts w:ascii="宋体" w:eastAsia="宋体" w:hAnsi="宋体" w:cs="Times New Roman" w:hint="eastAsia"/>
            <w:noProof/>
            <w:sz w:val="28"/>
            <w:szCs w:val="32"/>
          </w:rPr>
          <w:t>八、基金资产净值计算和会计核算</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_Toc124325892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19</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93" w:history="1">
        <w:r w:rsidR="004D4BDB" w:rsidRPr="004D4BDB">
          <w:rPr>
            <w:rFonts w:ascii="宋体" w:eastAsia="宋体" w:hAnsi="宋体" w:cs="Times New Roman" w:hint="eastAsia"/>
            <w:noProof/>
            <w:sz w:val="28"/>
            <w:szCs w:val="32"/>
          </w:rPr>
          <w:t>九、基金收益分配</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_Toc124325893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24</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94" w:history="1">
        <w:r w:rsidR="004D4BDB" w:rsidRPr="004D4BDB">
          <w:rPr>
            <w:rFonts w:ascii="宋体" w:eastAsia="宋体" w:hAnsi="宋体" w:cs="Times New Roman" w:hint="eastAsia"/>
            <w:noProof/>
            <w:sz w:val="28"/>
            <w:szCs w:val="32"/>
          </w:rPr>
          <w:t>十、基金信息披露</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_Toc124325894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25</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95" w:history="1">
        <w:r w:rsidR="004D4BDB" w:rsidRPr="004D4BDB">
          <w:rPr>
            <w:rFonts w:ascii="宋体" w:eastAsia="宋体" w:hAnsi="宋体" w:cs="Times New Roman" w:hint="eastAsia"/>
            <w:noProof/>
            <w:sz w:val="28"/>
            <w:szCs w:val="32"/>
          </w:rPr>
          <w:t>十一、基金费用</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_Toc124325895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26</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96" w:history="1">
        <w:r w:rsidR="004D4BDB" w:rsidRPr="004D4BDB">
          <w:rPr>
            <w:rFonts w:ascii="宋体" w:eastAsia="宋体" w:hAnsi="宋体" w:cs="Times New Roman" w:hint="eastAsia"/>
            <w:noProof/>
            <w:sz w:val="28"/>
            <w:szCs w:val="32"/>
          </w:rPr>
          <w:t>十二、基金份额持有人名册的保管</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_Toc124325896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28</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97" w:history="1">
        <w:r w:rsidR="004D4BDB" w:rsidRPr="004D4BDB">
          <w:rPr>
            <w:rFonts w:ascii="宋体" w:eastAsia="宋体" w:hAnsi="宋体" w:cs="Times New Roman" w:hint="eastAsia"/>
            <w:noProof/>
            <w:sz w:val="28"/>
            <w:szCs w:val="32"/>
          </w:rPr>
          <w:t>十三、基金有关文件档案的保存</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_Toc124325897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28</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98" w:history="1">
        <w:r w:rsidR="004D4BDB" w:rsidRPr="004D4BDB">
          <w:rPr>
            <w:rFonts w:ascii="宋体" w:eastAsia="宋体" w:hAnsi="宋体" w:cs="Times New Roman" w:hint="eastAsia"/>
            <w:noProof/>
            <w:sz w:val="28"/>
            <w:szCs w:val="32"/>
          </w:rPr>
          <w:t>十四、基金管理人和基金托管人的更换</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_Toc124325898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29</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899" w:history="1">
        <w:r w:rsidR="004D4BDB" w:rsidRPr="004D4BDB">
          <w:rPr>
            <w:rFonts w:ascii="宋体" w:eastAsia="宋体" w:hAnsi="宋体" w:cs="Times New Roman" w:hint="eastAsia"/>
            <w:noProof/>
            <w:sz w:val="28"/>
            <w:szCs w:val="32"/>
          </w:rPr>
          <w:t>十五、禁止行为</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_Toc124325899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31</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900" w:history="1">
        <w:r w:rsidR="004D4BDB" w:rsidRPr="004D4BDB">
          <w:rPr>
            <w:rFonts w:ascii="宋体" w:eastAsia="宋体" w:hAnsi="宋体" w:cs="Times New Roman" w:hint="eastAsia"/>
            <w:noProof/>
            <w:sz w:val="28"/>
            <w:szCs w:val="32"/>
          </w:rPr>
          <w:t>十六、托管协议的变更、终止与基金财产的清算</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_Toc124325900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32</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901" w:history="1">
        <w:r w:rsidR="004D4BDB" w:rsidRPr="004D4BDB">
          <w:rPr>
            <w:rFonts w:ascii="宋体" w:eastAsia="宋体" w:hAnsi="宋体" w:cs="Times New Roman" w:hint="eastAsia"/>
            <w:noProof/>
            <w:sz w:val="28"/>
            <w:szCs w:val="32"/>
          </w:rPr>
          <w:t>十七、违约责任</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_Toc124325901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34</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902" w:history="1">
        <w:r w:rsidR="004D4BDB" w:rsidRPr="004D4BDB">
          <w:rPr>
            <w:rFonts w:ascii="宋体" w:eastAsia="宋体" w:hAnsi="宋体" w:cs="Times New Roman" w:hint="eastAsia"/>
            <w:noProof/>
            <w:sz w:val="28"/>
            <w:szCs w:val="32"/>
          </w:rPr>
          <w:t>十八、争议解决方式</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_Toc124325902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35</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903" w:history="1">
        <w:r w:rsidR="004D4BDB" w:rsidRPr="004D4BDB">
          <w:rPr>
            <w:rFonts w:ascii="宋体" w:eastAsia="宋体" w:hAnsi="宋体" w:cs="Times New Roman" w:hint="eastAsia"/>
            <w:noProof/>
            <w:sz w:val="28"/>
            <w:szCs w:val="32"/>
          </w:rPr>
          <w:t>十九、托管协议的效力</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_Toc124325903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35</w:t>
        </w:r>
        <w:r w:rsidR="004D4BDB" w:rsidRPr="004D4BDB">
          <w:rPr>
            <w:rFonts w:ascii="宋体" w:eastAsia="宋体" w:hAnsi="宋体" w:cs="Times New Roman" w:hint="eastAsia"/>
            <w:noProof/>
            <w:webHidden/>
            <w:sz w:val="28"/>
            <w:szCs w:val="24"/>
          </w:rPr>
          <w:fldChar w:fldCharType="end"/>
        </w:r>
      </w:hyperlink>
    </w:p>
    <w:p w:rsidR="004D4BDB" w:rsidRPr="004D4BDB" w:rsidRDefault="00C043C4" w:rsidP="004D4BDB">
      <w:pPr>
        <w:tabs>
          <w:tab w:val="right" w:leader="dot" w:pos="8494"/>
        </w:tabs>
        <w:ind w:leftChars="200" w:left="420"/>
        <w:rPr>
          <w:rFonts w:ascii="宋体" w:eastAsia="宋体" w:hAnsi="宋体" w:cs="Times New Roman"/>
          <w:noProof/>
          <w:sz w:val="28"/>
          <w:szCs w:val="24"/>
        </w:rPr>
      </w:pPr>
      <w:hyperlink w:anchor="_Toc124325904" w:history="1">
        <w:r w:rsidR="004D4BDB" w:rsidRPr="004D4BDB">
          <w:rPr>
            <w:rFonts w:ascii="宋体" w:eastAsia="宋体" w:hAnsi="宋体" w:cs="Times New Roman" w:hint="eastAsia"/>
            <w:noProof/>
            <w:sz w:val="28"/>
            <w:szCs w:val="32"/>
          </w:rPr>
          <w:t>二十、其他事项</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_Toc124325904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36</w:t>
        </w:r>
        <w:r w:rsidR="004D4BDB" w:rsidRPr="004D4BDB">
          <w:rPr>
            <w:rFonts w:ascii="宋体" w:eastAsia="宋体" w:hAnsi="宋体" w:cs="Times New Roman" w:hint="eastAsia"/>
            <w:noProof/>
            <w:webHidden/>
            <w:sz w:val="28"/>
            <w:szCs w:val="24"/>
          </w:rPr>
          <w:fldChar w:fldCharType="end"/>
        </w:r>
      </w:hyperlink>
    </w:p>
    <w:p w:rsidR="00604019" w:rsidRDefault="00C043C4" w:rsidP="004D4BDB">
      <w:pPr>
        <w:tabs>
          <w:tab w:val="right" w:leader="dot" w:pos="8494"/>
        </w:tabs>
        <w:ind w:leftChars="200" w:left="420"/>
        <w:rPr>
          <w:rFonts w:ascii="宋体" w:eastAsia="宋体" w:hAnsi="宋体" w:cs="Times New Roman"/>
          <w:noProof/>
          <w:sz w:val="28"/>
          <w:szCs w:val="24"/>
        </w:rPr>
        <w:sectPr w:rsidR="00604019">
          <w:headerReference w:type="default" r:id="rId9"/>
          <w:footerReference w:type="default" r:id="rId10"/>
          <w:pgSz w:w="11906" w:h="16838" w:code="9"/>
          <w:pgMar w:top="1418" w:right="1701" w:bottom="1418" w:left="1701" w:header="851" w:footer="992" w:gutter="0"/>
          <w:cols w:space="425"/>
          <w:docGrid w:type="lines" w:linePitch="312"/>
        </w:sectPr>
      </w:pPr>
      <w:hyperlink w:anchor="_Toc124325905" w:history="1">
        <w:r w:rsidR="004D4BDB" w:rsidRPr="004D4BDB">
          <w:rPr>
            <w:rFonts w:ascii="宋体" w:eastAsia="宋体" w:hAnsi="宋体" w:cs="Times New Roman" w:hint="eastAsia"/>
            <w:noProof/>
            <w:sz w:val="28"/>
            <w:szCs w:val="32"/>
          </w:rPr>
          <w:t>二十一、托管协议的签订</w:t>
        </w:r>
        <w:r w:rsidR="004D4BDB" w:rsidRPr="004D4BDB">
          <w:rPr>
            <w:rFonts w:ascii="宋体" w:eastAsia="宋体" w:hAnsi="宋体" w:cs="Times New Roman" w:hint="eastAsia"/>
            <w:noProof/>
            <w:webHidden/>
            <w:sz w:val="28"/>
            <w:szCs w:val="24"/>
          </w:rPr>
          <w:tab/>
        </w:r>
        <w:r w:rsidR="004D4BDB" w:rsidRPr="004D4BDB">
          <w:rPr>
            <w:rFonts w:ascii="宋体" w:eastAsia="宋体" w:hAnsi="宋体" w:cs="Times New Roman" w:hint="eastAsia"/>
            <w:noProof/>
            <w:webHidden/>
            <w:sz w:val="28"/>
            <w:szCs w:val="24"/>
          </w:rPr>
          <w:fldChar w:fldCharType="begin"/>
        </w:r>
        <w:r w:rsidR="004D4BDB" w:rsidRPr="004D4BDB">
          <w:rPr>
            <w:rFonts w:ascii="宋体" w:eastAsia="宋体" w:hAnsi="宋体" w:cs="Times New Roman" w:hint="eastAsia"/>
            <w:noProof/>
            <w:webHidden/>
            <w:sz w:val="28"/>
            <w:szCs w:val="24"/>
          </w:rPr>
          <w:instrText xml:space="preserve"> PAGEREF _Toc124325905 \h </w:instrText>
        </w:r>
        <w:r w:rsidR="004D4BDB" w:rsidRPr="004D4BDB">
          <w:rPr>
            <w:rFonts w:ascii="宋体" w:eastAsia="宋体" w:hAnsi="宋体" w:cs="Times New Roman" w:hint="eastAsia"/>
            <w:noProof/>
            <w:webHidden/>
            <w:sz w:val="28"/>
            <w:szCs w:val="24"/>
          </w:rPr>
        </w:r>
        <w:r w:rsidR="004D4BDB" w:rsidRPr="004D4BDB">
          <w:rPr>
            <w:rFonts w:ascii="宋体" w:eastAsia="宋体" w:hAnsi="宋体" w:cs="Times New Roman" w:hint="eastAsia"/>
            <w:noProof/>
            <w:webHidden/>
            <w:sz w:val="28"/>
            <w:szCs w:val="24"/>
          </w:rPr>
          <w:fldChar w:fldCharType="separate"/>
        </w:r>
        <w:r w:rsidR="0080300E">
          <w:rPr>
            <w:rFonts w:ascii="宋体" w:eastAsia="宋体" w:hAnsi="宋体" w:cs="Times New Roman"/>
            <w:noProof/>
            <w:webHidden/>
            <w:sz w:val="28"/>
            <w:szCs w:val="24"/>
          </w:rPr>
          <w:t>36</w:t>
        </w:r>
        <w:r w:rsidR="004D4BDB" w:rsidRPr="004D4BDB">
          <w:rPr>
            <w:rFonts w:ascii="宋体" w:eastAsia="宋体" w:hAnsi="宋体" w:cs="Times New Roman" w:hint="eastAsia"/>
            <w:noProof/>
            <w:webHidden/>
            <w:sz w:val="28"/>
            <w:szCs w:val="24"/>
          </w:rPr>
          <w:fldChar w:fldCharType="end"/>
        </w:r>
      </w:hyperlink>
    </w:p>
    <w:p w:rsidR="00604019" w:rsidRDefault="00604019" w:rsidP="00604019">
      <w:pPr>
        <w:tabs>
          <w:tab w:val="right" w:leader="dot" w:pos="8494"/>
        </w:tabs>
        <w:rPr>
          <w:rFonts w:ascii="宋体" w:eastAsia="宋体" w:hAnsi="宋体" w:cs="Times New Roman"/>
          <w:noProof/>
          <w:sz w:val="28"/>
          <w:szCs w:val="24"/>
        </w:rPr>
        <w:sectPr w:rsidR="00604019">
          <w:pgSz w:w="11906" w:h="16838" w:code="9"/>
          <w:pgMar w:top="1418" w:right="1701" w:bottom="1418" w:left="1701" w:header="851" w:footer="992" w:gutter="0"/>
          <w:cols w:space="425"/>
          <w:docGrid w:type="lines" w:linePitch="312"/>
        </w:sectPr>
      </w:pPr>
    </w:p>
    <w:p w:rsidR="004D4BDB" w:rsidRPr="004D4BDB" w:rsidRDefault="004D4BDB" w:rsidP="00604019">
      <w:pPr>
        <w:tabs>
          <w:tab w:val="right" w:leader="dot" w:pos="8494"/>
        </w:tabs>
        <w:rPr>
          <w:rFonts w:ascii="宋体" w:eastAsia="宋体" w:hAnsi="宋体" w:cs="Times New Roman"/>
          <w:noProof/>
          <w:sz w:val="28"/>
          <w:szCs w:val="24"/>
        </w:rPr>
      </w:pPr>
    </w:p>
    <w:p w:rsidR="004D4BDB" w:rsidRPr="004D4BDB" w:rsidRDefault="004D4BDB" w:rsidP="004D4BDB">
      <w:pPr>
        <w:rPr>
          <w:rFonts w:ascii="宋体" w:eastAsia="宋体" w:hAnsi="宋体" w:cs="Times New Roman"/>
          <w:sz w:val="24"/>
          <w:szCs w:val="24"/>
        </w:rPr>
      </w:pPr>
      <w:r w:rsidRPr="004D4BDB">
        <w:rPr>
          <w:rFonts w:ascii="宋体" w:eastAsia="宋体" w:hAnsi="宋体" w:cs="Times New Roman" w:hint="eastAsia"/>
          <w:sz w:val="28"/>
          <w:szCs w:val="24"/>
        </w:rPr>
        <w:fldChar w:fldCharType="end"/>
      </w:r>
    </w:p>
    <w:p w:rsidR="004D4BDB" w:rsidRPr="004D4BDB" w:rsidRDefault="004D4BDB" w:rsidP="004D4BDB">
      <w:pPr>
        <w:widowControl/>
        <w:adjustRightInd w:val="0"/>
        <w:snapToGrid w:val="0"/>
        <w:spacing w:line="360" w:lineRule="auto"/>
        <w:ind w:firstLineChars="200" w:firstLine="480"/>
        <w:rPr>
          <w:rFonts w:ascii="宋体" w:eastAsia="宋体" w:hAnsi="宋体" w:cs="Arial"/>
          <w:kern w:val="0"/>
          <w:sz w:val="24"/>
          <w:szCs w:val="24"/>
        </w:rPr>
      </w:pPr>
      <w:r w:rsidRPr="004D4BDB">
        <w:rPr>
          <w:rFonts w:ascii="宋体" w:eastAsia="宋体" w:hAnsi="宋体" w:cs="Arial" w:hint="eastAsia"/>
          <w:kern w:val="0"/>
          <w:sz w:val="24"/>
          <w:szCs w:val="24"/>
        </w:rPr>
        <w:t>鉴于广发基金管理有限公司系一家依照中国法律合法成立并有效存续的有限责任公司，按照相关法律法规的规定具备担任基金管理人的资格和能力，拟募集发行广</w:t>
      </w:r>
      <w:proofErr w:type="gramStart"/>
      <w:r w:rsidRPr="004D4BDB">
        <w:rPr>
          <w:rFonts w:ascii="宋体" w:eastAsia="宋体" w:hAnsi="宋体" w:cs="Arial" w:hint="eastAsia"/>
          <w:kern w:val="0"/>
          <w:sz w:val="24"/>
          <w:szCs w:val="24"/>
        </w:rPr>
        <w:t>发</w:t>
      </w:r>
      <w:r w:rsidR="00CF2AFE">
        <w:rPr>
          <w:rFonts w:ascii="宋体" w:eastAsia="宋体" w:hAnsi="宋体" w:cs="Arial" w:hint="eastAsia"/>
          <w:kern w:val="0"/>
          <w:sz w:val="24"/>
          <w:szCs w:val="24"/>
        </w:rPr>
        <w:t>集丰</w:t>
      </w:r>
      <w:proofErr w:type="gramEnd"/>
      <w:r w:rsidR="00CF2AFE">
        <w:rPr>
          <w:rFonts w:ascii="宋体" w:eastAsia="宋体" w:hAnsi="宋体" w:cs="Arial" w:hint="eastAsia"/>
          <w:kern w:val="0"/>
          <w:sz w:val="24"/>
          <w:szCs w:val="24"/>
        </w:rPr>
        <w:t>债券型</w:t>
      </w:r>
      <w:r w:rsidRPr="004D4BDB">
        <w:rPr>
          <w:rFonts w:ascii="宋体" w:eastAsia="宋体" w:hAnsi="宋体" w:cs="Arial" w:hint="eastAsia"/>
          <w:kern w:val="0"/>
          <w:sz w:val="24"/>
          <w:szCs w:val="24"/>
        </w:rPr>
        <w:t>证券投资基金；</w:t>
      </w:r>
    </w:p>
    <w:p w:rsidR="004D4BDB" w:rsidRPr="004D4BDB" w:rsidRDefault="004D4BDB" w:rsidP="004D4BDB">
      <w:pPr>
        <w:widowControl/>
        <w:adjustRightInd w:val="0"/>
        <w:snapToGrid w:val="0"/>
        <w:spacing w:line="360" w:lineRule="auto"/>
        <w:ind w:firstLineChars="200" w:firstLine="480"/>
        <w:rPr>
          <w:rFonts w:ascii="宋体" w:eastAsia="宋体" w:hAnsi="宋体" w:cs="Arial"/>
          <w:kern w:val="0"/>
          <w:sz w:val="24"/>
          <w:szCs w:val="24"/>
        </w:rPr>
      </w:pPr>
      <w:r w:rsidRPr="004D4BDB">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4D4BDB" w:rsidRPr="004D4BDB" w:rsidRDefault="004D4BDB" w:rsidP="004D4BDB">
      <w:pPr>
        <w:widowControl/>
        <w:adjustRightInd w:val="0"/>
        <w:snapToGrid w:val="0"/>
        <w:spacing w:line="360" w:lineRule="auto"/>
        <w:ind w:firstLineChars="200" w:firstLine="480"/>
        <w:rPr>
          <w:rFonts w:ascii="宋体" w:eastAsia="宋体" w:hAnsi="宋体" w:cs="Arial"/>
          <w:kern w:val="0"/>
          <w:sz w:val="24"/>
          <w:szCs w:val="24"/>
        </w:rPr>
      </w:pPr>
      <w:r w:rsidRPr="004D4BDB">
        <w:rPr>
          <w:rFonts w:ascii="宋体" w:eastAsia="宋体" w:hAnsi="宋体" w:cs="Arial" w:hint="eastAsia"/>
          <w:kern w:val="0"/>
          <w:sz w:val="24"/>
          <w:szCs w:val="24"/>
        </w:rPr>
        <w:t>鉴于广发基金管理有限公司拟担任广</w:t>
      </w:r>
      <w:proofErr w:type="gramStart"/>
      <w:r w:rsidRPr="004D4BDB">
        <w:rPr>
          <w:rFonts w:ascii="宋体" w:eastAsia="宋体" w:hAnsi="宋体" w:cs="Arial" w:hint="eastAsia"/>
          <w:kern w:val="0"/>
          <w:sz w:val="24"/>
          <w:szCs w:val="24"/>
        </w:rPr>
        <w:t>发</w:t>
      </w:r>
      <w:r w:rsidR="00CF2AFE">
        <w:rPr>
          <w:rFonts w:ascii="宋体" w:eastAsia="宋体" w:hAnsi="宋体" w:cs="Arial" w:hint="eastAsia"/>
          <w:kern w:val="0"/>
          <w:sz w:val="24"/>
          <w:szCs w:val="24"/>
        </w:rPr>
        <w:t>集丰</w:t>
      </w:r>
      <w:proofErr w:type="gramEnd"/>
      <w:r w:rsidR="00CF2AFE">
        <w:rPr>
          <w:rFonts w:ascii="宋体" w:eastAsia="宋体" w:hAnsi="宋体" w:cs="Arial" w:hint="eastAsia"/>
          <w:kern w:val="0"/>
          <w:sz w:val="24"/>
          <w:szCs w:val="24"/>
        </w:rPr>
        <w:t>债券型</w:t>
      </w:r>
      <w:r w:rsidRPr="004D4BDB">
        <w:rPr>
          <w:rFonts w:ascii="宋体" w:eastAsia="宋体" w:hAnsi="宋体" w:cs="Arial" w:hint="eastAsia"/>
          <w:kern w:val="0"/>
          <w:sz w:val="24"/>
          <w:szCs w:val="24"/>
        </w:rPr>
        <w:t>证券投资基金的基金管理人，中国建设银行股份有限公司拟担任广</w:t>
      </w:r>
      <w:proofErr w:type="gramStart"/>
      <w:r w:rsidRPr="004D4BDB">
        <w:rPr>
          <w:rFonts w:ascii="宋体" w:eastAsia="宋体" w:hAnsi="宋体" w:cs="Arial" w:hint="eastAsia"/>
          <w:kern w:val="0"/>
          <w:sz w:val="24"/>
          <w:szCs w:val="24"/>
        </w:rPr>
        <w:t>发</w:t>
      </w:r>
      <w:r w:rsidR="00CF2AFE">
        <w:rPr>
          <w:rFonts w:ascii="宋体" w:eastAsia="宋体" w:hAnsi="宋体" w:cs="Arial" w:hint="eastAsia"/>
          <w:kern w:val="0"/>
          <w:sz w:val="24"/>
          <w:szCs w:val="24"/>
        </w:rPr>
        <w:t>集丰</w:t>
      </w:r>
      <w:proofErr w:type="gramEnd"/>
      <w:r w:rsidR="00CF2AFE">
        <w:rPr>
          <w:rFonts w:ascii="宋体" w:eastAsia="宋体" w:hAnsi="宋体" w:cs="Arial" w:hint="eastAsia"/>
          <w:kern w:val="0"/>
          <w:sz w:val="24"/>
          <w:szCs w:val="24"/>
        </w:rPr>
        <w:t>债券型</w:t>
      </w:r>
      <w:r w:rsidRPr="004D4BDB">
        <w:rPr>
          <w:rFonts w:ascii="宋体" w:eastAsia="宋体" w:hAnsi="宋体" w:cs="Arial" w:hint="eastAsia"/>
          <w:kern w:val="0"/>
          <w:sz w:val="24"/>
          <w:szCs w:val="24"/>
        </w:rPr>
        <w:t>证券投资基金的基金托管人；</w:t>
      </w:r>
    </w:p>
    <w:p w:rsidR="004D4BDB" w:rsidRPr="004D4BDB" w:rsidRDefault="004D4BDB" w:rsidP="004D4BDB">
      <w:pPr>
        <w:widowControl/>
        <w:adjustRightInd w:val="0"/>
        <w:snapToGrid w:val="0"/>
        <w:spacing w:line="360" w:lineRule="auto"/>
        <w:ind w:firstLineChars="200" w:firstLine="480"/>
        <w:rPr>
          <w:rFonts w:ascii="宋体" w:eastAsia="宋体" w:hAnsi="宋体" w:cs="Arial"/>
          <w:kern w:val="0"/>
          <w:sz w:val="24"/>
          <w:szCs w:val="24"/>
        </w:rPr>
      </w:pPr>
      <w:r w:rsidRPr="004D4BDB">
        <w:rPr>
          <w:rFonts w:ascii="宋体" w:eastAsia="宋体" w:hAnsi="宋体" w:cs="Arial" w:hint="eastAsia"/>
          <w:kern w:val="0"/>
          <w:sz w:val="24"/>
          <w:szCs w:val="24"/>
        </w:rPr>
        <w:t>为</w:t>
      </w:r>
      <w:proofErr w:type="gramStart"/>
      <w:r w:rsidRPr="004D4BDB">
        <w:rPr>
          <w:rFonts w:ascii="宋体" w:eastAsia="宋体" w:hAnsi="宋体" w:cs="Arial" w:hint="eastAsia"/>
          <w:kern w:val="0"/>
          <w:sz w:val="24"/>
          <w:szCs w:val="24"/>
        </w:rPr>
        <w:t>明确广发</w:t>
      </w:r>
      <w:r w:rsidR="00CF2AFE">
        <w:rPr>
          <w:rFonts w:ascii="宋体" w:eastAsia="宋体" w:hAnsi="宋体" w:cs="Arial" w:hint="eastAsia"/>
          <w:kern w:val="0"/>
          <w:sz w:val="24"/>
          <w:szCs w:val="24"/>
        </w:rPr>
        <w:t>集丰</w:t>
      </w:r>
      <w:proofErr w:type="gramEnd"/>
      <w:r w:rsidR="00CF2AFE">
        <w:rPr>
          <w:rFonts w:ascii="宋体" w:eastAsia="宋体" w:hAnsi="宋体" w:cs="Arial" w:hint="eastAsia"/>
          <w:kern w:val="0"/>
          <w:sz w:val="24"/>
          <w:szCs w:val="24"/>
        </w:rPr>
        <w:t>债券型</w:t>
      </w:r>
      <w:r w:rsidRPr="004D4BDB">
        <w:rPr>
          <w:rFonts w:ascii="宋体" w:eastAsia="宋体" w:hAnsi="宋体" w:cs="Arial" w:hint="eastAsia"/>
          <w:kern w:val="0"/>
          <w:sz w:val="24"/>
          <w:szCs w:val="24"/>
        </w:rPr>
        <w:t>证券投资基金的基金管理人和基金托管人之间的权利义务关系，特制订本托管协议；</w:t>
      </w:r>
    </w:p>
    <w:p w:rsidR="004D4BDB" w:rsidRPr="004D4BDB" w:rsidRDefault="004D4BDB" w:rsidP="004D4BDB">
      <w:pPr>
        <w:widowControl/>
        <w:adjustRightInd w:val="0"/>
        <w:snapToGrid w:val="0"/>
        <w:spacing w:line="360" w:lineRule="auto"/>
        <w:ind w:firstLineChars="200" w:firstLine="480"/>
        <w:rPr>
          <w:rFonts w:ascii="宋体" w:eastAsia="宋体" w:hAnsi="宋体" w:cs="Arial"/>
          <w:kern w:val="0"/>
          <w:sz w:val="24"/>
          <w:szCs w:val="24"/>
          <w:lang w:val="en-GB"/>
        </w:rPr>
      </w:pPr>
      <w:r w:rsidRPr="004D4BDB">
        <w:rPr>
          <w:rFonts w:ascii="宋体" w:eastAsia="宋体" w:hAnsi="宋体" w:cs="Arial" w:hint="eastAsia"/>
          <w:kern w:val="0"/>
          <w:sz w:val="24"/>
          <w:szCs w:val="24"/>
          <w:lang w:val="en-GB"/>
        </w:rPr>
        <w:t>除非另有约定，《广发</w:t>
      </w:r>
      <w:r w:rsidR="00CF2AFE">
        <w:rPr>
          <w:rFonts w:ascii="宋体" w:eastAsia="宋体" w:hAnsi="宋体" w:cs="Arial" w:hint="eastAsia"/>
          <w:kern w:val="0"/>
          <w:sz w:val="24"/>
          <w:szCs w:val="24"/>
          <w:lang w:val="en-GB"/>
        </w:rPr>
        <w:t>集丰债券型</w:t>
      </w:r>
      <w:r w:rsidRPr="004D4BDB">
        <w:rPr>
          <w:rFonts w:ascii="宋体" w:eastAsia="宋体"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4D4BDB">
        <w:rPr>
          <w:rFonts w:ascii="宋体" w:eastAsia="宋体" w:hAnsi="宋体" w:cs="Arial" w:hint="eastAsia"/>
          <w:kern w:val="0"/>
          <w:sz w:val="24"/>
          <w:szCs w:val="24"/>
        </w:rPr>
        <w:t>条款</w:t>
      </w:r>
      <w:r w:rsidRPr="004D4BDB">
        <w:rPr>
          <w:rFonts w:ascii="宋体" w:eastAsia="宋体" w:hAnsi="宋体" w:cs="Arial" w:hint="eastAsia"/>
          <w:kern w:val="0"/>
          <w:sz w:val="24"/>
          <w:szCs w:val="24"/>
          <w:lang w:val="en-GB"/>
        </w:rPr>
        <w:t>解释。</w:t>
      </w:r>
    </w:p>
    <w:p w:rsidR="004D4BDB" w:rsidRPr="004D4BDB" w:rsidRDefault="004D4BDB" w:rsidP="004D4BDB">
      <w:pPr>
        <w:rPr>
          <w:rFonts w:ascii="宋体" w:eastAsia="宋体" w:hAnsi="宋体" w:cs="Times New Roman"/>
          <w:sz w:val="24"/>
          <w:szCs w:val="24"/>
          <w:lang w:val="en-GB"/>
        </w:rPr>
      </w:pPr>
    </w:p>
    <w:p w:rsidR="004D4BDB" w:rsidRPr="004D4BDB" w:rsidRDefault="004D4BDB" w:rsidP="004D4BDB">
      <w:pPr>
        <w:keepNext/>
        <w:keepLines/>
        <w:spacing w:before="260" w:after="260" w:line="416" w:lineRule="auto"/>
        <w:jc w:val="center"/>
        <w:outlineLvl w:val="1"/>
        <w:rPr>
          <w:rFonts w:ascii="宋体" w:eastAsia="宋体" w:hAnsi="宋体" w:cs="Times New Roman"/>
          <w:b/>
          <w:kern w:val="0"/>
          <w:sz w:val="32"/>
          <w:szCs w:val="20"/>
          <w:lang w:val="x-none" w:eastAsia="x-none"/>
        </w:rPr>
      </w:pPr>
      <w:bookmarkStart w:id="1" w:name="_Toc124325885"/>
      <w:proofErr w:type="spellStart"/>
      <w:r w:rsidRPr="004D4BDB">
        <w:rPr>
          <w:rFonts w:ascii="宋体" w:eastAsia="宋体" w:hAnsi="宋体" w:cs="Times New Roman" w:hint="eastAsia"/>
          <w:b/>
          <w:kern w:val="0"/>
          <w:sz w:val="32"/>
          <w:szCs w:val="20"/>
          <w:lang w:val="x-none" w:eastAsia="x-none"/>
        </w:rPr>
        <w:t>一、基金托管协议当事人</w:t>
      </w:r>
      <w:bookmarkEnd w:id="1"/>
      <w:proofErr w:type="spellEnd"/>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（一）基金管理人</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名称：</w:t>
      </w:r>
      <w:r w:rsidR="00CF2AFE">
        <w:rPr>
          <w:rFonts w:ascii="宋体" w:eastAsia="宋体" w:hAnsi="宋体" w:cs="Arial" w:hint="eastAsia"/>
          <w:sz w:val="24"/>
          <w:szCs w:val="24"/>
        </w:rPr>
        <w:t>广发</w:t>
      </w:r>
      <w:r w:rsidRPr="004D4BDB">
        <w:rPr>
          <w:rFonts w:ascii="宋体" w:eastAsia="宋体" w:hAnsi="宋体" w:cs="Arial" w:hint="eastAsia"/>
          <w:sz w:val="24"/>
          <w:szCs w:val="24"/>
        </w:rPr>
        <w:t>基金管理有限公司</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注册地址：</w:t>
      </w:r>
      <w:r w:rsidRPr="004D4BDB">
        <w:rPr>
          <w:rFonts w:ascii="宋体" w:eastAsia="宋体" w:hAnsi="宋体" w:cs="Arial" w:hint="eastAsia"/>
          <w:bCs/>
          <w:sz w:val="24"/>
          <w:szCs w:val="24"/>
        </w:rPr>
        <w:t>广东省珠海市横琴新区宝中路3号4004-56室</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办公地址：广州市海珠区</w:t>
      </w:r>
      <w:proofErr w:type="gramStart"/>
      <w:r w:rsidRPr="004D4BDB">
        <w:rPr>
          <w:rFonts w:ascii="宋体" w:eastAsia="宋体" w:hAnsi="宋体" w:cs="Arial" w:hint="eastAsia"/>
          <w:sz w:val="24"/>
          <w:szCs w:val="24"/>
        </w:rPr>
        <w:t>琶</w:t>
      </w:r>
      <w:proofErr w:type="gramEnd"/>
      <w:r w:rsidRPr="004D4BDB">
        <w:rPr>
          <w:rFonts w:ascii="宋体" w:eastAsia="宋体" w:hAnsi="宋体" w:cs="Arial" w:hint="eastAsia"/>
          <w:sz w:val="24"/>
          <w:szCs w:val="24"/>
        </w:rPr>
        <w:t>洲大道东1号保利国际广场南塔31－33楼</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邮政编码：510308</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法定代表人：</w:t>
      </w:r>
      <w:r w:rsidR="007A1ECF">
        <w:rPr>
          <w:rFonts w:ascii="宋体" w:eastAsia="宋体" w:hAnsi="宋体" w:cs="Arial" w:hint="eastAsia"/>
          <w:bCs/>
          <w:sz w:val="24"/>
          <w:szCs w:val="24"/>
        </w:rPr>
        <w:t>孙树明</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成立日期：2003年8月5日</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批准设立机关及批准设立文号：中国证监会</w:t>
      </w:r>
      <w:proofErr w:type="gramStart"/>
      <w:r w:rsidRPr="004D4BDB">
        <w:rPr>
          <w:rFonts w:ascii="宋体" w:eastAsia="宋体" w:hAnsi="宋体" w:cs="Arial" w:hint="eastAsia"/>
          <w:sz w:val="24"/>
          <w:szCs w:val="24"/>
        </w:rPr>
        <w:t>证监基字</w:t>
      </w:r>
      <w:proofErr w:type="gramEnd"/>
      <w:r w:rsidRPr="004D4BDB">
        <w:rPr>
          <w:rFonts w:ascii="宋体" w:eastAsia="宋体" w:hAnsi="宋体" w:cs="Arial" w:hint="eastAsia"/>
          <w:sz w:val="24"/>
          <w:szCs w:val="24"/>
        </w:rPr>
        <w:t>[2003]91号</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组织形式：</w:t>
      </w:r>
      <w:r w:rsidRPr="004D4BDB">
        <w:rPr>
          <w:rFonts w:ascii="宋体" w:eastAsia="宋体" w:hAnsi="宋体" w:cs="Arial" w:hint="eastAsia"/>
          <w:bCs/>
          <w:sz w:val="24"/>
          <w:szCs w:val="24"/>
        </w:rPr>
        <w:t>有限责任公司</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注册资本：</w:t>
      </w:r>
      <w:r w:rsidRPr="004D4BDB">
        <w:rPr>
          <w:rFonts w:ascii="宋体" w:eastAsia="宋体" w:hAnsi="宋体" w:cs="Arial" w:hint="eastAsia"/>
          <w:bCs/>
          <w:sz w:val="24"/>
          <w:szCs w:val="24"/>
        </w:rPr>
        <w:t>人民币1.2688</w:t>
      </w:r>
      <w:r w:rsidRPr="004D4BDB">
        <w:rPr>
          <w:rFonts w:ascii="宋体" w:eastAsia="宋体" w:hAnsi="宋体" w:cs="Arial" w:hint="eastAsia"/>
          <w:sz w:val="24"/>
          <w:szCs w:val="24"/>
        </w:rPr>
        <w:t>亿元</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存续期间：</w:t>
      </w:r>
      <w:r w:rsidRPr="004D4BDB">
        <w:rPr>
          <w:rFonts w:ascii="宋体" w:eastAsia="宋体" w:hAnsi="宋体" w:cs="Arial" w:hint="eastAsia"/>
          <w:bCs/>
          <w:sz w:val="24"/>
          <w:szCs w:val="24"/>
        </w:rPr>
        <w:t>持续经营</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经营范围：基金募集、基金销售、资产管理和中国证监会许可的其他业务</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lastRenderedPageBreak/>
        <w:t>（二）基金托管人</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名称：中国建设银行股份有限公司(简称：中国建设银行)</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住所：北京市西城区金融大街25号</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办公地址：北京市西城区闹市口大街1号院1号楼</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邮政编码：100033</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法定代表人：王洪章</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4D4BDB">
          <w:rPr>
            <w:rFonts w:ascii="宋体" w:eastAsia="宋体" w:hAnsi="宋体" w:cs="Arial" w:hint="eastAsia"/>
            <w:sz w:val="24"/>
            <w:szCs w:val="24"/>
          </w:rPr>
          <w:t>2004年09月17日</w:t>
        </w:r>
      </w:smartTag>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基金托管业务批准文号：中国证监会证监基字[1998</w:t>
      </w:r>
      <w:bookmarkStart w:id="2" w:name="OLE_LINK3"/>
      <w:r w:rsidRPr="004D4BDB">
        <w:rPr>
          <w:rFonts w:ascii="宋体" w:eastAsia="宋体" w:hAnsi="宋体" w:cs="Arial" w:hint="eastAsia"/>
          <w:sz w:val="24"/>
          <w:szCs w:val="24"/>
        </w:rPr>
        <w:t>]</w:t>
      </w:r>
      <w:bookmarkEnd w:id="2"/>
      <w:r w:rsidRPr="004D4BDB">
        <w:rPr>
          <w:rFonts w:ascii="宋体" w:eastAsia="宋体" w:hAnsi="宋体" w:cs="Arial" w:hint="eastAsia"/>
          <w:sz w:val="24"/>
          <w:szCs w:val="24"/>
        </w:rPr>
        <w:t>12号</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组织形式：股份有限公司</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注册资本：</w:t>
      </w:r>
      <w:r w:rsidRPr="004D4BDB">
        <w:rPr>
          <w:rFonts w:ascii="宋体" w:eastAsia="宋体" w:hAnsi="宋体" w:cs="Times New Roman" w:hint="eastAsia"/>
          <w:sz w:val="24"/>
          <w:szCs w:val="24"/>
        </w:rPr>
        <w:t>贰仟伍佰亿壹仟零玖拾柒万柒仟肆佰捌拾陆元整</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存续期间：持续经营</w:t>
      </w:r>
    </w:p>
    <w:p w:rsidR="004D4BDB" w:rsidRPr="004D4BDB" w:rsidRDefault="004D4BDB" w:rsidP="004D4BDB">
      <w:pPr>
        <w:tabs>
          <w:tab w:val="left" w:pos="540"/>
        </w:tabs>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D4BDB" w:rsidRPr="004D4BDB" w:rsidRDefault="004D4BDB" w:rsidP="004D4BDB">
      <w:pPr>
        <w:spacing w:line="360" w:lineRule="auto"/>
        <w:rPr>
          <w:rFonts w:ascii="宋体" w:eastAsia="宋体" w:hAnsi="宋体" w:cs="Times New Roman"/>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3" w:name="_Toc124325886"/>
      <w:proofErr w:type="spellStart"/>
      <w:r w:rsidRPr="004D4BDB">
        <w:rPr>
          <w:rFonts w:ascii="宋体" w:eastAsia="宋体" w:hAnsi="宋体" w:cs="Times New Roman" w:hint="eastAsia"/>
          <w:b/>
          <w:kern w:val="0"/>
          <w:sz w:val="30"/>
          <w:szCs w:val="20"/>
          <w:lang w:val="x-none" w:eastAsia="x-none"/>
        </w:rPr>
        <w:t>二、基金托管协议的依据、目的和原则</w:t>
      </w:r>
      <w:bookmarkEnd w:id="3"/>
      <w:proofErr w:type="spellEnd"/>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30"/>
        </w:rPr>
      </w:pPr>
      <w:r w:rsidRPr="004D4BDB">
        <w:rPr>
          <w:rFonts w:ascii="宋体" w:eastAsia="宋体" w:hAnsi="宋体" w:cs="Arial" w:hint="eastAsia"/>
          <w:sz w:val="24"/>
          <w:szCs w:val="24"/>
        </w:rPr>
        <w:t>（一）订立托管协议的依据</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本协议依据《中华人民共和国证券投资基金法》(以下简称“《基金法》”)等有关法律法规、《基金合同》及其他有关规定制订。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（二）订立托管协议的目的</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30"/>
        </w:rPr>
      </w:pPr>
      <w:r w:rsidRPr="004D4BDB">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（三）订立托管协议的原则</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基金管理人和基金托管人本着平等自愿、诚实信用、充分保护基金份额持有人合法权益的原则，经协商一致，签订本协议。</w:t>
      </w:r>
    </w:p>
    <w:p w:rsidR="004D4BDB" w:rsidRPr="004D4BDB" w:rsidRDefault="004D4BDB" w:rsidP="004D4BDB">
      <w:pPr>
        <w:spacing w:line="360" w:lineRule="auto"/>
        <w:rPr>
          <w:rFonts w:ascii="宋体" w:eastAsia="宋体" w:hAnsi="宋体" w:cs="Times New Roman"/>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4"/>
          <w:lang w:val="x-none" w:eastAsia="x-none"/>
        </w:rPr>
      </w:pPr>
      <w:bookmarkStart w:id="4" w:name="_Toc124325887"/>
      <w:proofErr w:type="spellStart"/>
      <w:r w:rsidRPr="004D4BDB">
        <w:rPr>
          <w:rFonts w:ascii="宋体" w:eastAsia="宋体" w:hAnsi="宋体" w:cs="Times New Roman" w:hint="eastAsia"/>
          <w:b/>
          <w:kern w:val="0"/>
          <w:sz w:val="30"/>
          <w:szCs w:val="20"/>
          <w:lang w:val="x-none" w:eastAsia="x-none"/>
        </w:rPr>
        <w:t>三、基金托管人对基金管理人的业务监督和核查</w:t>
      </w:r>
      <w:bookmarkEnd w:id="4"/>
      <w:proofErr w:type="spellEnd"/>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D4BDB" w:rsidRPr="004D4BDB" w:rsidRDefault="000349D9" w:rsidP="004D4BDB">
      <w:pPr>
        <w:adjustRightInd w:val="0"/>
        <w:snapToGrid w:val="0"/>
        <w:spacing w:line="360" w:lineRule="auto"/>
        <w:ind w:firstLineChars="200" w:firstLine="480"/>
        <w:rPr>
          <w:rFonts w:ascii="宋体" w:eastAsia="宋体" w:hAnsi="宋体" w:cs="Times New Roman"/>
          <w:sz w:val="24"/>
          <w:szCs w:val="30"/>
        </w:rPr>
      </w:pPr>
      <w:r w:rsidRPr="000349D9">
        <w:rPr>
          <w:rFonts w:ascii="Times New Roman" w:eastAsia="宋体" w:hAnsi="Times New Roman" w:cs="Times New Roman" w:hint="eastAsia"/>
          <w:bCs/>
          <w:sz w:val="24"/>
          <w:szCs w:val="20"/>
        </w:rPr>
        <w:t>本基金的投资范围主要为具有良好流动性的金融工具，包括国债、央行票据、金融债、地方政府债、企业债、公司债、短期融资券、超级短期融资券、中期票据、资产支持证券、次级债券、可转债、分离交易可转债、中小企业私募债、债券回购、银行存款（包括协议存款、定期存款及其他银行存款）、大额可转让存单和货币市场工具等固定收益类金融工具，国内依法发行上市的股票</w:t>
      </w:r>
      <w:r w:rsidRPr="000349D9">
        <w:rPr>
          <w:rFonts w:ascii="Times New Roman" w:eastAsia="宋体" w:hAnsi="Times New Roman" w:cs="Times New Roman" w:hint="eastAsia"/>
          <w:bCs/>
          <w:sz w:val="24"/>
          <w:szCs w:val="20"/>
        </w:rPr>
        <w:t>(</w:t>
      </w:r>
      <w:r w:rsidRPr="000349D9">
        <w:rPr>
          <w:rFonts w:ascii="Times New Roman" w:eastAsia="宋体" w:hAnsi="Times New Roman" w:cs="Times New Roman" w:hint="eastAsia"/>
          <w:bCs/>
          <w:sz w:val="24"/>
          <w:szCs w:val="20"/>
        </w:rPr>
        <w:t>包括中小板、创业板及其他经中国证监会核准上市的股票</w:t>
      </w:r>
      <w:r w:rsidRPr="000349D9">
        <w:rPr>
          <w:rFonts w:ascii="Times New Roman" w:eastAsia="宋体" w:hAnsi="Times New Roman" w:cs="Times New Roman" w:hint="eastAsia"/>
          <w:bCs/>
          <w:sz w:val="24"/>
          <w:szCs w:val="20"/>
        </w:rPr>
        <w:t>)</w:t>
      </w:r>
      <w:r w:rsidRPr="000349D9">
        <w:rPr>
          <w:rFonts w:ascii="Times New Roman" w:eastAsia="宋体" w:hAnsi="Times New Roman" w:cs="Times New Roman" w:hint="eastAsia"/>
          <w:bCs/>
          <w:sz w:val="24"/>
          <w:szCs w:val="20"/>
        </w:rPr>
        <w:t>、权证、国债期货以及法律法规或中国证监会允许基金投资的其他金融工具（但须符合中国证监会的相关规定）。</w:t>
      </w:r>
      <w:r w:rsidR="004D4BDB" w:rsidRPr="004D4BDB">
        <w:rPr>
          <w:rFonts w:ascii="宋体" w:eastAsia="宋体" w:hAnsi="宋体" w:cs="Times New Roman" w:hint="eastAsia"/>
          <w:bCs/>
          <w:sz w:val="24"/>
          <w:szCs w:val="30"/>
        </w:rPr>
        <w:t>如法律法规或监管机构以后允许基金投资其他品种或对投资比例要求有变更的，基金管理人在履行适当程序后，可以做出相应调整。</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（二）基金托管人根据有关法律法规的规定及《基金合同》的约定，对基金投资、融资比例进行监督。基金托管人按下述比例和调整期限进行监督：</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（1）本基金投资于债券类资产比例不低于基金资产的80%</w:t>
      </w:r>
      <w:r w:rsidR="006917EF">
        <w:rPr>
          <w:rFonts w:ascii="宋体" w:eastAsia="宋体" w:hAnsi="宋体" w:cs="Times New Roman" w:hint="eastAsia"/>
          <w:bCs/>
          <w:sz w:val="24"/>
          <w:szCs w:val="24"/>
        </w:rPr>
        <w:t>，</w:t>
      </w:r>
      <w:r w:rsidR="006917EF" w:rsidRPr="006917EF">
        <w:rPr>
          <w:rFonts w:ascii="宋体" w:eastAsia="宋体" w:hAnsi="宋体" w:cs="Times New Roman" w:hint="eastAsia"/>
          <w:bCs/>
          <w:sz w:val="24"/>
          <w:szCs w:val="24"/>
        </w:rPr>
        <w:t>股票、权证等权益类资产占基金资产的比例不超过20%</w:t>
      </w:r>
      <w:r w:rsidRPr="003B372E">
        <w:rPr>
          <w:rFonts w:ascii="宋体" w:eastAsia="宋体" w:hAnsi="宋体" w:cs="Times New Roman" w:hint="eastAsia"/>
          <w:bCs/>
          <w:sz w:val="24"/>
          <w:szCs w:val="24"/>
        </w:rPr>
        <w:t>；</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（2）</w:t>
      </w:r>
      <w:r w:rsidR="0074589D" w:rsidRPr="0074589D">
        <w:rPr>
          <w:rFonts w:ascii="宋体" w:eastAsia="宋体" w:hAnsi="宋体" w:cs="Times New Roman" w:hint="eastAsia"/>
          <w:bCs/>
          <w:sz w:val="24"/>
          <w:szCs w:val="24"/>
        </w:rPr>
        <w:t>每个交易日日终在扣除国债期货合约需缴纳的交易保证金后，应当</w:t>
      </w:r>
      <w:r w:rsidRPr="003B372E">
        <w:rPr>
          <w:rFonts w:ascii="宋体" w:eastAsia="宋体" w:hAnsi="宋体" w:cs="Times New Roman" w:hint="eastAsia"/>
          <w:bCs/>
          <w:sz w:val="24"/>
          <w:szCs w:val="24"/>
        </w:rPr>
        <w:t>保持不低于基金资产净值5％的现金或者到期日在一年以内的政府债券；</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（3）本基金持有一家</w:t>
      </w:r>
      <w:r w:rsidR="003A1216">
        <w:rPr>
          <w:rFonts w:ascii="宋体" w:eastAsia="宋体" w:hAnsi="宋体" w:cs="Times New Roman" w:hint="eastAsia"/>
          <w:bCs/>
          <w:sz w:val="24"/>
          <w:szCs w:val="24"/>
        </w:rPr>
        <w:t>公司发行的证券</w:t>
      </w:r>
      <w:r w:rsidRPr="003B372E">
        <w:rPr>
          <w:rFonts w:ascii="宋体" w:eastAsia="宋体" w:hAnsi="宋体" w:cs="Times New Roman" w:hint="eastAsia"/>
          <w:bCs/>
          <w:sz w:val="24"/>
          <w:szCs w:val="24"/>
        </w:rPr>
        <w:t>，其市值不超过基金资产净值的10％；</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（4）本基金持有的全部权证，其市值不得超过基金资产净值的3％；</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（5）本基金在任何交易日买入权证的总金额，不得超过上一交易日基金资产净值的0.5％；</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（6）本基金投资于同一原始权益人的各类资产支持证券的比例，不得超过基金资产净值的10％；</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lastRenderedPageBreak/>
        <w:t>（7）本基金持有的全部资产支持证券，其市值不得超过基金资产净值的20％；</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（8）本基金持有的同一(指同一信用级别)资产支持证券的比例，不得超过该资产支持证券规模的10％；</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（9）本基金应投资于信用级别评级为BBB以上(含BBB)的资产支持证券。基金持有资产支持证券期间，如果其信用等级下降、不再符合投资标准，应在评级报告发布之日起3个月内予以全部卖出；</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（10）基金财产参与股票发行申购，本基金所申报的金额不超过本基金的总资产，本基金所申报的股票数量不超过拟发行股票公司本次发行股票的总量；</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（11）本基金进入全国银行间同业市场进行债券回购的资金余额不得超过基金资产净值的40%；</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（12）本基金持有单只中小企业私募债券，其市值不得超过基金资产净值的10%；</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（13）</w:t>
      </w:r>
      <w:r w:rsidR="000B7234" w:rsidRPr="000B7234">
        <w:rPr>
          <w:rFonts w:ascii="宋体" w:eastAsia="宋体" w:hAnsi="宋体" w:cs="Times New Roman" w:hint="eastAsia"/>
          <w:bCs/>
          <w:sz w:val="24"/>
          <w:szCs w:val="24"/>
        </w:rPr>
        <w:t>本基金持有的所有流通受限证券，其公允价值不得超过本基金资产净值的20%；本基金持有的同一流通受限证券，其公允价值不得超过本基金资产净值的</w:t>
      </w:r>
      <w:r w:rsidR="000B7234">
        <w:rPr>
          <w:rFonts w:ascii="宋体" w:eastAsia="宋体" w:hAnsi="宋体" w:cs="Times New Roman" w:hint="eastAsia"/>
          <w:bCs/>
          <w:sz w:val="24"/>
          <w:szCs w:val="24"/>
        </w:rPr>
        <w:t>10</w:t>
      </w:r>
      <w:r w:rsidR="000B7234" w:rsidRPr="000B7234">
        <w:rPr>
          <w:rFonts w:ascii="宋体" w:eastAsia="宋体" w:hAnsi="宋体" w:cs="Times New Roman" w:hint="eastAsia"/>
          <w:bCs/>
          <w:sz w:val="24"/>
          <w:szCs w:val="24"/>
        </w:rPr>
        <w:t>%</w:t>
      </w:r>
      <w:r w:rsidRPr="003B372E">
        <w:rPr>
          <w:rFonts w:ascii="宋体" w:eastAsia="宋体" w:hAnsi="宋体" w:cs="Times New Roman" w:hint="eastAsia"/>
          <w:bCs/>
          <w:sz w:val="24"/>
          <w:szCs w:val="24"/>
        </w:rPr>
        <w:t>；</w:t>
      </w:r>
    </w:p>
    <w:p w:rsidR="003A1216" w:rsidRPr="003A1216" w:rsidRDefault="003A1216" w:rsidP="003A1216">
      <w:pPr>
        <w:adjustRightInd w:val="0"/>
        <w:snapToGrid w:val="0"/>
        <w:spacing w:line="360" w:lineRule="auto"/>
        <w:ind w:firstLineChars="200" w:firstLine="480"/>
        <w:rPr>
          <w:rFonts w:ascii="宋体" w:eastAsia="宋体" w:hAnsi="宋体" w:cs="Times New Roman"/>
          <w:bCs/>
          <w:sz w:val="24"/>
          <w:szCs w:val="24"/>
        </w:rPr>
      </w:pPr>
      <w:r w:rsidRPr="003A1216">
        <w:rPr>
          <w:rFonts w:ascii="宋体" w:eastAsia="宋体" w:hAnsi="宋体" w:cs="Times New Roman" w:hint="eastAsia"/>
          <w:bCs/>
          <w:sz w:val="24"/>
          <w:szCs w:val="24"/>
        </w:rPr>
        <w:t>（1</w:t>
      </w:r>
      <w:r>
        <w:rPr>
          <w:rFonts w:ascii="宋体" w:eastAsia="宋体" w:hAnsi="宋体" w:cs="Times New Roman" w:hint="eastAsia"/>
          <w:bCs/>
          <w:sz w:val="24"/>
          <w:szCs w:val="24"/>
        </w:rPr>
        <w:t>4</w:t>
      </w:r>
      <w:r w:rsidRPr="003A1216">
        <w:rPr>
          <w:rFonts w:ascii="宋体" w:eastAsia="宋体" w:hAnsi="宋体" w:cs="Times New Roman" w:hint="eastAsia"/>
          <w:bCs/>
          <w:sz w:val="24"/>
          <w:szCs w:val="24"/>
        </w:rPr>
        <w:t>）本基金参与国债期货交易后，还须遵守以下限制：</w:t>
      </w:r>
    </w:p>
    <w:p w:rsidR="003A1216" w:rsidRPr="003A1216" w:rsidRDefault="003A1216" w:rsidP="003A1216">
      <w:pPr>
        <w:adjustRightInd w:val="0"/>
        <w:snapToGrid w:val="0"/>
        <w:spacing w:line="360" w:lineRule="auto"/>
        <w:ind w:firstLineChars="200" w:firstLine="480"/>
        <w:rPr>
          <w:rFonts w:ascii="宋体" w:eastAsia="宋体" w:hAnsi="宋体" w:cs="Times New Roman"/>
          <w:bCs/>
          <w:sz w:val="24"/>
          <w:szCs w:val="24"/>
        </w:rPr>
      </w:pPr>
      <w:r w:rsidRPr="003A1216">
        <w:rPr>
          <w:rFonts w:ascii="宋体" w:eastAsia="宋体" w:hAnsi="宋体" w:cs="Times New Roman" w:hint="eastAsia"/>
          <w:bCs/>
          <w:sz w:val="24"/>
          <w:szCs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3B372E" w:rsidRP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（1</w:t>
      </w:r>
      <w:r w:rsidR="003A1216">
        <w:rPr>
          <w:rFonts w:ascii="宋体" w:eastAsia="宋体" w:hAnsi="宋体" w:cs="Times New Roman" w:hint="eastAsia"/>
          <w:bCs/>
          <w:sz w:val="24"/>
          <w:szCs w:val="24"/>
        </w:rPr>
        <w:t>5</w:t>
      </w:r>
      <w:r w:rsidRPr="003B372E">
        <w:rPr>
          <w:rFonts w:ascii="宋体" w:eastAsia="宋体" w:hAnsi="宋体" w:cs="Times New Roman" w:hint="eastAsia"/>
          <w:bCs/>
          <w:sz w:val="24"/>
          <w:szCs w:val="24"/>
        </w:rPr>
        <w:t>）本基金的基金资产总值不得超过基金资产净值的140%；</w:t>
      </w:r>
    </w:p>
    <w:p w:rsidR="003B372E" w:rsidRDefault="003B372E" w:rsidP="003B372E">
      <w:pPr>
        <w:adjustRightInd w:val="0"/>
        <w:snapToGrid w:val="0"/>
        <w:spacing w:line="360" w:lineRule="auto"/>
        <w:ind w:firstLineChars="200" w:firstLine="480"/>
        <w:rPr>
          <w:rFonts w:ascii="宋体" w:eastAsia="宋体" w:hAnsi="宋体" w:cs="Times New Roman"/>
          <w:bCs/>
          <w:sz w:val="24"/>
          <w:szCs w:val="24"/>
        </w:rPr>
      </w:pPr>
      <w:r w:rsidRPr="003B372E">
        <w:rPr>
          <w:rFonts w:ascii="宋体" w:eastAsia="宋体" w:hAnsi="宋体" w:cs="Times New Roman" w:hint="eastAsia"/>
          <w:bCs/>
          <w:sz w:val="24"/>
          <w:szCs w:val="24"/>
        </w:rPr>
        <w:t>（1</w:t>
      </w:r>
      <w:r w:rsidR="003A1216">
        <w:rPr>
          <w:rFonts w:ascii="宋体" w:eastAsia="宋体" w:hAnsi="宋体" w:cs="Times New Roman" w:hint="eastAsia"/>
          <w:bCs/>
          <w:sz w:val="24"/>
          <w:szCs w:val="24"/>
        </w:rPr>
        <w:t>6</w:t>
      </w:r>
      <w:r w:rsidRPr="003B372E">
        <w:rPr>
          <w:rFonts w:ascii="宋体" w:eastAsia="宋体" w:hAnsi="宋体" w:cs="Times New Roman" w:hint="eastAsia"/>
          <w:bCs/>
          <w:sz w:val="24"/>
          <w:szCs w:val="24"/>
        </w:rPr>
        <w:t>）法律法规及中国证监会规定的和《基金合同》约定的其他投资限制。</w:t>
      </w:r>
    </w:p>
    <w:p w:rsid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如果法律法规对上述投资组合比例限制进行变更的，以变更后的规定为准。法律法规或监管部门取消上述限制，如适用于本基金，则本基金投资不再受相关限制。</w:t>
      </w:r>
    </w:p>
    <w:p w:rsidR="00FA65E5" w:rsidRPr="004D4BDB" w:rsidRDefault="00FA65E5" w:rsidP="00FA65E5">
      <w:pPr>
        <w:adjustRightInd w:val="0"/>
        <w:snapToGrid w:val="0"/>
        <w:spacing w:line="360" w:lineRule="auto"/>
        <w:ind w:firstLineChars="200" w:firstLine="480"/>
        <w:rPr>
          <w:rFonts w:ascii="宋体" w:eastAsia="宋体" w:hAnsi="宋体" w:cs="Times New Roman"/>
          <w:sz w:val="24"/>
          <w:szCs w:val="24"/>
        </w:rPr>
      </w:pPr>
      <w:r w:rsidRPr="00FA65E5">
        <w:rPr>
          <w:rFonts w:ascii="宋体" w:eastAsia="宋体" w:hAnsi="宋体" w:cs="Times New Roman" w:hint="eastAsia"/>
          <w:sz w:val="24"/>
          <w:szCs w:val="24"/>
        </w:rPr>
        <w:t>因证券</w:t>
      </w:r>
      <w:r w:rsidR="003A1216">
        <w:rPr>
          <w:rFonts w:ascii="宋体" w:eastAsia="宋体" w:hAnsi="宋体" w:cs="Times New Roman" w:hint="eastAsia"/>
          <w:sz w:val="24"/>
          <w:szCs w:val="24"/>
        </w:rPr>
        <w:t>、期货</w:t>
      </w:r>
      <w:r w:rsidRPr="00FA65E5">
        <w:rPr>
          <w:rFonts w:ascii="宋体" w:eastAsia="宋体" w:hAnsi="宋体" w:cs="Times New Roman" w:hint="eastAsia"/>
          <w:sz w:val="24"/>
          <w:szCs w:val="24"/>
        </w:rPr>
        <w:t>市场波动、上市公司合并、基金规模变动等基金管理人之外的因素致使基金投资比例不符合上述规定投资比例的，基金管理人应当在10个交易日内进行调整。</w:t>
      </w:r>
    </w:p>
    <w:p w:rsidR="008E6D1A" w:rsidRDefault="008E6D1A" w:rsidP="008E6D1A">
      <w:pPr>
        <w:adjustRightInd w:val="0"/>
        <w:snapToGrid w:val="0"/>
        <w:spacing w:line="360" w:lineRule="auto"/>
        <w:ind w:firstLineChars="200" w:firstLine="480"/>
        <w:rPr>
          <w:rFonts w:ascii="宋体" w:eastAsia="宋体" w:hAnsi="宋体" w:cs="Times New Roman"/>
          <w:sz w:val="24"/>
          <w:szCs w:val="24"/>
        </w:rPr>
      </w:pPr>
      <w:r w:rsidRPr="008E6D1A">
        <w:rPr>
          <w:rFonts w:ascii="宋体" w:eastAsia="宋体" w:hAnsi="宋体" w:cs="Times New Roman" w:hint="eastAsia"/>
          <w:sz w:val="24"/>
          <w:szCs w:val="24"/>
        </w:rPr>
        <w:lastRenderedPageBreak/>
        <w:t>本基金在开始进行股指期货投资之前，应与基金托管人、期货公司三方一同就股指期货开户、清算、估值、交收等事宜另行签署《期货投资托管操作三方备忘录》。</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（三）基金托管人</w:t>
      </w:r>
      <w:bookmarkStart w:id="5" w:name="OLE_LINK1"/>
      <w:r w:rsidRPr="004D4BDB">
        <w:rPr>
          <w:rFonts w:ascii="宋体" w:eastAsia="宋体" w:hAnsi="宋体" w:cs="Arial" w:hint="eastAsia"/>
          <w:sz w:val="24"/>
          <w:szCs w:val="24"/>
        </w:rPr>
        <w:t>根据有关法律法规的规定及《基金合同》的约定，</w:t>
      </w:r>
      <w:bookmarkEnd w:id="5"/>
      <w:r w:rsidRPr="004D4BDB">
        <w:rPr>
          <w:rFonts w:ascii="宋体" w:eastAsia="宋体" w:hAnsi="宋体" w:cs="Arial" w:hint="eastAsia"/>
          <w:sz w:val="24"/>
          <w:szCs w:val="24"/>
        </w:rPr>
        <w:t>对本托管协议第十五条第九款基金投资禁止行为通过事后监督方式进行监督。</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D4BDB" w:rsidRPr="004D4BDB" w:rsidRDefault="004D4BDB" w:rsidP="004D4BDB">
      <w:pPr>
        <w:adjustRightInd w:val="0"/>
        <w:snapToGrid w:val="0"/>
        <w:spacing w:line="360" w:lineRule="auto"/>
        <w:ind w:firstLineChars="200" w:firstLine="480"/>
        <w:rPr>
          <w:rFonts w:ascii="宋体" w:eastAsia="宋体" w:hAnsi="宋体" w:cs="Arial"/>
          <w:szCs w:val="24"/>
        </w:rPr>
      </w:pPr>
      <w:r w:rsidRPr="004D4BDB">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D4BDB" w:rsidRPr="004D4BDB" w:rsidRDefault="004D4BDB" w:rsidP="004D4BDB">
      <w:pPr>
        <w:adjustRightInd w:val="0"/>
        <w:snapToGrid w:val="0"/>
        <w:spacing w:line="360" w:lineRule="auto"/>
        <w:ind w:firstLineChars="200" w:firstLine="480"/>
        <w:rPr>
          <w:rFonts w:ascii="宋体" w:eastAsia="宋体" w:hAnsi="宋体" w:cs="Arial"/>
          <w:szCs w:val="24"/>
        </w:rPr>
      </w:pPr>
      <w:r w:rsidRPr="004D4BDB">
        <w:rPr>
          <w:rFonts w:ascii="宋体" w:eastAsia="宋体" w:hAnsi="宋体" w:cs="Arial" w:hint="eastAsia"/>
          <w:color w:val="000000"/>
          <w:sz w:val="24"/>
          <w:szCs w:val="24"/>
        </w:rPr>
        <w:t>基金管理人负责对交易对手的资信控制，按银行间债券市场的交易规则进行交易，并</w:t>
      </w:r>
      <w:r w:rsidRPr="004D4BDB">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D4BDB">
        <w:rPr>
          <w:rFonts w:ascii="宋体" w:eastAsia="宋体" w:hAnsi="宋体" w:cs="Arial" w:hint="eastAsia"/>
          <w:color w:val="000000"/>
          <w:sz w:val="24"/>
          <w:szCs w:val="24"/>
        </w:rPr>
        <w:t>基金托管人则根据银行间</w:t>
      </w:r>
      <w:r w:rsidRPr="004D4BDB">
        <w:rPr>
          <w:rFonts w:ascii="宋体" w:eastAsia="宋体" w:hAnsi="宋体" w:cs="Arial" w:hint="eastAsia"/>
          <w:color w:val="000000"/>
          <w:sz w:val="24"/>
          <w:szCs w:val="24"/>
        </w:rPr>
        <w:lastRenderedPageBreak/>
        <w:t>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（五）基金托管人根据有关法律法规的规定及《基金合同》的约定，对基金管理人投资流通受限证券进行监督。</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Times New Roman" w:hint="eastAsia"/>
          <w:sz w:val="24"/>
          <w:szCs w:val="24"/>
        </w:rPr>
        <w:t>基金管理人投资流通受限证券，应事先根据中国证监会相关规定，明确基金投资流通受限证券的比例，</w:t>
      </w:r>
      <w:r w:rsidRPr="004D4BDB">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Arial" w:hint="eastAsia"/>
          <w:sz w:val="24"/>
          <w:szCs w:val="24"/>
        </w:rPr>
        <w:t>1.本基金</w:t>
      </w:r>
      <w:r w:rsidRPr="004D4BDB">
        <w:rPr>
          <w:rFonts w:ascii="宋体" w:eastAsia="宋体" w:hAnsi="宋体"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Arial" w:hint="eastAsia"/>
          <w:sz w:val="24"/>
          <w:szCs w:val="24"/>
        </w:rPr>
        <w:t>本基金</w:t>
      </w:r>
      <w:r w:rsidRPr="004D4BDB">
        <w:rPr>
          <w:rFonts w:ascii="宋体" w:eastAsia="宋体" w:hAnsi="宋体" w:cs="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Arial" w:hint="eastAsia"/>
          <w:sz w:val="24"/>
          <w:szCs w:val="24"/>
        </w:rPr>
        <w:t>本基金</w:t>
      </w:r>
      <w:r w:rsidRPr="004D4BDB">
        <w:rPr>
          <w:rFonts w:ascii="宋体" w:eastAsia="宋体" w:hAnsi="宋体"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Arial" w:hint="eastAsia"/>
          <w:sz w:val="24"/>
          <w:szCs w:val="24"/>
        </w:rPr>
        <w:t>本基金</w:t>
      </w:r>
      <w:r w:rsidRPr="004D4BDB">
        <w:rPr>
          <w:rFonts w:ascii="宋体" w:eastAsia="宋体" w:hAnsi="宋体" w:cs="Times New Roman" w:hint="eastAsia"/>
          <w:sz w:val="24"/>
          <w:szCs w:val="24"/>
        </w:rPr>
        <w:t>投资流通受限证券，不得预付任何形式的保证金。</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Arial" w:hint="eastAsia"/>
          <w:sz w:val="24"/>
          <w:szCs w:val="24"/>
        </w:rPr>
        <w:t>2.</w:t>
      </w:r>
      <w:r w:rsidRPr="004D4BDB">
        <w:rPr>
          <w:rFonts w:ascii="宋体" w:eastAsia="宋体" w:hAnsi="宋体" w:cs="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D4BDB">
        <w:rPr>
          <w:rFonts w:ascii="宋体" w:eastAsia="宋体" w:hAnsi="宋体" w:cs="Arial" w:hint="eastAsia"/>
          <w:sz w:val="24"/>
          <w:szCs w:val="24"/>
        </w:rPr>
        <w:t>基金管理人应在首次投资流通受限证券前向基金托管人提供</w:t>
      </w:r>
      <w:r w:rsidRPr="004D4BDB">
        <w:rPr>
          <w:rFonts w:ascii="宋体" w:eastAsia="宋体" w:hAnsi="宋体" w:cs="Times New Roman" w:hint="eastAsia"/>
          <w:sz w:val="24"/>
          <w:szCs w:val="24"/>
        </w:rPr>
        <w:t>基金投资非公开发行股票相关流动性风险处置预案。</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Pr="004D4BDB">
        <w:rPr>
          <w:rFonts w:ascii="宋体" w:eastAsia="宋体" w:hAnsi="宋体" w:cs="Times New Roman" w:hint="eastAsia"/>
          <w:sz w:val="24"/>
          <w:szCs w:val="24"/>
        </w:rPr>
        <w:lastRenderedPageBreak/>
        <w:t>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Arial" w:hint="eastAsia"/>
          <w:sz w:val="24"/>
          <w:szCs w:val="24"/>
        </w:rPr>
        <w:t>3.</w:t>
      </w:r>
      <w:r w:rsidRPr="004D4BDB">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（1）中国证监会批准发行非公开发行股票的批准文件。</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（2）非公开发行股票有关发行数量、发行价格、锁定期等发行资料。</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（3）非公开发行股票发行人与中国证券登记结算有限责任公司或中央国债登记结算有限责任公司签订的证券登记及服务协议。</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Times New Roman" w:hint="eastAsia"/>
          <w:sz w:val="24"/>
          <w:szCs w:val="24"/>
        </w:rPr>
        <w:t>（4）基金拟认购的数量、价格、总成本、账面价值。</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Arial" w:hint="eastAsia"/>
          <w:sz w:val="24"/>
          <w:szCs w:val="24"/>
        </w:rPr>
        <w:t>4.</w:t>
      </w:r>
      <w:r w:rsidRPr="004D4BDB">
        <w:rPr>
          <w:rFonts w:ascii="宋体" w:eastAsia="宋体" w:hAnsi="宋体" w:cs="Times New Roman" w:hint="eastAsia"/>
          <w:sz w:val="24"/>
          <w:szCs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本基金有关投资流通受限证券比例如违反有关限制规定，在合理期限内未能进行及时调整，基金管理人应在两个工作日内编制临时报告书，予以公告。</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Arial" w:hint="eastAsia"/>
          <w:sz w:val="24"/>
          <w:szCs w:val="24"/>
        </w:rPr>
        <w:t>5.</w:t>
      </w:r>
      <w:r w:rsidRPr="004D4BDB">
        <w:rPr>
          <w:rFonts w:ascii="宋体" w:eastAsia="宋体" w:hAnsi="宋体" w:cs="Times New Roman" w:hint="eastAsia"/>
          <w:sz w:val="24"/>
          <w:szCs w:val="24"/>
        </w:rPr>
        <w:t>基金托管人根据有关规定有权对基金管理人进行以下事项监督：</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（1）本基金投资流通受限证券时的法律法规遵守情况。</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（2）在基金投资流通受限证券管理工作方面有关制度、流动性风险处置预案的建立与完善情况。</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（3）有关比例限制的执行情况。</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（4）信息披露情况。</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Arial" w:hint="eastAsia"/>
          <w:sz w:val="24"/>
          <w:szCs w:val="24"/>
        </w:rPr>
        <w:t>6.</w:t>
      </w:r>
      <w:r w:rsidRPr="004D4BDB">
        <w:rPr>
          <w:rFonts w:ascii="宋体" w:eastAsia="宋体" w:hAnsi="宋体" w:cs="Times New Roman" w:hint="eastAsia"/>
          <w:sz w:val="24"/>
          <w:szCs w:val="24"/>
        </w:rPr>
        <w:t>相关法律法规对基金投资流通受限证券有新规定的，从其规定。</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（六）基金投资中小企业私募债券，基金管理人应根据审慎原则，制定严格的投资决策流程、风险控制制度和信用风险、流动性风险处置预案，并经董事会批准，以防范信用风险、流动性风险等各种风险。</w:t>
      </w:r>
    </w:p>
    <w:p w:rsidR="00866014"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基金托管人对基金投资中小企业私募债券是否符合比例限制进行事后监督，如发现异常情况，应及时以书面形式通知基金管理人。基金管理人应积极配合和</w:t>
      </w:r>
      <w:r w:rsidRPr="004D4BDB">
        <w:rPr>
          <w:rFonts w:ascii="宋体" w:eastAsia="宋体" w:hAnsi="宋体" w:cs="Arial" w:hint="eastAsia"/>
          <w:sz w:val="24"/>
          <w:szCs w:val="24"/>
        </w:rPr>
        <w:lastRenderedPageBreak/>
        <w:t>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（十）若基金托管人发现基金管理人依据交易程序已经生效的指令违反法律、行政法规和其他有关规定，或者违反《基金合同》约定的，应当立即通知基金管理人，由此造成的损失由基金管理人承担。</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D4BDB" w:rsidRPr="004D4BDB" w:rsidRDefault="004D4BDB" w:rsidP="004D4BDB">
      <w:pPr>
        <w:spacing w:line="360" w:lineRule="auto"/>
        <w:rPr>
          <w:rFonts w:ascii="宋体" w:eastAsia="宋体" w:hAnsi="宋体" w:cs="Times New Roman"/>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proofErr w:type="spellStart"/>
      <w:r w:rsidRPr="004D4BDB">
        <w:rPr>
          <w:rFonts w:ascii="宋体" w:eastAsia="宋体" w:hAnsi="宋体" w:cs="Times New Roman" w:hint="eastAsia"/>
          <w:b/>
          <w:kern w:val="0"/>
          <w:sz w:val="30"/>
          <w:szCs w:val="20"/>
          <w:lang w:val="x-none" w:eastAsia="x-none"/>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spellEnd"/>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D4BDB" w:rsidRPr="004D4BDB" w:rsidRDefault="004D4BDB" w:rsidP="004D4BDB">
      <w:pPr>
        <w:spacing w:line="360" w:lineRule="auto"/>
        <w:rPr>
          <w:rFonts w:ascii="宋体" w:eastAsia="宋体" w:hAnsi="宋体" w:cs="Times New Roman"/>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proofErr w:type="spellStart"/>
      <w:r w:rsidRPr="004D4BDB">
        <w:rPr>
          <w:rFonts w:ascii="宋体" w:eastAsia="宋体" w:hAnsi="宋体" w:cs="Times New Roman" w:hint="eastAsia"/>
          <w:b/>
          <w:kern w:val="0"/>
          <w:sz w:val="30"/>
          <w:szCs w:val="20"/>
          <w:lang w:val="x-none" w:eastAsia="x-none"/>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roofErr w:type="spellEnd"/>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（一）基金财产保管的原则</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1.基金财产应独立于基金管理人、基金托管人的固有财产。</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2.基金托管人应安全保管基金财产。</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3.基金托管人按照规定开设基金财产的资金账户、证券账户及其他投资所需账户。</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4.基金托管人对所托管的不同基金财产分别设置账户，确保基金财产的完整</w:t>
      </w:r>
      <w:r w:rsidRPr="004D4BDB">
        <w:rPr>
          <w:rFonts w:ascii="宋体" w:eastAsia="宋体" w:hAnsi="宋体" w:cs="Arial" w:hint="eastAsia"/>
          <w:sz w:val="24"/>
          <w:szCs w:val="24"/>
        </w:rPr>
        <w:lastRenderedPageBreak/>
        <w:t>与独立。</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5.基金托管人按照《基金合同》和本协议的约定保管基金财产，如有特殊情况双方可另行协商解决。基金</w:t>
      </w:r>
      <w:r w:rsidRPr="004D4BDB">
        <w:rPr>
          <w:rFonts w:ascii="宋体" w:eastAsia="宋体" w:hAnsi="宋体"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7.除依据法律法规和《基金合同》的规定外，基金托管人不得委托第三人托管基金财产。</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（二）基金募集期间及募集资金的验资</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1.基金募集期间募集的资金应存于基金管理人在基金托管人的营业机构开立的“基金募集专户”。该账户由基金管理人开立并管理。</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3.若基金募集期限届满，未能达到《基金合同》生效的条件，由基金管理人按规定办理退款等事宜。</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（三）基金银行账户的开立和管理</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lastRenderedPageBreak/>
        <w:t>3.基金银行账户的开立和管理应符合银行业监督管理机构的有关规定。</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4.在符合法律法规规定的条件下，基金托管人可以通过基金托管人专用账户办理基金资产的支付。</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（四）基金证券账户和结算备付金账户的开立和管理</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1.基金托管人在中国证券登记结算有限责任公司为基金开立基金托管人与基金联名的证券账户。</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3.基金证券账户的开立和证券账户卡的保管由基金托管人负责，账户资产的管理和运用由基金管理人负责。</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lang w:val="x-none"/>
        </w:rPr>
      </w:pPr>
      <w:r w:rsidRPr="004D4BDB">
        <w:rPr>
          <w:rFonts w:ascii="宋体" w:eastAsia="宋体" w:hAnsi="宋体" w:cs="Arial" w:hint="eastAsia"/>
          <w:sz w:val="24"/>
          <w:szCs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（五）债券托管专户的开设和管理</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lastRenderedPageBreak/>
        <w:t>（六）其他账户的开立和管理</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2.法律法规等有关规定对相关账户的开立和管理另有规定的，从其规定办理。</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（七）基金财产投资的有关有价凭证等的保管</w:t>
      </w:r>
    </w:p>
    <w:p w:rsidR="004D4BDB" w:rsidRPr="004D4BDB" w:rsidRDefault="004D4BDB" w:rsidP="004D4BDB">
      <w:pPr>
        <w:adjustRightInd w:val="0"/>
        <w:snapToGrid w:val="0"/>
        <w:spacing w:line="360" w:lineRule="auto"/>
        <w:ind w:firstLineChars="200" w:firstLine="480"/>
        <w:rPr>
          <w:rFonts w:ascii="宋体" w:eastAsia="宋体" w:hAnsi="宋体" w:cs="Arial"/>
          <w:szCs w:val="24"/>
        </w:rPr>
      </w:pPr>
      <w:r w:rsidRPr="004D4BDB">
        <w:rPr>
          <w:rFonts w:ascii="宋体" w:eastAsia="宋体" w:hAnsi="宋体" w:cs="Arial" w:hint="eastAsia"/>
          <w:sz w:val="24"/>
          <w:szCs w:val="24"/>
        </w:rPr>
        <w:t>基金财产投资的有关实物证券、银行</w:t>
      </w:r>
      <w:r w:rsidRPr="004D4BDB">
        <w:rPr>
          <w:rFonts w:ascii="宋体" w:eastAsia="宋体" w:hAnsi="宋体" w:cs="Times New Roman" w:hint="eastAsia"/>
          <w:sz w:val="24"/>
          <w:szCs w:val="24"/>
        </w:rPr>
        <w:t>存款开户证实书</w:t>
      </w:r>
      <w:r w:rsidRPr="004D4BDB">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（八）与基金财产有关的重大合同的保管</w:t>
      </w:r>
    </w:p>
    <w:p w:rsidR="004D4BDB" w:rsidRPr="004D4BDB" w:rsidRDefault="004D4BDB" w:rsidP="004D4BDB">
      <w:pPr>
        <w:adjustRightInd w:val="0"/>
        <w:snapToGrid w:val="0"/>
        <w:spacing w:line="360" w:lineRule="auto"/>
        <w:ind w:firstLineChars="200" w:firstLine="480"/>
        <w:rPr>
          <w:rFonts w:ascii="宋体" w:eastAsia="宋体" w:hAnsi="宋体" w:cs="Times New Roman"/>
          <w:sz w:val="30"/>
          <w:szCs w:val="30"/>
        </w:rPr>
      </w:pPr>
      <w:r w:rsidRPr="004D4BDB">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D4BDB" w:rsidRPr="004D4BDB" w:rsidRDefault="004D4BDB" w:rsidP="004D4BDB">
      <w:pPr>
        <w:spacing w:line="360" w:lineRule="auto"/>
        <w:rPr>
          <w:rFonts w:ascii="宋体" w:eastAsia="宋体" w:hAnsi="宋体" w:cs="Times New Roman"/>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proofErr w:type="spellStart"/>
      <w:r w:rsidRPr="004D4BDB">
        <w:rPr>
          <w:rFonts w:ascii="宋体" w:eastAsia="宋体" w:hAnsi="宋体" w:cs="Times New Roman" w:hint="eastAsia"/>
          <w:b/>
          <w:kern w:val="0"/>
          <w:sz w:val="30"/>
          <w:szCs w:val="20"/>
          <w:lang w:val="x-none" w:eastAsia="x-none"/>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roofErr w:type="spellEnd"/>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（一）基金管理人对发送指令人员的书面授权</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1.基金管理人应指定专人向基金托管人发送指令。</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lastRenderedPageBreak/>
        <w:t>2.基金管理人应向基金托管人提供书面授权文件，内容包括被授权人名单、预留印鉴及被授权人签字样本，授权文件应注明被授权人相应的权限。</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（二）指令的内容</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1.指令包括付款指令以及其他资金划拨指令等。</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2.基金管理人发给基金托管人的指令应写明款项事由、支付时间、到账时间、金额、账户等，加盖预留印鉴并由被授权人签字。</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（三）指令的发送、确认及执行的时间和程序</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1.指令的发送</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基金管理人发送指令应采用传真方式或双方协商一致的其他方式。</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指令发出后，基金管理人应及时以电话方式向基金托管人确认。</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2.指令的确认</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w:t>
      </w:r>
      <w:r w:rsidRPr="004D4BDB">
        <w:rPr>
          <w:rFonts w:ascii="宋体" w:eastAsia="宋体" w:hAnsi="宋体" w:cs="Arial" w:hint="eastAsia"/>
          <w:sz w:val="24"/>
          <w:szCs w:val="24"/>
        </w:rPr>
        <w:lastRenderedPageBreak/>
        <w:t>误，如有疑问必须及时通知基金管理人。</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3.指令的时间和执行</w:t>
      </w:r>
    </w:p>
    <w:p w:rsidR="004D4BDB" w:rsidRPr="004D4BDB" w:rsidRDefault="004D4BDB" w:rsidP="004D4BDB">
      <w:pPr>
        <w:adjustRightInd w:val="0"/>
        <w:snapToGrid w:val="0"/>
        <w:spacing w:line="360" w:lineRule="auto"/>
        <w:ind w:firstLine="480"/>
        <w:rPr>
          <w:rFonts w:ascii="宋体" w:eastAsia="宋体" w:hAnsi="宋体" w:cs="Arial"/>
          <w:kern w:val="0"/>
          <w:sz w:val="24"/>
          <w:szCs w:val="24"/>
          <w:shd w:val="pct15" w:color="auto" w:fill="FFFFFF"/>
          <w:lang w:val="x-none" w:eastAsia="x-none"/>
        </w:rPr>
      </w:pPr>
      <w:r w:rsidRPr="004D4BDB">
        <w:rPr>
          <w:rFonts w:ascii="宋体" w:eastAsia="宋体" w:hAnsi="宋体" w:cs="Arial" w:hint="eastAsia"/>
          <w:kern w:val="0"/>
          <w:sz w:val="24"/>
          <w:szCs w:val="30"/>
          <w:lang w:val="x-none" w:eastAsia="x-none"/>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D4BDB">
        <w:rPr>
          <w:rFonts w:ascii="宋体" w:eastAsia="宋体" w:hAnsi="宋体" w:cs="Arial" w:hint="eastAsia"/>
          <w:kern w:val="0"/>
          <w:sz w:val="24"/>
          <w:szCs w:val="24"/>
          <w:lang w:val="x-none" w:eastAsia="x-none"/>
        </w:rPr>
        <w:t>对于中国证券登记结算有限责任公司实行T+0非担保交收的业务，基金管理人应在交易日14：00</w:t>
      </w:r>
      <w:r w:rsidRPr="004D4BDB">
        <w:rPr>
          <w:rFonts w:ascii="宋体" w:eastAsia="宋体" w:hAnsi="宋体" w:cs="Arial" w:hint="eastAsia"/>
          <w:kern w:val="0"/>
          <w:sz w:val="24"/>
          <w:szCs w:val="30"/>
          <w:lang w:val="x-none" w:eastAsia="x-none"/>
        </w:rPr>
        <w:t>前</w:t>
      </w:r>
      <w:r w:rsidRPr="004D4BDB">
        <w:rPr>
          <w:rFonts w:ascii="宋体" w:eastAsia="宋体" w:hAnsi="宋体" w:cs="Arial" w:hint="eastAsia"/>
          <w:kern w:val="0"/>
          <w:sz w:val="24"/>
          <w:szCs w:val="24"/>
          <w:lang w:val="x-none" w:eastAsia="x-none"/>
        </w:rPr>
        <w:t>将划款指令发送至托管人。因基金管理人指令传输不及时，致使资金未能及时划入中登公司所造成的损失由基金管理人承担，包括赔偿在深圳市场引起其他托管客户交易失败、赔偿因占用</w:t>
      </w:r>
      <w:r w:rsidRPr="004D4BDB">
        <w:rPr>
          <w:rFonts w:ascii="宋体" w:eastAsia="宋体" w:hAnsi="宋体" w:cs="Arial" w:hint="eastAsia"/>
          <w:kern w:val="0"/>
          <w:sz w:val="24"/>
          <w:szCs w:val="30"/>
          <w:lang w:val="x-none" w:eastAsia="x-none"/>
        </w:rPr>
        <w:t>结算参与人</w:t>
      </w:r>
      <w:r w:rsidRPr="004D4BDB">
        <w:rPr>
          <w:rFonts w:ascii="宋体" w:eastAsia="宋体" w:hAnsi="宋体" w:cs="Arial" w:hint="eastAsia"/>
          <w:kern w:val="0"/>
          <w:sz w:val="24"/>
          <w:szCs w:val="24"/>
          <w:lang w:val="x-none" w:eastAsia="x-none"/>
        </w:rPr>
        <w:t>最低备付金带来的利息损失</w:t>
      </w:r>
      <w:r w:rsidRPr="004D4BDB">
        <w:rPr>
          <w:rFonts w:ascii="宋体" w:eastAsia="宋体" w:hAnsi="宋体" w:cs="Arial" w:hint="eastAsia"/>
          <w:kern w:val="0"/>
          <w:sz w:val="24"/>
          <w:szCs w:val="30"/>
          <w:lang w:val="x-none" w:eastAsia="x-none"/>
        </w:rPr>
        <w:t>。</w:t>
      </w:r>
      <w:r w:rsidRPr="004D4BDB">
        <w:rPr>
          <w:rFonts w:ascii="宋体" w:eastAsia="宋体" w:hAnsi="宋体" w:cs="Arial" w:hint="eastAsia"/>
          <w:kern w:val="0"/>
          <w:sz w:val="24"/>
          <w:szCs w:val="24"/>
          <w:lang w:val="x-none" w:eastAsia="x-none"/>
        </w:rPr>
        <w:t>基金管理人应确保基金托管人在执行指令时，基金资金账户有足够的资金余额，</w:t>
      </w:r>
      <w:r w:rsidRPr="004D4BDB">
        <w:rPr>
          <w:rFonts w:ascii="宋体" w:eastAsia="宋体" w:hAnsi="宋体" w:cs="Arial" w:hint="eastAsia"/>
          <w:kern w:val="0"/>
          <w:sz w:val="24"/>
          <w:szCs w:val="30"/>
          <w:lang w:val="x-none" w:eastAsia="x-none"/>
        </w:rPr>
        <w:t>在基金资金头寸充足的情况下，基金托管人对基金管理人符合法律法规、《基金合同》、本协议的指令不得拖延或拒绝执行。</w:t>
      </w:r>
    </w:p>
    <w:p w:rsidR="004D4BDB" w:rsidRPr="004D4BDB" w:rsidRDefault="004D4BDB" w:rsidP="004D4BDB">
      <w:pPr>
        <w:adjustRightInd w:val="0"/>
        <w:snapToGrid w:val="0"/>
        <w:spacing w:line="360" w:lineRule="auto"/>
        <w:ind w:firstLine="480"/>
        <w:rPr>
          <w:rFonts w:ascii="宋体" w:eastAsia="宋体" w:hAnsi="宋体" w:cs="Arial"/>
          <w:kern w:val="0"/>
          <w:sz w:val="24"/>
          <w:szCs w:val="30"/>
          <w:lang w:val="x-none" w:eastAsia="x-none"/>
        </w:rPr>
      </w:pPr>
      <w:r w:rsidRPr="004D4BDB">
        <w:rPr>
          <w:rFonts w:ascii="宋体" w:eastAsia="宋体" w:hAnsi="宋体" w:cs="Arial" w:hint="eastAsia"/>
          <w:kern w:val="0"/>
          <w:sz w:val="24"/>
          <w:szCs w:val="30"/>
          <w:lang w:val="x-none" w:eastAsia="x-none"/>
        </w:rPr>
        <w:t>（</w:t>
      </w:r>
      <w:proofErr w:type="spellStart"/>
      <w:r w:rsidRPr="004D4BDB">
        <w:rPr>
          <w:rFonts w:ascii="宋体" w:eastAsia="宋体" w:hAnsi="宋体" w:cs="Arial" w:hint="eastAsia"/>
          <w:kern w:val="0"/>
          <w:sz w:val="24"/>
          <w:szCs w:val="30"/>
          <w:lang w:val="x-none" w:eastAsia="x-none"/>
        </w:rPr>
        <w:t>四）基金管理人发送错误指令的情形和处理程序</w:t>
      </w:r>
      <w:proofErr w:type="spellEnd"/>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基金管理人发送错误指令的情形包括指令违反法律法规和《基金合同》，指令发送人员无权或超越权限发送指令。</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（五）基金托管人依照法律法规暂缓、拒绝执行指令的情形和处理程序</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若基金托管人发现基金管理人的指令违反法律法规，或者违反《基金合同》约定的，应当拒绝执行，立即通知基金管理人。</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（六）基金托管人未按照基金管理人指令执行的处理方法</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基金托管人由于自身原因，未按照基金管理人发送的指令执行并对基金财产或投资人造成的直接损失，由基金托管人</w:t>
      </w:r>
      <w:r w:rsidRPr="004D4BDB">
        <w:rPr>
          <w:rFonts w:ascii="宋体" w:eastAsia="宋体" w:hAnsi="宋体" w:cs="Times New Roman" w:hint="eastAsia"/>
          <w:sz w:val="24"/>
          <w:szCs w:val="24"/>
        </w:rPr>
        <w:t>赔偿由此造成的直接损失。</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（七）更换被授权人员的程序</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基金管理人更换被授权人、更改或终止对被授权人的授权，应立即将新的授</w:t>
      </w:r>
      <w:r w:rsidRPr="004D4BDB">
        <w:rPr>
          <w:rFonts w:ascii="宋体" w:eastAsia="宋体" w:hAnsi="宋体" w:cs="Arial" w:hint="eastAsia"/>
          <w:sz w:val="24"/>
          <w:szCs w:val="24"/>
        </w:rPr>
        <w:lastRenderedPageBreak/>
        <w:t>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D4BDB">
        <w:rPr>
          <w:rFonts w:ascii="宋体" w:eastAsia="宋体" w:hAnsi="宋体" w:cs="Times New Roman" w:hint="eastAsia"/>
          <w:sz w:val="24"/>
          <w:szCs w:val="24"/>
        </w:rPr>
        <w:t>。</w:t>
      </w:r>
      <w:r w:rsidRPr="004D4BDB">
        <w:rPr>
          <w:rFonts w:ascii="宋体" w:eastAsia="宋体" w:hAnsi="宋体" w:cs="Arial" w:hint="eastAsia"/>
          <w:sz w:val="24"/>
          <w:szCs w:val="24"/>
        </w:rPr>
        <w:t>基金托管人更换接受基金管理人指令的人员，应提前通过录音电话通知基金管理人。</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（八）其他事项</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4D4BDB" w:rsidRPr="004D4BDB" w:rsidRDefault="004D4BDB" w:rsidP="004D4BDB">
      <w:pPr>
        <w:adjustRightInd w:val="0"/>
        <w:snapToGrid w:val="0"/>
        <w:spacing w:line="360" w:lineRule="auto"/>
        <w:rPr>
          <w:rFonts w:ascii="宋体" w:eastAsia="宋体" w:hAnsi="宋体" w:cs="Arial"/>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proofErr w:type="spellStart"/>
      <w:r w:rsidRPr="004D4BDB">
        <w:rPr>
          <w:rFonts w:ascii="宋体" w:eastAsia="宋体" w:hAnsi="宋体" w:cs="Times New Roman" w:hint="eastAsia"/>
          <w:b/>
          <w:kern w:val="0"/>
          <w:sz w:val="30"/>
          <w:szCs w:val="20"/>
          <w:lang w:val="x-none" w:eastAsia="x-none"/>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roofErr w:type="spellEnd"/>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（一）选择证券买卖的证券经营机构</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（二）基金投资证券后的清算交收安排</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1.清算与交割</w:t>
      </w:r>
    </w:p>
    <w:p w:rsidR="004D4BDB" w:rsidRPr="004D4BDB" w:rsidRDefault="004D4BDB" w:rsidP="004D4BDB">
      <w:pPr>
        <w:adjustRightInd w:val="0"/>
        <w:snapToGrid w:val="0"/>
        <w:spacing w:line="360" w:lineRule="auto"/>
        <w:ind w:firstLine="480"/>
        <w:rPr>
          <w:rFonts w:ascii="宋体" w:eastAsia="宋体" w:hAnsi="宋体" w:cs="Times New Roman"/>
          <w:sz w:val="24"/>
          <w:szCs w:val="24"/>
        </w:rPr>
      </w:pPr>
      <w:r w:rsidRPr="004D4BDB">
        <w:rPr>
          <w:rFonts w:ascii="宋体" w:eastAsia="宋体" w:hAnsi="宋体" w:cs="Times New Roman" w:hint="eastAsia"/>
          <w:sz w:val="24"/>
          <w:szCs w:val="24"/>
        </w:rPr>
        <w:t>基金管理人与基金托管人应根据有关法律法规及相关业务规则，签订《托管</w:t>
      </w:r>
    </w:p>
    <w:p w:rsidR="004D4BDB" w:rsidRPr="004D4BDB" w:rsidRDefault="004D4BDB" w:rsidP="004D4BDB">
      <w:pPr>
        <w:adjustRightInd w:val="0"/>
        <w:snapToGrid w:val="0"/>
        <w:spacing w:line="360" w:lineRule="auto"/>
        <w:rPr>
          <w:rFonts w:ascii="宋体" w:eastAsia="宋体" w:hAnsi="宋体" w:cs="Times New Roman"/>
          <w:sz w:val="24"/>
          <w:szCs w:val="24"/>
        </w:rPr>
      </w:pPr>
      <w:r w:rsidRPr="004D4BDB">
        <w:rPr>
          <w:rFonts w:ascii="宋体" w:eastAsia="宋体" w:hAnsi="宋体" w:cs="Times New Roman" w:hint="eastAsia"/>
          <w:sz w:val="24"/>
          <w:szCs w:val="24"/>
        </w:rPr>
        <w:t>银行证券资金结算协议》，如投资港股通，还需签订《证券投资基金港股通结算补充协议》，用以具体明确基金管理人与基金托管人在证券交易资金结算业务中的责任。</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Times New Roman" w:hint="eastAsia"/>
          <w:sz w:val="24"/>
          <w:szCs w:val="24"/>
        </w:rPr>
        <w:lastRenderedPageBreak/>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4D4BDB" w:rsidRPr="004D4BDB" w:rsidRDefault="004D4BDB" w:rsidP="004D4BDB">
      <w:pPr>
        <w:adjustRightInd w:val="0"/>
        <w:snapToGrid w:val="0"/>
        <w:spacing w:line="360" w:lineRule="auto"/>
        <w:ind w:firstLine="480"/>
        <w:rPr>
          <w:rFonts w:ascii="宋体" w:eastAsia="宋体" w:hAnsi="宋体" w:cs="宋体"/>
          <w:color w:val="000000"/>
          <w:kern w:val="0"/>
          <w:sz w:val="24"/>
          <w:szCs w:val="24"/>
        </w:rPr>
      </w:pPr>
      <w:r w:rsidRPr="004D4BDB">
        <w:rPr>
          <w:rFonts w:ascii="宋体" w:eastAsia="宋体" w:hAnsi="宋体" w:cs="宋体" w:hint="eastAsia"/>
          <w:color w:val="000000"/>
          <w:kern w:val="0"/>
          <w:sz w:val="24"/>
          <w:szCs w:val="24"/>
        </w:rPr>
        <w:t>基金管理人应采取合理、必要措施，确保T日日终有足够的资金头寸完成 T+1日</w:t>
      </w:r>
      <w:r w:rsidRPr="004D4BDB">
        <w:rPr>
          <w:rFonts w:ascii="宋体" w:eastAsia="宋体" w:hAnsi="宋体" w:cs="Times New Roman" w:hint="eastAsia"/>
          <w:sz w:val="24"/>
          <w:szCs w:val="24"/>
        </w:rPr>
        <w:t>中国证券登记结算有限责任公司的资金</w:t>
      </w:r>
      <w:r w:rsidRPr="004D4BDB">
        <w:rPr>
          <w:rFonts w:ascii="宋体" w:eastAsia="宋体"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实行场内T+0交收的资金清算按照基金托管人的相关规定流程执行。</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lastRenderedPageBreak/>
        <w:t>2.交易记录、资金和证券账目核对的时间和方式</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（1）交易记录的核对</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（2）资金账目的核对</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资金账目按日核实。</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（3）证券账目的核对</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rsidR="004D4BDB" w:rsidRPr="004D4BDB" w:rsidRDefault="004D4BDB" w:rsidP="004D4BDB">
      <w:pPr>
        <w:adjustRightInd w:val="0"/>
        <w:snapToGrid w:val="0"/>
        <w:spacing w:line="360" w:lineRule="auto"/>
        <w:ind w:firstLine="480"/>
        <w:outlineLvl w:val="0"/>
        <w:rPr>
          <w:rFonts w:ascii="宋体" w:eastAsia="宋体" w:hAnsi="宋体" w:cs="Arial"/>
          <w:sz w:val="24"/>
          <w:szCs w:val="24"/>
        </w:rPr>
      </w:pPr>
      <w:r w:rsidRPr="004D4BDB">
        <w:rPr>
          <w:rFonts w:ascii="宋体" w:eastAsia="宋体" w:hAnsi="宋体" w:cs="Arial" w:hint="eastAsia"/>
          <w:sz w:val="24"/>
          <w:szCs w:val="24"/>
        </w:rPr>
        <w:t>（三）基金申购和赎回业务处理的基本规定</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1.基金份额申购、赎回的确认、清算由基金管理人或其委托的注册登记机构负责。</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3.基金管理人应保证本基金（或本基金管理人委托）的注册登记机构每个工作日15:00前向基金托管人发送前一开放日上述有关数据，并保证相关数据的准确、完整。</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5.如基金管理人委托其他机构办理本基金的注册登记业务，应保证上述相关事宜按时进行。否则，由基金管理人承担相应的责任。</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6.关于清算专用账户的设立和管理</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为满足申购、赎回及分红资金汇划的需要，由基金管理人开立资金清算的专</w:t>
      </w:r>
      <w:r w:rsidRPr="004D4BDB">
        <w:rPr>
          <w:rFonts w:ascii="宋体" w:eastAsia="宋体" w:hAnsi="宋体" w:cs="Arial" w:hint="eastAsia"/>
          <w:sz w:val="24"/>
          <w:szCs w:val="24"/>
        </w:rPr>
        <w:lastRenderedPageBreak/>
        <w:t>用账户，该账户由注册登记机构管理。</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8.赎回和分红资金划拨规定</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9.资金指令</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资金指令的格式、内容、发送、接收和确认方式等与投资指令相同。</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（四）申赎净额结算</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4D4BDB" w:rsidRPr="004D4BDB" w:rsidRDefault="004D4BDB" w:rsidP="004D4BDB">
      <w:pPr>
        <w:adjustRightInd w:val="0"/>
        <w:snapToGrid w:val="0"/>
        <w:spacing w:line="360" w:lineRule="auto"/>
        <w:ind w:firstLine="480"/>
        <w:outlineLvl w:val="0"/>
        <w:rPr>
          <w:rFonts w:ascii="宋体" w:eastAsia="宋体" w:hAnsi="宋体" w:cs="Arial"/>
          <w:sz w:val="24"/>
          <w:szCs w:val="24"/>
        </w:rPr>
      </w:pPr>
      <w:r w:rsidRPr="004D4BDB">
        <w:rPr>
          <w:rFonts w:ascii="宋体" w:eastAsia="宋体" w:hAnsi="宋体" w:cs="Arial" w:hint="eastAsia"/>
          <w:sz w:val="24"/>
          <w:szCs w:val="24"/>
        </w:rPr>
        <w:t>（五）基金转换</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1.在本基金与基金管理人管理的其它基金开展转换业务之前，基金管理人应函告基金托管人并就相关事宜进行协商。</w:t>
      </w:r>
    </w:p>
    <w:p w:rsidR="004D4BDB" w:rsidRPr="004D4BDB" w:rsidRDefault="004D4BDB" w:rsidP="004D4BDB">
      <w:pPr>
        <w:adjustRightInd w:val="0"/>
        <w:snapToGrid w:val="0"/>
        <w:spacing w:line="360" w:lineRule="auto"/>
        <w:ind w:firstLine="480"/>
        <w:outlineLvl w:val="0"/>
        <w:rPr>
          <w:rFonts w:ascii="宋体" w:eastAsia="宋体" w:hAnsi="宋体" w:cs="Arial"/>
          <w:sz w:val="24"/>
          <w:szCs w:val="24"/>
        </w:rPr>
      </w:pPr>
      <w:r w:rsidRPr="004D4BDB">
        <w:rPr>
          <w:rFonts w:ascii="宋体" w:eastAsia="宋体"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rsidR="004D4BDB" w:rsidRPr="004D4BDB" w:rsidRDefault="004D4BDB" w:rsidP="004D4BDB">
      <w:pPr>
        <w:adjustRightInd w:val="0"/>
        <w:snapToGrid w:val="0"/>
        <w:spacing w:line="360" w:lineRule="auto"/>
        <w:ind w:firstLine="480"/>
        <w:outlineLvl w:val="0"/>
        <w:rPr>
          <w:rFonts w:ascii="宋体" w:eastAsia="宋体" w:hAnsi="宋体" w:cs="Arial"/>
          <w:sz w:val="24"/>
          <w:szCs w:val="24"/>
        </w:rPr>
      </w:pPr>
      <w:r w:rsidRPr="004D4BDB">
        <w:rPr>
          <w:rFonts w:ascii="宋体" w:eastAsia="宋体" w:hAnsi="宋体" w:cs="Arial" w:hint="eastAsia"/>
          <w:sz w:val="24"/>
          <w:szCs w:val="24"/>
        </w:rPr>
        <w:t>3.本基金开展基金转换业务应按相关法律法规规定及《基金合同》的约定进</w:t>
      </w:r>
      <w:r w:rsidRPr="004D4BDB">
        <w:rPr>
          <w:rFonts w:ascii="宋体" w:eastAsia="宋体" w:hAnsi="宋体" w:cs="Arial" w:hint="eastAsia"/>
          <w:sz w:val="24"/>
          <w:szCs w:val="24"/>
        </w:rPr>
        <w:lastRenderedPageBreak/>
        <w:t>行公告。</w:t>
      </w:r>
    </w:p>
    <w:p w:rsidR="004D4BDB" w:rsidRPr="004D4BDB" w:rsidRDefault="004D4BDB" w:rsidP="004D4BDB">
      <w:pPr>
        <w:adjustRightInd w:val="0"/>
        <w:snapToGrid w:val="0"/>
        <w:spacing w:line="360" w:lineRule="auto"/>
        <w:ind w:firstLine="480"/>
        <w:outlineLvl w:val="0"/>
        <w:rPr>
          <w:rFonts w:ascii="宋体" w:eastAsia="宋体" w:hAnsi="宋体" w:cs="Arial"/>
          <w:sz w:val="24"/>
          <w:szCs w:val="24"/>
        </w:rPr>
      </w:pPr>
      <w:r w:rsidRPr="004D4BDB">
        <w:rPr>
          <w:rFonts w:ascii="宋体" w:eastAsia="宋体" w:hAnsi="宋体" w:cs="Arial" w:hint="eastAsia"/>
          <w:sz w:val="24"/>
          <w:szCs w:val="24"/>
        </w:rPr>
        <w:t>（六）基金现金分红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1.基金管理人确定分红方案通知基金托管人，双方核定后</w:t>
      </w:r>
      <w:r w:rsidRPr="004D4BDB">
        <w:rPr>
          <w:rFonts w:ascii="宋体" w:eastAsia="宋体" w:hAnsi="宋体" w:cs="Times New Roman" w:hint="eastAsia"/>
          <w:sz w:val="24"/>
          <w:szCs w:val="18"/>
        </w:rPr>
        <w:t>依照《信息披露办法》的有关规定在中国证监会指定媒体上公告并</w:t>
      </w:r>
      <w:r w:rsidRPr="004D4BDB">
        <w:rPr>
          <w:rFonts w:ascii="宋体" w:eastAsia="宋体" w:hAnsi="宋体" w:cs="Times New Roman" w:hint="eastAsia"/>
          <w:sz w:val="24"/>
          <w:szCs w:val="24"/>
        </w:rPr>
        <w:t>报中国证监会备案</w:t>
      </w:r>
      <w:r w:rsidRPr="004D4BDB">
        <w:rPr>
          <w:rFonts w:ascii="宋体" w:eastAsia="宋体" w:hAnsi="宋体" w:cs="Arial" w:hint="eastAsia"/>
          <w:sz w:val="24"/>
          <w:szCs w:val="24"/>
        </w:rPr>
        <w:t>。</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4D4BDB" w:rsidRPr="004D4BDB" w:rsidRDefault="004D4BDB" w:rsidP="004D4BDB">
      <w:pPr>
        <w:spacing w:line="360" w:lineRule="auto"/>
        <w:ind w:firstLine="480"/>
        <w:rPr>
          <w:rFonts w:ascii="宋体" w:eastAsia="宋体" w:hAnsi="宋体" w:cs="Arial"/>
          <w:sz w:val="24"/>
          <w:szCs w:val="24"/>
        </w:rPr>
      </w:pPr>
      <w:r w:rsidRPr="004D4BDB">
        <w:rPr>
          <w:rFonts w:ascii="宋体" w:eastAsia="宋体" w:hAnsi="宋体" w:cs="Arial" w:hint="eastAsia"/>
          <w:sz w:val="24"/>
          <w:szCs w:val="24"/>
        </w:rPr>
        <w:t>3.基金管理人在下达指令时，应给基金托管人留出必需的划款时间。</w:t>
      </w:r>
    </w:p>
    <w:p w:rsidR="004D4BDB" w:rsidRPr="004D4BDB" w:rsidRDefault="004D4BDB" w:rsidP="004D4BDB">
      <w:pPr>
        <w:spacing w:line="360" w:lineRule="auto"/>
        <w:ind w:firstLine="480"/>
        <w:rPr>
          <w:rFonts w:ascii="宋体" w:eastAsia="宋体" w:hAnsi="宋体" w:cs="Arial"/>
          <w:sz w:val="24"/>
          <w:szCs w:val="24"/>
        </w:rPr>
      </w:pPr>
      <w:r w:rsidRPr="004D4BDB">
        <w:rPr>
          <w:rFonts w:ascii="宋体" w:eastAsia="宋体" w:hAnsi="宋体" w:cs="Arial" w:hint="eastAsia"/>
          <w:sz w:val="24"/>
          <w:szCs w:val="24"/>
        </w:rPr>
        <w:t>（七）投资银行存款的特别约定</w:t>
      </w:r>
    </w:p>
    <w:p w:rsidR="004D4BDB" w:rsidRPr="004D4BDB" w:rsidRDefault="004D4BDB" w:rsidP="004D4BDB">
      <w:pPr>
        <w:spacing w:line="360" w:lineRule="auto"/>
        <w:ind w:firstLine="480"/>
        <w:rPr>
          <w:rFonts w:ascii="宋体" w:eastAsia="宋体" w:hAnsi="宋体" w:cs="Arial"/>
          <w:sz w:val="24"/>
          <w:szCs w:val="24"/>
        </w:rPr>
      </w:pPr>
      <w:r w:rsidRPr="004D4BDB">
        <w:rPr>
          <w:rFonts w:ascii="宋体" w:eastAsia="宋体" w:hAnsi="宋体" w:cs="Arial" w:hint="eastAsia"/>
          <w:sz w:val="24"/>
          <w:szCs w:val="24"/>
        </w:rPr>
        <w:t>1.本基金投资银行存款前，应与基金托管人签署《证券投资基金投资银行定期存款风险控制补充协议》。</w:t>
      </w:r>
    </w:p>
    <w:p w:rsidR="004D4BDB" w:rsidRPr="004D4BDB" w:rsidRDefault="004D4BDB" w:rsidP="004D4BDB">
      <w:pPr>
        <w:spacing w:line="360" w:lineRule="auto"/>
        <w:ind w:firstLine="480"/>
        <w:rPr>
          <w:rFonts w:ascii="宋体" w:eastAsia="宋体" w:hAnsi="宋体" w:cs="Arial"/>
          <w:sz w:val="24"/>
          <w:szCs w:val="24"/>
        </w:rPr>
      </w:pPr>
      <w:r w:rsidRPr="004D4BDB">
        <w:rPr>
          <w:rFonts w:ascii="宋体" w:eastAsia="宋体" w:hAnsi="宋体" w:cs="Arial" w:hint="eastAsia"/>
          <w:sz w:val="24"/>
          <w:szCs w:val="24"/>
        </w:rPr>
        <w:t>2.本基金投资银行存款，必须采用双方认可的方式办理。</w:t>
      </w:r>
    </w:p>
    <w:p w:rsidR="004D4BDB" w:rsidRPr="004D4BDB" w:rsidRDefault="004D4BDB" w:rsidP="004D4BDB">
      <w:pPr>
        <w:spacing w:line="360" w:lineRule="auto"/>
        <w:ind w:firstLine="480"/>
        <w:rPr>
          <w:rFonts w:ascii="宋体" w:eastAsia="宋体" w:hAnsi="宋体" w:cs="Arial"/>
          <w:sz w:val="24"/>
          <w:szCs w:val="24"/>
        </w:rPr>
      </w:pPr>
      <w:r w:rsidRPr="004D4BDB">
        <w:rPr>
          <w:rFonts w:ascii="宋体" w:eastAsia="宋体" w:hAnsi="宋体" w:cs="Arial" w:hint="eastAsia"/>
          <w:sz w:val="24"/>
          <w:szCs w:val="24"/>
        </w:rPr>
        <w:t>3.基金管理人投资银行存款或办理存款支取时，应提前书面通知基金托管人，以便基金托管人有足够的时间履行相应的业务操作程序。</w:t>
      </w:r>
    </w:p>
    <w:p w:rsidR="004D4BDB" w:rsidRPr="004D4BDB" w:rsidRDefault="004D4BDB" w:rsidP="004D4BDB">
      <w:pPr>
        <w:adjustRightInd w:val="0"/>
        <w:snapToGrid w:val="0"/>
        <w:spacing w:line="360" w:lineRule="auto"/>
        <w:rPr>
          <w:rFonts w:ascii="宋体" w:eastAsia="宋体" w:hAnsi="宋体" w:cs="Arial"/>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86" w:name="_Toc124325892"/>
      <w:r w:rsidRPr="004D4BDB">
        <w:rPr>
          <w:rFonts w:ascii="宋体" w:eastAsia="宋体" w:hAnsi="宋体" w:cs="Times New Roman" w:hint="eastAsia"/>
          <w:b/>
          <w:kern w:val="0"/>
          <w:sz w:val="30"/>
          <w:szCs w:val="20"/>
          <w:lang w:val="x-none" w:eastAsia="x-none"/>
        </w:rPr>
        <w:t xml:space="preserve"> </w:t>
      </w:r>
      <w:proofErr w:type="spellStart"/>
      <w:r w:rsidRPr="004D4BDB">
        <w:rPr>
          <w:rFonts w:ascii="宋体" w:eastAsia="宋体" w:hAnsi="宋体" w:cs="Times New Roman" w:hint="eastAsia"/>
          <w:b/>
          <w:kern w:val="0"/>
          <w:sz w:val="30"/>
          <w:szCs w:val="20"/>
          <w:lang w:val="x-none" w:eastAsia="x-none"/>
        </w:rPr>
        <w:t>八、基金资产净值计算和会计核算</w:t>
      </w:r>
      <w:bookmarkEnd w:id="86"/>
      <w:proofErr w:type="spellEnd"/>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（一）基金资产净值的计算、复核与完成的时间及程序</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每个交易日计算基金资产净值及基金份额净值，并按规定公告。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按照《基金合同》的约定对外公布。</w:t>
      </w:r>
    </w:p>
    <w:p w:rsidR="004D4BDB" w:rsidRPr="004D4BDB" w:rsidRDefault="004D4BDB" w:rsidP="004D4BDB">
      <w:pPr>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（二）基金资产估值方法和特殊情形的处理</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1.估值对象</w:t>
      </w:r>
    </w:p>
    <w:p w:rsidR="003B372E" w:rsidRPr="004D4BDB" w:rsidRDefault="003B372E" w:rsidP="003B372E">
      <w:pPr>
        <w:adjustRightInd w:val="0"/>
        <w:snapToGrid w:val="0"/>
        <w:spacing w:line="360" w:lineRule="auto"/>
        <w:ind w:firstLineChars="200" w:firstLine="480"/>
        <w:rPr>
          <w:rFonts w:ascii="宋体" w:eastAsia="宋体" w:hAnsi="宋体" w:cs="Arial"/>
          <w:sz w:val="24"/>
          <w:szCs w:val="24"/>
        </w:rPr>
      </w:pPr>
      <w:r w:rsidRPr="003B372E">
        <w:rPr>
          <w:rFonts w:ascii="宋体" w:eastAsia="宋体" w:hAnsi="宋体" w:cs="Arial" w:hint="eastAsia"/>
          <w:sz w:val="24"/>
          <w:szCs w:val="24"/>
        </w:rPr>
        <w:t>基金所拥有的股票、权证、债券</w:t>
      </w:r>
      <w:r w:rsidR="008D2820" w:rsidRPr="008D2820">
        <w:rPr>
          <w:rFonts w:ascii="宋体" w:eastAsia="宋体" w:hAnsi="宋体" w:cs="Arial" w:hint="eastAsia"/>
          <w:sz w:val="24"/>
          <w:szCs w:val="24"/>
        </w:rPr>
        <w:t>、国债期货合约</w:t>
      </w:r>
      <w:r w:rsidRPr="003B372E">
        <w:rPr>
          <w:rFonts w:ascii="宋体" w:eastAsia="宋体" w:hAnsi="宋体" w:cs="Arial" w:hint="eastAsia"/>
          <w:sz w:val="24"/>
          <w:szCs w:val="24"/>
        </w:rPr>
        <w:t>和银行存款本息、应收款项、其它投资等资产及负债。</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lastRenderedPageBreak/>
        <w:t>2.估值方法</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本基金所持有的投资品种，按如下原则进行估值 ：</w:t>
      </w:r>
    </w:p>
    <w:p w:rsidR="00C54C51" w:rsidRPr="00C54C51" w:rsidRDefault="001361F4" w:rsidP="00C54C51">
      <w:pPr>
        <w:adjustRightInd w:val="0"/>
        <w:snapToGrid w:val="0"/>
        <w:spacing w:line="360" w:lineRule="auto"/>
        <w:ind w:firstLineChars="200" w:firstLine="480"/>
        <w:rPr>
          <w:rFonts w:ascii="宋体" w:eastAsia="宋体" w:hAnsi="宋体" w:cs="Arial"/>
          <w:bCs/>
          <w:sz w:val="24"/>
          <w:szCs w:val="24"/>
        </w:rPr>
      </w:pPr>
      <w:r>
        <w:rPr>
          <w:rFonts w:ascii="宋体" w:eastAsia="宋体" w:hAnsi="宋体" w:cs="Arial" w:hint="eastAsia"/>
          <w:bCs/>
          <w:sz w:val="24"/>
          <w:szCs w:val="24"/>
        </w:rPr>
        <w:t>（</w:t>
      </w:r>
      <w:r w:rsidR="00C54C51" w:rsidRPr="00C54C51">
        <w:rPr>
          <w:rFonts w:ascii="宋体" w:eastAsia="宋体" w:hAnsi="宋体" w:cs="Arial"/>
          <w:bCs/>
          <w:sz w:val="24"/>
          <w:szCs w:val="24"/>
        </w:rPr>
        <w:t>1</w:t>
      </w:r>
      <w:r>
        <w:rPr>
          <w:rFonts w:ascii="宋体" w:eastAsia="宋体" w:hAnsi="宋体" w:cs="Arial" w:hint="eastAsia"/>
          <w:bCs/>
          <w:sz w:val="24"/>
          <w:szCs w:val="24"/>
        </w:rPr>
        <w:t>）</w:t>
      </w:r>
      <w:r w:rsidR="00C54C51" w:rsidRPr="00C54C51">
        <w:rPr>
          <w:rFonts w:ascii="宋体" w:eastAsia="宋体" w:hAnsi="宋体" w:cs="Arial" w:hint="eastAsia"/>
          <w:bCs/>
          <w:sz w:val="24"/>
          <w:szCs w:val="24"/>
        </w:rPr>
        <w:t>证券交易所上市的权益类证券的估值</w:t>
      </w:r>
      <w:r w:rsidR="00C54C51" w:rsidRPr="00C54C51">
        <w:rPr>
          <w:rFonts w:ascii="宋体" w:eastAsia="宋体" w:hAnsi="宋体" w:cs="Arial"/>
          <w:bCs/>
          <w:sz w:val="24"/>
          <w:szCs w:val="24"/>
        </w:rPr>
        <w:t xml:space="preserve"> </w:t>
      </w:r>
    </w:p>
    <w:p w:rsidR="00C54C51" w:rsidRPr="00C54C51" w:rsidRDefault="00C54C51" w:rsidP="00C54C51">
      <w:pPr>
        <w:adjustRightInd w:val="0"/>
        <w:snapToGrid w:val="0"/>
        <w:spacing w:line="360" w:lineRule="auto"/>
        <w:ind w:firstLineChars="200" w:firstLine="480"/>
        <w:rPr>
          <w:rFonts w:ascii="宋体" w:eastAsia="宋体" w:hAnsi="宋体" w:cs="Arial"/>
          <w:bCs/>
          <w:sz w:val="24"/>
          <w:szCs w:val="24"/>
        </w:rPr>
      </w:pPr>
      <w:r w:rsidRPr="00C54C51">
        <w:rPr>
          <w:rFonts w:ascii="宋体" w:eastAsia="宋体" w:hAnsi="宋体" w:cs="Arial" w:hint="eastAsia"/>
          <w:bCs/>
          <w:sz w:val="24"/>
          <w:szCs w:val="24"/>
        </w:rPr>
        <w:t>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C54C51">
        <w:rPr>
          <w:rFonts w:ascii="宋体" w:eastAsia="宋体" w:hAnsi="宋体" w:cs="Arial"/>
          <w:bCs/>
          <w:sz w:val="24"/>
          <w:szCs w:val="24"/>
        </w:rPr>
        <w:t xml:space="preserve"> </w:t>
      </w:r>
    </w:p>
    <w:p w:rsidR="00C54C51" w:rsidRPr="00C54C51" w:rsidRDefault="001361F4" w:rsidP="00C54C51">
      <w:pPr>
        <w:adjustRightInd w:val="0"/>
        <w:snapToGrid w:val="0"/>
        <w:spacing w:line="360" w:lineRule="auto"/>
        <w:ind w:firstLineChars="200" w:firstLine="480"/>
        <w:rPr>
          <w:rFonts w:ascii="宋体" w:eastAsia="宋体" w:hAnsi="宋体" w:cs="Arial"/>
          <w:bCs/>
          <w:sz w:val="24"/>
          <w:szCs w:val="24"/>
        </w:rPr>
      </w:pPr>
      <w:r>
        <w:rPr>
          <w:rFonts w:ascii="宋体" w:eastAsia="宋体" w:hAnsi="宋体" w:cs="Arial" w:hint="eastAsia"/>
          <w:bCs/>
          <w:sz w:val="24"/>
          <w:szCs w:val="24"/>
        </w:rPr>
        <w:t>（</w:t>
      </w:r>
      <w:r w:rsidR="00C54C51" w:rsidRPr="00C54C51">
        <w:rPr>
          <w:rFonts w:ascii="宋体" w:eastAsia="宋体" w:hAnsi="宋体" w:cs="Arial"/>
          <w:bCs/>
          <w:sz w:val="24"/>
          <w:szCs w:val="24"/>
        </w:rPr>
        <w:t>2</w:t>
      </w:r>
      <w:r>
        <w:rPr>
          <w:rFonts w:ascii="宋体" w:eastAsia="宋体" w:hAnsi="宋体" w:cs="Arial" w:hint="eastAsia"/>
          <w:bCs/>
          <w:sz w:val="24"/>
          <w:szCs w:val="24"/>
        </w:rPr>
        <w:t>）</w:t>
      </w:r>
      <w:r w:rsidR="00C54C51" w:rsidRPr="00C54C51">
        <w:rPr>
          <w:rFonts w:ascii="宋体" w:eastAsia="宋体" w:hAnsi="宋体" w:cs="Arial" w:hint="eastAsia"/>
          <w:bCs/>
          <w:sz w:val="24"/>
          <w:szCs w:val="24"/>
        </w:rPr>
        <w:t>处于未上市期间的权益类证券应区分如下情况处理：</w:t>
      </w:r>
      <w:r w:rsidR="00C54C51" w:rsidRPr="00C54C51">
        <w:rPr>
          <w:rFonts w:ascii="宋体" w:eastAsia="宋体" w:hAnsi="宋体" w:cs="Arial"/>
          <w:bCs/>
          <w:sz w:val="24"/>
          <w:szCs w:val="24"/>
        </w:rPr>
        <w:t xml:space="preserve"> </w:t>
      </w:r>
    </w:p>
    <w:p w:rsidR="00C54C51" w:rsidRPr="00C54C51" w:rsidRDefault="00C54C51" w:rsidP="00C54C51">
      <w:pPr>
        <w:adjustRightInd w:val="0"/>
        <w:snapToGrid w:val="0"/>
        <w:spacing w:line="360" w:lineRule="auto"/>
        <w:ind w:firstLineChars="200" w:firstLine="480"/>
        <w:rPr>
          <w:rFonts w:ascii="宋体" w:eastAsia="宋体" w:hAnsi="宋体" w:cs="Arial"/>
          <w:bCs/>
          <w:sz w:val="24"/>
          <w:szCs w:val="24"/>
        </w:rPr>
      </w:pPr>
      <w:r w:rsidRPr="00C54C51">
        <w:rPr>
          <w:rFonts w:ascii="宋体" w:eastAsia="宋体" w:hAnsi="宋体" w:cs="Arial"/>
          <w:bCs/>
          <w:sz w:val="24"/>
          <w:szCs w:val="24"/>
        </w:rPr>
        <w:t>1</w:t>
      </w:r>
      <w:r w:rsidRPr="00C54C51">
        <w:rPr>
          <w:rFonts w:ascii="宋体" w:eastAsia="宋体" w:hAnsi="宋体" w:cs="Arial" w:hint="eastAsia"/>
          <w:bCs/>
          <w:sz w:val="24"/>
          <w:szCs w:val="24"/>
        </w:rPr>
        <w:t>）送股、转增股、配股和公开增发的新股，按估值日在证券交易所挂牌的同一股票的估值方法估值；该日无交易的，以最近一日的市价（收盘价）估值；</w:t>
      </w:r>
      <w:r w:rsidRPr="00C54C51">
        <w:rPr>
          <w:rFonts w:ascii="宋体" w:eastAsia="宋体" w:hAnsi="宋体" w:cs="Arial"/>
          <w:bCs/>
          <w:sz w:val="24"/>
          <w:szCs w:val="24"/>
        </w:rPr>
        <w:t xml:space="preserve"> </w:t>
      </w:r>
    </w:p>
    <w:p w:rsidR="00C54C51" w:rsidRPr="00C54C51" w:rsidRDefault="00C54C51" w:rsidP="00C54C51">
      <w:pPr>
        <w:adjustRightInd w:val="0"/>
        <w:snapToGrid w:val="0"/>
        <w:spacing w:line="360" w:lineRule="auto"/>
        <w:ind w:firstLineChars="200" w:firstLine="480"/>
        <w:rPr>
          <w:rFonts w:ascii="宋体" w:eastAsia="宋体" w:hAnsi="宋体" w:cs="Arial"/>
          <w:bCs/>
          <w:sz w:val="24"/>
          <w:szCs w:val="24"/>
        </w:rPr>
      </w:pPr>
      <w:r w:rsidRPr="00C54C51">
        <w:rPr>
          <w:rFonts w:ascii="宋体" w:eastAsia="宋体" w:hAnsi="宋体" w:cs="Arial"/>
          <w:bCs/>
          <w:sz w:val="24"/>
          <w:szCs w:val="24"/>
        </w:rPr>
        <w:t>2</w:t>
      </w:r>
      <w:r w:rsidRPr="00C54C51">
        <w:rPr>
          <w:rFonts w:ascii="宋体" w:eastAsia="宋体" w:hAnsi="宋体" w:cs="Arial" w:hint="eastAsia"/>
          <w:bCs/>
          <w:sz w:val="24"/>
          <w:szCs w:val="24"/>
        </w:rPr>
        <w:t>）首次公开发行未上市的股票和权证，采用估值技术确定公允价值，在估值技术难以可靠计量公允价值的情况下，按成本估值</w:t>
      </w:r>
      <w:r w:rsidR="00332399">
        <w:rPr>
          <w:rFonts w:ascii="宋体" w:eastAsia="宋体" w:hAnsi="宋体" w:cs="Arial" w:hint="eastAsia"/>
          <w:bCs/>
          <w:sz w:val="24"/>
          <w:szCs w:val="24"/>
        </w:rPr>
        <w:t>；</w:t>
      </w:r>
      <w:r w:rsidRPr="00C54C51">
        <w:rPr>
          <w:rFonts w:ascii="宋体" w:eastAsia="宋体" w:hAnsi="宋体" w:cs="Arial"/>
          <w:bCs/>
          <w:sz w:val="24"/>
          <w:szCs w:val="24"/>
        </w:rPr>
        <w:t xml:space="preserve"> </w:t>
      </w:r>
    </w:p>
    <w:p w:rsidR="00C54C51" w:rsidRPr="00C54C51" w:rsidRDefault="00C54C51" w:rsidP="00C54C51">
      <w:pPr>
        <w:adjustRightInd w:val="0"/>
        <w:snapToGrid w:val="0"/>
        <w:spacing w:line="360" w:lineRule="auto"/>
        <w:ind w:firstLineChars="200" w:firstLine="480"/>
        <w:rPr>
          <w:rFonts w:ascii="宋体" w:eastAsia="宋体" w:hAnsi="宋体" w:cs="Arial"/>
          <w:bCs/>
          <w:sz w:val="24"/>
          <w:szCs w:val="24"/>
        </w:rPr>
      </w:pPr>
      <w:r w:rsidRPr="00C54C51">
        <w:rPr>
          <w:rFonts w:ascii="宋体" w:eastAsia="宋体" w:hAnsi="宋体" w:cs="Arial"/>
          <w:bCs/>
          <w:sz w:val="24"/>
          <w:szCs w:val="24"/>
        </w:rPr>
        <w:t>3</w:t>
      </w:r>
      <w:r w:rsidRPr="00C54C51">
        <w:rPr>
          <w:rFonts w:ascii="宋体" w:eastAsia="宋体" w:hAnsi="宋体" w:cs="Arial"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r w:rsidRPr="00C54C51">
        <w:rPr>
          <w:rFonts w:ascii="宋体" w:eastAsia="宋体" w:hAnsi="宋体" w:cs="Arial"/>
          <w:bCs/>
          <w:sz w:val="24"/>
          <w:szCs w:val="24"/>
        </w:rPr>
        <w:t xml:space="preserve"> </w:t>
      </w:r>
    </w:p>
    <w:p w:rsidR="00C54C51" w:rsidRPr="00C54C51" w:rsidRDefault="001361F4" w:rsidP="00C54C51">
      <w:pPr>
        <w:adjustRightInd w:val="0"/>
        <w:snapToGrid w:val="0"/>
        <w:spacing w:line="360" w:lineRule="auto"/>
        <w:ind w:firstLineChars="200" w:firstLine="480"/>
        <w:rPr>
          <w:rFonts w:ascii="宋体" w:eastAsia="宋体" w:hAnsi="宋体" w:cs="Arial"/>
          <w:bCs/>
          <w:sz w:val="24"/>
          <w:szCs w:val="24"/>
        </w:rPr>
      </w:pPr>
      <w:r>
        <w:rPr>
          <w:rFonts w:ascii="宋体" w:eastAsia="宋体" w:hAnsi="宋体" w:cs="Arial" w:hint="eastAsia"/>
          <w:bCs/>
          <w:sz w:val="24"/>
          <w:szCs w:val="24"/>
        </w:rPr>
        <w:t>（</w:t>
      </w:r>
      <w:r w:rsidR="00C54C51" w:rsidRPr="00C54C51">
        <w:rPr>
          <w:rFonts w:ascii="宋体" w:eastAsia="宋体" w:hAnsi="宋体" w:cs="Arial"/>
          <w:bCs/>
          <w:sz w:val="24"/>
          <w:szCs w:val="24"/>
        </w:rPr>
        <w:t>3</w:t>
      </w:r>
      <w:r>
        <w:rPr>
          <w:rFonts w:ascii="宋体" w:eastAsia="宋体" w:hAnsi="宋体" w:cs="Arial" w:hint="eastAsia"/>
          <w:bCs/>
          <w:sz w:val="24"/>
          <w:szCs w:val="24"/>
        </w:rPr>
        <w:t>）</w:t>
      </w:r>
      <w:r w:rsidR="00C54C51" w:rsidRPr="00C54C51">
        <w:rPr>
          <w:rFonts w:ascii="宋体" w:eastAsia="宋体" w:hAnsi="宋体" w:cs="Arial" w:hint="eastAsia"/>
          <w:bCs/>
          <w:sz w:val="24"/>
          <w:szCs w:val="24"/>
        </w:rPr>
        <w:t>交易所市场交易的固定收益品种的估值</w:t>
      </w:r>
      <w:r w:rsidR="00C54C51" w:rsidRPr="00C54C51">
        <w:rPr>
          <w:rFonts w:ascii="宋体" w:eastAsia="宋体" w:hAnsi="宋体" w:cs="Arial"/>
          <w:bCs/>
          <w:sz w:val="24"/>
          <w:szCs w:val="24"/>
        </w:rPr>
        <w:t xml:space="preserve"> </w:t>
      </w:r>
    </w:p>
    <w:p w:rsidR="00C54C51" w:rsidRPr="00C54C51" w:rsidRDefault="00C54C51" w:rsidP="00C54C51">
      <w:pPr>
        <w:adjustRightInd w:val="0"/>
        <w:snapToGrid w:val="0"/>
        <w:spacing w:line="360" w:lineRule="auto"/>
        <w:ind w:firstLineChars="200" w:firstLine="480"/>
        <w:rPr>
          <w:rFonts w:ascii="宋体" w:eastAsia="宋体" w:hAnsi="宋体" w:cs="Arial"/>
          <w:bCs/>
          <w:sz w:val="24"/>
          <w:szCs w:val="24"/>
        </w:rPr>
      </w:pPr>
      <w:r w:rsidRPr="00C54C51">
        <w:rPr>
          <w:rFonts w:ascii="宋体" w:eastAsia="宋体" w:hAnsi="宋体" w:cs="Arial"/>
          <w:bCs/>
          <w:sz w:val="24"/>
          <w:szCs w:val="24"/>
        </w:rPr>
        <w:t>1</w:t>
      </w:r>
      <w:r w:rsidRPr="00C54C51">
        <w:rPr>
          <w:rFonts w:ascii="宋体" w:eastAsia="宋体" w:hAnsi="宋体" w:cs="Arial" w:hint="eastAsia"/>
          <w:bCs/>
          <w:sz w:val="24"/>
          <w:szCs w:val="24"/>
        </w:rPr>
        <w:t>）对在交易所市场上市交易或挂牌转让的固定收益品种（另有规定的除外），选取第三方估值机构提供的相应品种当日的估值净价进行估值；</w:t>
      </w:r>
      <w:r w:rsidRPr="00C54C51">
        <w:rPr>
          <w:rFonts w:ascii="宋体" w:eastAsia="宋体" w:hAnsi="宋体" w:cs="Arial"/>
          <w:bCs/>
          <w:sz w:val="24"/>
          <w:szCs w:val="24"/>
        </w:rPr>
        <w:t xml:space="preserve"> </w:t>
      </w:r>
    </w:p>
    <w:p w:rsidR="00C54C51" w:rsidRPr="00C54C51" w:rsidRDefault="00C54C51" w:rsidP="00C54C51">
      <w:pPr>
        <w:adjustRightInd w:val="0"/>
        <w:snapToGrid w:val="0"/>
        <w:spacing w:line="360" w:lineRule="auto"/>
        <w:ind w:firstLineChars="200" w:firstLine="480"/>
        <w:rPr>
          <w:rFonts w:ascii="宋体" w:eastAsia="宋体" w:hAnsi="宋体" w:cs="Arial"/>
          <w:bCs/>
          <w:sz w:val="24"/>
          <w:szCs w:val="24"/>
        </w:rPr>
      </w:pPr>
      <w:r w:rsidRPr="00C54C51">
        <w:rPr>
          <w:rFonts w:ascii="宋体" w:eastAsia="宋体" w:hAnsi="宋体" w:cs="Arial"/>
          <w:bCs/>
          <w:sz w:val="24"/>
          <w:szCs w:val="24"/>
        </w:rPr>
        <w:t>2</w:t>
      </w:r>
      <w:r w:rsidRPr="00C54C51">
        <w:rPr>
          <w:rFonts w:ascii="宋体" w:eastAsia="宋体" w:hAnsi="宋体" w:cs="Arial" w:hint="eastAsia"/>
          <w:bCs/>
          <w:sz w:val="24"/>
          <w:szCs w:val="24"/>
        </w:rPr>
        <w:t>）对在交易所市场上市交易的可转换债券，按估值日收盘价减去可转换债券收盘价中所含债券应收利息后得到的净价进行估值；</w:t>
      </w:r>
    </w:p>
    <w:p w:rsidR="00C54C51" w:rsidRPr="00C54C51" w:rsidRDefault="00C54C51" w:rsidP="00C54C51">
      <w:pPr>
        <w:adjustRightInd w:val="0"/>
        <w:snapToGrid w:val="0"/>
        <w:spacing w:line="360" w:lineRule="auto"/>
        <w:ind w:firstLineChars="200" w:firstLine="480"/>
        <w:rPr>
          <w:rFonts w:ascii="宋体" w:eastAsia="宋体" w:hAnsi="宋体" w:cs="Arial"/>
          <w:bCs/>
          <w:sz w:val="24"/>
          <w:szCs w:val="24"/>
        </w:rPr>
      </w:pPr>
      <w:r w:rsidRPr="00C54C51">
        <w:rPr>
          <w:rFonts w:ascii="宋体" w:eastAsia="宋体" w:hAnsi="宋体" w:cs="Arial"/>
          <w:bCs/>
          <w:sz w:val="24"/>
          <w:szCs w:val="24"/>
        </w:rPr>
        <w:t>3</w:t>
      </w:r>
      <w:r w:rsidRPr="00C54C51">
        <w:rPr>
          <w:rFonts w:ascii="宋体" w:eastAsia="宋体" w:hAnsi="宋体" w:cs="Arial" w:hint="eastAsia"/>
          <w:bCs/>
          <w:sz w:val="24"/>
          <w:szCs w:val="24"/>
        </w:rPr>
        <w:t>）对在交易所市场挂牌转让的资产支持证券和私募债券，采用估值技术确定公允价值，在估值技术难以可靠计量公允价值的情况下，按成本估值。</w:t>
      </w:r>
      <w:r w:rsidRPr="00C54C51">
        <w:rPr>
          <w:rFonts w:ascii="宋体" w:eastAsia="宋体" w:hAnsi="宋体" w:cs="Arial"/>
          <w:bCs/>
          <w:sz w:val="24"/>
          <w:szCs w:val="24"/>
        </w:rPr>
        <w:t xml:space="preserve"> </w:t>
      </w:r>
    </w:p>
    <w:p w:rsidR="00C54C51" w:rsidRPr="00C54C51" w:rsidRDefault="001361F4" w:rsidP="00C54C51">
      <w:pPr>
        <w:adjustRightInd w:val="0"/>
        <w:snapToGrid w:val="0"/>
        <w:spacing w:line="360" w:lineRule="auto"/>
        <w:ind w:firstLineChars="200" w:firstLine="480"/>
        <w:rPr>
          <w:rFonts w:ascii="宋体" w:eastAsia="宋体" w:hAnsi="宋体" w:cs="Arial"/>
          <w:bCs/>
          <w:sz w:val="24"/>
          <w:szCs w:val="24"/>
        </w:rPr>
      </w:pPr>
      <w:r>
        <w:rPr>
          <w:rFonts w:ascii="宋体" w:eastAsia="宋体" w:hAnsi="宋体" w:cs="Arial" w:hint="eastAsia"/>
          <w:bCs/>
          <w:sz w:val="24"/>
          <w:szCs w:val="24"/>
        </w:rPr>
        <w:t>（</w:t>
      </w:r>
      <w:r w:rsidR="00C54C51" w:rsidRPr="00C54C51">
        <w:rPr>
          <w:rFonts w:ascii="宋体" w:eastAsia="宋体" w:hAnsi="宋体" w:cs="Arial"/>
          <w:bCs/>
          <w:sz w:val="24"/>
          <w:szCs w:val="24"/>
        </w:rPr>
        <w:t>4</w:t>
      </w:r>
      <w:r>
        <w:rPr>
          <w:rFonts w:ascii="宋体" w:eastAsia="宋体" w:hAnsi="宋体" w:cs="Arial" w:hint="eastAsia"/>
          <w:bCs/>
          <w:sz w:val="24"/>
          <w:szCs w:val="24"/>
        </w:rPr>
        <w:t>）</w:t>
      </w:r>
      <w:r w:rsidR="00C54C51" w:rsidRPr="00C54C51">
        <w:rPr>
          <w:rFonts w:ascii="宋体" w:eastAsia="宋体" w:hAnsi="宋体" w:cs="Arial" w:hint="eastAsia"/>
          <w:bCs/>
          <w:sz w:val="24"/>
          <w:szCs w:val="24"/>
        </w:rPr>
        <w:t>银行间市场交易的固定收益品种，选取第三方估值机构提供的相应品种当日的估值净价进行估值。对银行间市场未上市，且第三方估值机构未提供估值价格的债券，按成本估值。</w:t>
      </w:r>
      <w:r w:rsidR="00C54C51" w:rsidRPr="00C54C51">
        <w:rPr>
          <w:rFonts w:ascii="宋体" w:eastAsia="宋体" w:hAnsi="宋体" w:cs="Arial"/>
          <w:bCs/>
          <w:sz w:val="24"/>
          <w:szCs w:val="24"/>
        </w:rPr>
        <w:t xml:space="preserve"> </w:t>
      </w:r>
    </w:p>
    <w:p w:rsidR="00C54C51" w:rsidRPr="00C54C51" w:rsidRDefault="001361F4" w:rsidP="00C54C51">
      <w:pPr>
        <w:adjustRightInd w:val="0"/>
        <w:snapToGrid w:val="0"/>
        <w:spacing w:line="360" w:lineRule="auto"/>
        <w:ind w:firstLineChars="200" w:firstLine="480"/>
        <w:rPr>
          <w:rFonts w:ascii="宋体" w:eastAsia="宋体" w:hAnsi="宋体" w:cs="Arial"/>
          <w:bCs/>
          <w:sz w:val="24"/>
          <w:szCs w:val="24"/>
        </w:rPr>
      </w:pPr>
      <w:r>
        <w:rPr>
          <w:rFonts w:ascii="宋体" w:eastAsia="宋体" w:hAnsi="宋体" w:cs="Arial" w:hint="eastAsia"/>
          <w:bCs/>
          <w:sz w:val="24"/>
          <w:szCs w:val="24"/>
        </w:rPr>
        <w:t>（</w:t>
      </w:r>
      <w:r w:rsidR="00C54C51" w:rsidRPr="00C54C51">
        <w:rPr>
          <w:rFonts w:ascii="宋体" w:eastAsia="宋体" w:hAnsi="宋体" w:cs="Arial"/>
          <w:bCs/>
          <w:sz w:val="24"/>
          <w:szCs w:val="24"/>
        </w:rPr>
        <w:t>5</w:t>
      </w:r>
      <w:r>
        <w:rPr>
          <w:rFonts w:ascii="宋体" w:eastAsia="宋体" w:hAnsi="宋体" w:cs="Arial" w:hint="eastAsia"/>
          <w:bCs/>
          <w:sz w:val="24"/>
          <w:szCs w:val="24"/>
        </w:rPr>
        <w:t>）</w:t>
      </w:r>
      <w:r w:rsidR="00C54C51" w:rsidRPr="00C54C51">
        <w:rPr>
          <w:rFonts w:ascii="宋体" w:eastAsia="宋体" w:hAnsi="宋体" w:cs="Arial" w:hint="eastAsia"/>
          <w:bCs/>
          <w:sz w:val="24"/>
          <w:szCs w:val="24"/>
        </w:rPr>
        <w:t>同一证券同时在两个或两个以上市场交易的，按证券所处的市场分别估值。</w:t>
      </w:r>
      <w:r w:rsidR="00C54C51" w:rsidRPr="00C54C51">
        <w:rPr>
          <w:rFonts w:ascii="宋体" w:eastAsia="宋体" w:hAnsi="宋体" w:cs="Arial"/>
          <w:bCs/>
          <w:sz w:val="24"/>
          <w:szCs w:val="24"/>
        </w:rPr>
        <w:t xml:space="preserve"> </w:t>
      </w:r>
    </w:p>
    <w:p w:rsidR="00C54C51" w:rsidRPr="00C54C51" w:rsidRDefault="001361F4" w:rsidP="00C54C51">
      <w:pPr>
        <w:adjustRightInd w:val="0"/>
        <w:snapToGrid w:val="0"/>
        <w:spacing w:line="360" w:lineRule="auto"/>
        <w:ind w:firstLineChars="200" w:firstLine="480"/>
        <w:rPr>
          <w:rFonts w:ascii="宋体" w:eastAsia="宋体" w:hAnsi="宋体" w:cs="Arial"/>
          <w:bCs/>
          <w:sz w:val="24"/>
          <w:szCs w:val="24"/>
        </w:rPr>
      </w:pPr>
      <w:r>
        <w:rPr>
          <w:rFonts w:ascii="宋体" w:eastAsia="宋体" w:hAnsi="宋体" w:cs="Arial" w:hint="eastAsia"/>
          <w:bCs/>
          <w:sz w:val="24"/>
          <w:szCs w:val="24"/>
        </w:rPr>
        <w:t>（</w:t>
      </w:r>
      <w:r w:rsidR="00C54C51" w:rsidRPr="00C54C51">
        <w:rPr>
          <w:rFonts w:ascii="宋体" w:eastAsia="宋体" w:hAnsi="宋体" w:cs="Arial"/>
          <w:bCs/>
          <w:sz w:val="24"/>
          <w:szCs w:val="24"/>
        </w:rPr>
        <w:t>6</w:t>
      </w:r>
      <w:r>
        <w:rPr>
          <w:rFonts w:ascii="宋体" w:eastAsia="宋体" w:hAnsi="宋体" w:cs="Arial" w:hint="eastAsia"/>
          <w:bCs/>
          <w:sz w:val="24"/>
          <w:szCs w:val="24"/>
        </w:rPr>
        <w:t>）</w:t>
      </w:r>
      <w:r w:rsidR="00C54C51" w:rsidRPr="00C54C51">
        <w:rPr>
          <w:rFonts w:ascii="宋体" w:eastAsia="宋体" w:hAnsi="宋体" w:cs="Arial" w:hint="eastAsia"/>
          <w:bCs/>
          <w:sz w:val="24"/>
          <w:szCs w:val="24"/>
        </w:rPr>
        <w:t>因持有股票而享有的配股权，采用估值技术确定公允价值，在估值技术</w:t>
      </w:r>
      <w:r w:rsidR="00C54C51" w:rsidRPr="00C54C51">
        <w:rPr>
          <w:rFonts w:ascii="宋体" w:eastAsia="宋体" w:hAnsi="宋体" w:cs="Arial" w:hint="eastAsia"/>
          <w:bCs/>
          <w:sz w:val="24"/>
          <w:szCs w:val="24"/>
        </w:rPr>
        <w:lastRenderedPageBreak/>
        <w:t>难以可靠计量公允价值的情况下，按成本估值。</w:t>
      </w:r>
      <w:r w:rsidR="00C54C51" w:rsidRPr="00C54C51">
        <w:rPr>
          <w:rFonts w:ascii="宋体" w:eastAsia="宋体" w:hAnsi="宋体" w:cs="Arial"/>
          <w:bCs/>
          <w:sz w:val="24"/>
          <w:szCs w:val="24"/>
        </w:rPr>
        <w:t xml:space="preserve"> </w:t>
      </w:r>
    </w:p>
    <w:p w:rsidR="00C54C51" w:rsidRPr="00C54C51" w:rsidRDefault="001361F4" w:rsidP="00C54C51">
      <w:pPr>
        <w:adjustRightInd w:val="0"/>
        <w:snapToGrid w:val="0"/>
        <w:spacing w:line="360" w:lineRule="auto"/>
        <w:ind w:firstLineChars="200" w:firstLine="480"/>
        <w:rPr>
          <w:rFonts w:ascii="宋体" w:eastAsia="宋体" w:hAnsi="宋体" w:cs="Arial"/>
          <w:bCs/>
          <w:sz w:val="24"/>
          <w:szCs w:val="24"/>
        </w:rPr>
      </w:pPr>
      <w:r>
        <w:rPr>
          <w:rFonts w:ascii="宋体" w:eastAsia="宋体" w:hAnsi="宋体" w:cs="Arial" w:hint="eastAsia"/>
          <w:bCs/>
          <w:sz w:val="24"/>
          <w:szCs w:val="24"/>
        </w:rPr>
        <w:t>（</w:t>
      </w:r>
      <w:r w:rsidR="002E373E">
        <w:rPr>
          <w:rFonts w:ascii="宋体" w:eastAsia="宋体" w:hAnsi="宋体" w:cs="Arial" w:hint="eastAsia"/>
          <w:bCs/>
          <w:sz w:val="24"/>
          <w:szCs w:val="24"/>
        </w:rPr>
        <w:t>7</w:t>
      </w:r>
      <w:r>
        <w:rPr>
          <w:rFonts w:ascii="宋体" w:eastAsia="宋体" w:hAnsi="宋体" w:cs="Arial" w:hint="eastAsia"/>
          <w:bCs/>
          <w:sz w:val="24"/>
          <w:szCs w:val="24"/>
        </w:rPr>
        <w:t>）</w:t>
      </w:r>
      <w:r w:rsidR="00C54C51" w:rsidRPr="00C54C51">
        <w:rPr>
          <w:rFonts w:ascii="宋体" w:eastAsia="宋体" w:hAnsi="宋体" w:cs="Arial" w:hint="eastAsia"/>
          <w:bCs/>
          <w:sz w:val="24"/>
          <w:szCs w:val="24"/>
        </w:rPr>
        <w:t>国债期货合约以估值日的结算价估值。估值当日无结算价的，且最近交易日后经济环境未发生重大变化的，采用最近交易日结算价估值。如法律法规今后另有规定的，从其规定。</w:t>
      </w:r>
      <w:r w:rsidR="00C54C51" w:rsidRPr="00C54C51">
        <w:rPr>
          <w:rFonts w:ascii="宋体" w:eastAsia="宋体" w:hAnsi="宋体" w:cs="Arial"/>
          <w:bCs/>
          <w:sz w:val="24"/>
          <w:szCs w:val="24"/>
        </w:rPr>
        <w:t> </w:t>
      </w:r>
    </w:p>
    <w:p w:rsidR="00C54C51" w:rsidRPr="00C54C51" w:rsidRDefault="001361F4" w:rsidP="00C54C51">
      <w:pPr>
        <w:adjustRightInd w:val="0"/>
        <w:snapToGrid w:val="0"/>
        <w:spacing w:line="360" w:lineRule="auto"/>
        <w:ind w:firstLineChars="200" w:firstLine="480"/>
        <w:rPr>
          <w:rFonts w:ascii="宋体" w:eastAsia="宋体" w:hAnsi="宋体" w:cs="Arial"/>
          <w:bCs/>
          <w:sz w:val="24"/>
          <w:szCs w:val="24"/>
        </w:rPr>
      </w:pPr>
      <w:r>
        <w:rPr>
          <w:rFonts w:ascii="宋体" w:eastAsia="宋体" w:hAnsi="宋体" w:cs="Arial" w:hint="eastAsia"/>
          <w:bCs/>
          <w:sz w:val="24"/>
          <w:szCs w:val="24"/>
        </w:rPr>
        <w:t>（</w:t>
      </w:r>
      <w:r w:rsidR="002E373E">
        <w:rPr>
          <w:rFonts w:ascii="宋体" w:eastAsia="宋体" w:hAnsi="宋体" w:cs="Arial" w:hint="eastAsia"/>
          <w:bCs/>
          <w:sz w:val="24"/>
          <w:szCs w:val="24"/>
        </w:rPr>
        <w:t>8</w:t>
      </w:r>
      <w:r>
        <w:rPr>
          <w:rFonts w:ascii="宋体" w:eastAsia="宋体" w:hAnsi="宋体" w:cs="Arial" w:hint="eastAsia"/>
          <w:bCs/>
          <w:sz w:val="24"/>
          <w:szCs w:val="24"/>
        </w:rPr>
        <w:t>）</w:t>
      </w:r>
      <w:r w:rsidR="00C54C51" w:rsidRPr="00C54C51">
        <w:rPr>
          <w:rFonts w:ascii="宋体" w:eastAsia="宋体" w:hAnsi="宋体" w:cs="Arial" w:hint="eastAsia"/>
          <w:bCs/>
          <w:sz w:val="24"/>
          <w:szCs w:val="24"/>
        </w:rPr>
        <w:t>如有确凿证据表明按上述方法进行估值不能客观反映其公允价值的，基金管理人可根据具体情况与基金托管人商定后，按最能反映公允价值的价格估值。</w:t>
      </w:r>
      <w:r w:rsidR="00C54C51" w:rsidRPr="00C54C51">
        <w:rPr>
          <w:rFonts w:ascii="宋体" w:eastAsia="宋体" w:hAnsi="宋体" w:cs="Arial"/>
          <w:bCs/>
          <w:sz w:val="24"/>
          <w:szCs w:val="24"/>
        </w:rPr>
        <w:t xml:space="preserve"> </w:t>
      </w:r>
    </w:p>
    <w:p w:rsidR="00C54C51" w:rsidRPr="00C54C51" w:rsidRDefault="001361F4" w:rsidP="00C54C51">
      <w:pPr>
        <w:adjustRightInd w:val="0"/>
        <w:snapToGrid w:val="0"/>
        <w:spacing w:line="360" w:lineRule="auto"/>
        <w:ind w:firstLineChars="200" w:firstLine="480"/>
        <w:rPr>
          <w:rFonts w:ascii="宋体" w:eastAsia="宋体" w:hAnsi="宋体" w:cs="Arial"/>
          <w:bCs/>
          <w:sz w:val="24"/>
          <w:szCs w:val="24"/>
        </w:rPr>
      </w:pPr>
      <w:r>
        <w:rPr>
          <w:rFonts w:ascii="宋体" w:eastAsia="宋体" w:hAnsi="宋体" w:cs="Arial" w:hint="eastAsia"/>
          <w:bCs/>
          <w:sz w:val="24"/>
          <w:szCs w:val="24"/>
        </w:rPr>
        <w:t>（</w:t>
      </w:r>
      <w:r w:rsidR="002E373E">
        <w:rPr>
          <w:rFonts w:ascii="宋体" w:eastAsia="宋体" w:hAnsi="宋体" w:cs="Arial" w:hint="eastAsia"/>
          <w:bCs/>
          <w:sz w:val="24"/>
          <w:szCs w:val="24"/>
        </w:rPr>
        <w:t>9</w:t>
      </w:r>
      <w:r>
        <w:rPr>
          <w:rFonts w:ascii="宋体" w:eastAsia="宋体" w:hAnsi="宋体" w:cs="Arial" w:hint="eastAsia"/>
          <w:bCs/>
          <w:sz w:val="24"/>
          <w:szCs w:val="24"/>
        </w:rPr>
        <w:t>）</w:t>
      </w:r>
      <w:r w:rsidR="00C54C51" w:rsidRPr="00C54C51">
        <w:rPr>
          <w:rFonts w:ascii="宋体" w:eastAsia="宋体" w:hAnsi="宋体" w:cs="Arial" w:hint="eastAsia"/>
          <w:bCs/>
          <w:sz w:val="24"/>
          <w:szCs w:val="24"/>
        </w:rPr>
        <w:t>相关法律法规以及监管部门有强制规定的，从其规定。如有新增事项，按国家最新规定估值。</w:t>
      </w:r>
      <w:r w:rsidR="00C54C51" w:rsidRPr="00C54C51">
        <w:rPr>
          <w:rFonts w:ascii="宋体" w:eastAsia="宋体" w:hAnsi="宋体" w:cs="Arial"/>
          <w:bCs/>
          <w:sz w:val="24"/>
          <w:szCs w:val="24"/>
        </w:rPr>
        <w:t xml:space="preserve"> </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4D4BDB" w:rsidRPr="004D4BDB" w:rsidRDefault="004D4BDB" w:rsidP="004D4BDB">
      <w:pPr>
        <w:adjustRightInd w:val="0"/>
        <w:snapToGrid w:val="0"/>
        <w:spacing w:line="360" w:lineRule="auto"/>
        <w:ind w:firstLine="480"/>
        <w:rPr>
          <w:rFonts w:ascii="宋体" w:eastAsia="宋体" w:hAnsi="宋体" w:cs="Times New Roman"/>
          <w:sz w:val="24"/>
          <w:szCs w:val="21"/>
        </w:rPr>
      </w:pPr>
      <w:r w:rsidRPr="004D4BDB">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D4BDB" w:rsidRPr="004D4BDB" w:rsidRDefault="004D4BDB" w:rsidP="004D4BDB">
      <w:pPr>
        <w:adjustRightInd w:val="0"/>
        <w:snapToGrid w:val="0"/>
        <w:spacing w:line="360" w:lineRule="auto"/>
        <w:ind w:firstLine="480"/>
        <w:rPr>
          <w:rFonts w:ascii="宋体" w:eastAsia="宋体" w:hAnsi="宋体" w:cs="Times New Roman"/>
          <w:sz w:val="24"/>
          <w:szCs w:val="21"/>
        </w:rPr>
      </w:pPr>
      <w:r w:rsidRPr="004D4BDB">
        <w:rPr>
          <w:rFonts w:ascii="宋体" w:eastAsia="宋体" w:hAnsi="宋体" w:cs="Times New Roman" w:hint="eastAsia"/>
          <w:sz w:val="24"/>
          <w:szCs w:val="21"/>
        </w:rPr>
        <w:t>基金管理人和基金托管人由于各自技术系统设置而产生的净值计算尾差，以基金管理人计算结果为准。</w:t>
      </w:r>
    </w:p>
    <w:p w:rsidR="004D4BDB" w:rsidRPr="004D4BDB" w:rsidRDefault="004D4BDB" w:rsidP="004D4BDB">
      <w:pPr>
        <w:adjustRightInd w:val="0"/>
        <w:snapToGrid w:val="0"/>
        <w:spacing w:line="360" w:lineRule="auto"/>
        <w:ind w:firstLine="480"/>
        <w:rPr>
          <w:rFonts w:ascii="宋体" w:eastAsia="宋体" w:hAnsi="宋体" w:cs="Arial"/>
          <w:sz w:val="24"/>
          <w:szCs w:val="24"/>
        </w:rPr>
      </w:pPr>
      <w:r w:rsidRPr="004D4BDB">
        <w:rPr>
          <w:rFonts w:ascii="宋体" w:eastAsia="宋体" w:hAnsi="宋体" w:cs="Arial" w:hint="eastAsia"/>
          <w:sz w:val="24"/>
          <w:szCs w:val="24"/>
        </w:rPr>
        <w:t>3.特殊情形的处理</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Arial" w:hint="eastAsia"/>
          <w:sz w:val="24"/>
          <w:szCs w:val="24"/>
        </w:rPr>
        <w:t>基金管理人、基金托管人按估值方法的第(</w:t>
      </w:r>
      <w:r w:rsidR="002E373E">
        <w:rPr>
          <w:rFonts w:ascii="宋体" w:eastAsia="宋体" w:hAnsi="宋体" w:cs="Arial" w:hint="eastAsia"/>
          <w:sz w:val="24"/>
          <w:szCs w:val="24"/>
        </w:rPr>
        <w:t>8</w:t>
      </w:r>
      <w:r w:rsidRPr="004D4BDB">
        <w:rPr>
          <w:rFonts w:ascii="宋体" w:eastAsia="宋体" w:hAnsi="宋体" w:cs="Arial" w:hint="eastAsia"/>
          <w:sz w:val="24"/>
          <w:szCs w:val="24"/>
        </w:rPr>
        <w:t>)项进行估值时，所造成的误差不作为基金份</w:t>
      </w:r>
      <w:r w:rsidRPr="004D4BDB">
        <w:rPr>
          <w:rFonts w:ascii="宋体" w:eastAsia="宋体" w:hAnsi="宋体" w:cs="Times New Roman" w:hint="eastAsia"/>
          <w:sz w:val="24"/>
          <w:szCs w:val="24"/>
        </w:rPr>
        <w:t>额净值错误处理。</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（三）基金份额净值错误的处理方式</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w:t>
      </w:r>
      <w:r w:rsidRPr="004D4BDB">
        <w:rPr>
          <w:rFonts w:ascii="宋体" w:eastAsia="宋体" w:hAnsi="宋体" w:cs="Times New Roman" w:hint="eastAsia"/>
          <w:sz w:val="24"/>
          <w:szCs w:val="24"/>
        </w:rPr>
        <w:lastRenderedPageBreak/>
        <w:t>0.25%时，基金管理人应当通报基金托管人并报中国证监会备案</w:t>
      </w:r>
      <w:r w:rsidRPr="004D4BDB">
        <w:rPr>
          <w:rFonts w:ascii="宋体" w:eastAsia="宋体" w:hAnsi="宋体" w:cs="Arial" w:hint="eastAsia"/>
          <w:sz w:val="24"/>
          <w:szCs w:val="24"/>
        </w:rPr>
        <w:t>；错误偏差达到基金份额净值的</w:t>
      </w:r>
      <w:r w:rsidRPr="004D4BDB">
        <w:rPr>
          <w:rFonts w:ascii="宋体" w:eastAsia="宋体" w:hAnsi="宋体" w:cs="Times New Roman" w:hint="eastAsia"/>
          <w:sz w:val="24"/>
          <w:szCs w:val="24"/>
        </w:rPr>
        <w:t>0.5%时，基金管理人应当公告并报中国证监会备案；当发生净值计算错误时，由基金管理人负责处理，由此给基金份额持有人和基金造成损失的，可由基金管理人先行赔付，基金管理人按差错情形，有权向其他当事人追偿。</w:t>
      </w:r>
    </w:p>
    <w:p w:rsidR="004D4BDB" w:rsidRPr="004D4BDB" w:rsidRDefault="004D4BDB" w:rsidP="004D4BDB">
      <w:pPr>
        <w:adjustRightInd w:val="0"/>
        <w:snapToGrid w:val="0"/>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D4BDB">
        <w:rPr>
          <w:rFonts w:ascii="宋体" w:eastAsia="宋体" w:hAnsi="宋体" w:cs="Arial" w:hint="eastAsia"/>
          <w:sz w:val="24"/>
          <w:szCs w:val="24"/>
        </w:rPr>
        <w:t>损失，由基金管理人负责赔付。</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w:t>
      </w:r>
      <w:r w:rsidRPr="004D4BDB">
        <w:rPr>
          <w:rFonts w:ascii="宋体" w:eastAsia="宋体" w:hAnsi="宋体"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(4)</w:t>
      </w:r>
      <w:r w:rsidRPr="004D4BDB">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4.基金管理人和基金托管人由于各自技术系统设置而产生的净值计算尾差，以基金管理人计算结果为准。</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5.前述内容如法律法规或者监管部门另有规定的，从其规定。如果行业另有</w:t>
      </w:r>
      <w:r w:rsidRPr="004D4BDB">
        <w:rPr>
          <w:rFonts w:ascii="宋体" w:eastAsia="宋体" w:hAnsi="宋体" w:cs="Arial" w:hint="eastAsia"/>
          <w:sz w:val="24"/>
          <w:szCs w:val="24"/>
        </w:rPr>
        <w:lastRenderedPageBreak/>
        <w:t>通行做法，双方当事人应本着平等和保护基金份额持有人利益的原则进行协商。</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（四）暂停估值与公告基金份额净值的情形</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1.基金投资所涉及的证券交易市场遇法定节假日或因其他原因暂停营业时；</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2.因不可抗力致使基金管理人、基金托管人无法准确评估基金资产价值时；</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3.中国证监会和《基金合同》认定的其他情形。</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（五）基金会计制度</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按国家有关部门规定的会计制度执行。</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（六）基金账册的建立</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（七）基金财务报表与报告的编制和复核</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1.财务报表的编制</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基金财务报表由基金管理人编制，基金托管人复核。</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2.报表复核</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3.财务报表的编制与复核时间安排</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(1)报表的编制</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(2)报表的复核</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lastRenderedPageBreak/>
        <w:t>基金管理人应留足充分的时间，便于基金托管人复核相关报表及报告。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rsidR="004D4BDB" w:rsidRPr="004D4BDB" w:rsidRDefault="004D4BDB" w:rsidP="004D4BDB">
      <w:pPr>
        <w:adjustRightInd w:val="0"/>
        <w:snapToGrid w:val="0"/>
        <w:spacing w:line="360" w:lineRule="auto"/>
        <w:rPr>
          <w:rFonts w:ascii="宋体" w:eastAsia="宋体" w:hAnsi="宋体" w:cs="Arial"/>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87" w:name="_Toc124325893"/>
      <w:proofErr w:type="spellStart"/>
      <w:r w:rsidRPr="004D4BDB">
        <w:rPr>
          <w:rFonts w:ascii="宋体" w:eastAsia="宋体" w:hAnsi="宋体" w:cs="Times New Roman" w:hint="eastAsia"/>
          <w:b/>
          <w:kern w:val="0"/>
          <w:sz w:val="30"/>
          <w:szCs w:val="20"/>
          <w:lang w:val="x-none" w:eastAsia="x-none"/>
        </w:rPr>
        <w:t>九、基金收益分配</w:t>
      </w:r>
      <w:bookmarkEnd w:id="87"/>
      <w:proofErr w:type="spellEnd"/>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基金收益分配是指按规定将基金的可分配收益按基金份额进行比例分配。</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（一）基金收益分配的原则</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基金收益分配应遵循下列原则：</w:t>
      </w:r>
    </w:p>
    <w:p w:rsidR="00263783" w:rsidRPr="00263783" w:rsidRDefault="00263783" w:rsidP="00263783">
      <w:pPr>
        <w:adjustRightInd w:val="0"/>
        <w:snapToGrid w:val="0"/>
        <w:spacing w:line="360" w:lineRule="auto"/>
        <w:ind w:firstLineChars="200" w:firstLine="480"/>
        <w:outlineLvl w:val="0"/>
        <w:rPr>
          <w:rFonts w:ascii="宋体" w:eastAsia="宋体" w:hAnsi="宋体" w:cs="Arial"/>
          <w:sz w:val="24"/>
          <w:szCs w:val="24"/>
        </w:rPr>
      </w:pPr>
      <w:r w:rsidRPr="00263783">
        <w:rPr>
          <w:rFonts w:ascii="宋体" w:eastAsia="宋体" w:hAnsi="宋体" w:cs="Arial" w:hint="eastAsia"/>
          <w:sz w:val="24"/>
          <w:szCs w:val="24"/>
        </w:rPr>
        <w:t>1、在符合有关基金分红条件的前提下，本基金每年收益分配次数最多为12次，每次收益分配比例不得低于该次可供分配利润的50%，若《基金合同》生效不满3个月可不进行收益分配；</w:t>
      </w:r>
    </w:p>
    <w:p w:rsidR="00263783" w:rsidRPr="00263783" w:rsidRDefault="00263783" w:rsidP="00263783">
      <w:pPr>
        <w:adjustRightInd w:val="0"/>
        <w:snapToGrid w:val="0"/>
        <w:spacing w:line="360" w:lineRule="auto"/>
        <w:ind w:firstLineChars="200" w:firstLine="480"/>
        <w:outlineLvl w:val="0"/>
        <w:rPr>
          <w:rFonts w:ascii="宋体" w:eastAsia="宋体" w:hAnsi="宋体" w:cs="Arial"/>
          <w:sz w:val="24"/>
          <w:szCs w:val="24"/>
        </w:rPr>
      </w:pPr>
      <w:r w:rsidRPr="00263783">
        <w:rPr>
          <w:rFonts w:ascii="宋体" w:eastAsia="宋体" w:hAnsi="宋体" w:cs="Arial" w:hint="eastAsia"/>
          <w:sz w:val="24"/>
          <w:szCs w:val="24"/>
        </w:rPr>
        <w:t>2、本基金收益分配方式分两种：现金分红与红利再投资，投资者可选择现金红利或将现金红利自动转为基金份额进行再投资；若投资者不选择，本基金默认的收益分配方式是现金分红；</w:t>
      </w:r>
    </w:p>
    <w:p w:rsidR="00263783" w:rsidRPr="00263783" w:rsidRDefault="00263783" w:rsidP="00263783">
      <w:pPr>
        <w:adjustRightInd w:val="0"/>
        <w:snapToGrid w:val="0"/>
        <w:spacing w:line="360" w:lineRule="auto"/>
        <w:ind w:firstLineChars="200" w:firstLine="480"/>
        <w:outlineLvl w:val="0"/>
        <w:rPr>
          <w:rFonts w:ascii="宋体" w:eastAsia="宋体" w:hAnsi="宋体" w:cs="Arial"/>
          <w:sz w:val="24"/>
          <w:szCs w:val="24"/>
        </w:rPr>
      </w:pPr>
      <w:r w:rsidRPr="00263783">
        <w:rPr>
          <w:rFonts w:ascii="宋体" w:eastAsia="宋体" w:hAnsi="宋体" w:cs="Arial" w:hint="eastAsia"/>
          <w:sz w:val="24"/>
          <w:szCs w:val="24"/>
        </w:rPr>
        <w:t>3、基金收益分配后基金份额净值不能低于面值；即基金收益分配基准日的基金份额净值减去每单位基金份额收益分配金额后不能低于面值；</w:t>
      </w:r>
    </w:p>
    <w:p w:rsidR="00263783" w:rsidRPr="00263783" w:rsidRDefault="00263783" w:rsidP="00263783">
      <w:pPr>
        <w:adjustRightInd w:val="0"/>
        <w:snapToGrid w:val="0"/>
        <w:spacing w:line="360" w:lineRule="auto"/>
        <w:ind w:firstLineChars="200" w:firstLine="480"/>
        <w:outlineLvl w:val="0"/>
        <w:rPr>
          <w:rFonts w:ascii="宋体" w:eastAsia="宋体" w:hAnsi="宋体" w:cs="Arial"/>
          <w:sz w:val="24"/>
          <w:szCs w:val="24"/>
        </w:rPr>
      </w:pPr>
      <w:r w:rsidRPr="00263783">
        <w:rPr>
          <w:rFonts w:ascii="宋体" w:eastAsia="宋体" w:hAnsi="宋体" w:cs="Arial" w:hint="eastAsia"/>
          <w:sz w:val="24"/>
          <w:szCs w:val="24"/>
        </w:rPr>
        <w:t>4、由于本基金A类基金份额不收取销售服务费，而C类基金份额收取销售服务费，各基金份额类别对应的可分配收益将有所不同。本基金同一类别的每一基金份额享有同等分配权；</w:t>
      </w:r>
    </w:p>
    <w:p w:rsidR="00263783" w:rsidRPr="004D4BDB" w:rsidRDefault="00263783" w:rsidP="00263783">
      <w:pPr>
        <w:adjustRightInd w:val="0"/>
        <w:snapToGrid w:val="0"/>
        <w:spacing w:line="360" w:lineRule="auto"/>
        <w:ind w:firstLineChars="200" w:firstLine="480"/>
        <w:outlineLvl w:val="0"/>
        <w:rPr>
          <w:rFonts w:ascii="宋体" w:eastAsia="宋体" w:hAnsi="宋体" w:cs="Arial"/>
          <w:sz w:val="24"/>
          <w:szCs w:val="24"/>
        </w:rPr>
      </w:pPr>
      <w:r w:rsidRPr="00263783">
        <w:rPr>
          <w:rFonts w:ascii="宋体" w:eastAsia="宋体" w:hAnsi="宋体" w:cs="Arial" w:hint="eastAsia"/>
          <w:sz w:val="24"/>
          <w:szCs w:val="24"/>
        </w:rPr>
        <w:t>5、法律法规或监管机关另有规定的，从其规定。</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（二）基金收益分配的时间和程序</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本基金收益分配方案由基金管理人拟订，并由基金托管人复核，在2个工作日内在指定媒体公告并报中国证监会备案。</w:t>
      </w:r>
      <w:r w:rsidRPr="004D4BDB">
        <w:rPr>
          <w:rFonts w:ascii="宋体" w:eastAsia="宋体" w:hAnsi="宋体" w:cs="Times New Roman" w:hint="eastAsia"/>
          <w:sz w:val="24"/>
          <w:szCs w:val="24"/>
        </w:rPr>
        <w:t>基金红利发放日距离收益分配基准日（即可供分配利润计算截止日）的时间不得超过15个工作日。</w:t>
      </w:r>
      <w:r w:rsidRPr="004D4BDB">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基金收益分配时所发生的银行转账或其他手续费用由投资者自行承担。当投资者的现金红利小于一定金额，不足以支付银行转账或其他手续费用时，基金登</w:t>
      </w:r>
      <w:r w:rsidRPr="004D4BDB">
        <w:rPr>
          <w:rFonts w:ascii="宋体" w:eastAsia="宋体" w:hAnsi="宋体" w:cs="Arial" w:hint="eastAsia"/>
          <w:sz w:val="24"/>
          <w:szCs w:val="24"/>
        </w:rPr>
        <w:lastRenderedPageBreak/>
        <w:t>记机构可将基金份额持有人的现金红利自动转为基金份额。红利再投资的计算方法，依照《业务规则》执行。</w:t>
      </w:r>
    </w:p>
    <w:p w:rsidR="004D4BDB" w:rsidRPr="004D4BDB" w:rsidRDefault="004D4BDB" w:rsidP="004D4BDB">
      <w:pPr>
        <w:adjustRightInd w:val="0"/>
        <w:snapToGrid w:val="0"/>
        <w:spacing w:line="360" w:lineRule="auto"/>
        <w:rPr>
          <w:rFonts w:ascii="宋体" w:eastAsia="宋体" w:hAnsi="宋体" w:cs="Arial"/>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88" w:name="_Toc124325894"/>
      <w:proofErr w:type="spellStart"/>
      <w:r w:rsidRPr="004D4BDB">
        <w:rPr>
          <w:rFonts w:ascii="宋体" w:eastAsia="宋体" w:hAnsi="宋体" w:cs="Times New Roman" w:hint="eastAsia"/>
          <w:b/>
          <w:kern w:val="0"/>
          <w:sz w:val="30"/>
          <w:szCs w:val="20"/>
          <w:lang w:val="x-none" w:eastAsia="x-none"/>
        </w:rPr>
        <w:t>十、基金信息披露</w:t>
      </w:r>
      <w:bookmarkEnd w:id="88"/>
      <w:proofErr w:type="spellEnd"/>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（一）保密义务</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1.非因基金管理人和基金托管人的原因导致保密信息被披露、泄露或公开；</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（二）信息披露的内容</w:t>
      </w:r>
    </w:p>
    <w:p w:rsidR="004D4BDB" w:rsidRPr="004D4BDB" w:rsidRDefault="004D4BDB" w:rsidP="004D4BDB">
      <w:pPr>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（三）基金托管人和基金管理人在信息披露中的职责和信息披露程序</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1.职责</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对于不需要基金托管人复核的信息，基金管理人在公告前应告知基金托管人。</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lastRenderedPageBreak/>
        <w:t>基金管理人和基金托管人应积极配合、互相监督，保证其履行按照法定方式和限时披露的义务。</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当出现下述情况时，基金管理人和基金托管人可暂停或延迟披露基金相关信息：</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(1)不可抗力；</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(2)基金投资所涉及的证券交易市场遇法定节假日或因其他原因暂停营业时；</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(3)出现基金管理人认为属于会导致基金管理人不能出售或评估基金资产的紧急事故的任何情况；</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(4)法律法规、《基金合同》或中国证监会规定的情况。</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2.程序</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3.信息文本的存放</w:t>
      </w:r>
    </w:p>
    <w:p w:rsidR="004D4BDB" w:rsidRPr="004D4BDB" w:rsidRDefault="004D4BDB" w:rsidP="004D4BDB">
      <w:pPr>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4D4BDB" w:rsidRPr="004D4BDB" w:rsidRDefault="004D4BDB" w:rsidP="004D4BDB">
      <w:pPr>
        <w:spacing w:line="360" w:lineRule="auto"/>
        <w:rPr>
          <w:rFonts w:ascii="宋体" w:eastAsia="宋体" w:hAnsi="宋体" w:cs="Arial"/>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89" w:name="_Toc124325895"/>
      <w:proofErr w:type="spellStart"/>
      <w:r w:rsidRPr="004D4BDB">
        <w:rPr>
          <w:rFonts w:ascii="宋体" w:eastAsia="宋体" w:hAnsi="宋体" w:cs="Times New Roman" w:hint="eastAsia"/>
          <w:b/>
          <w:kern w:val="0"/>
          <w:sz w:val="30"/>
          <w:szCs w:val="20"/>
          <w:lang w:val="x-none" w:eastAsia="x-none"/>
        </w:rPr>
        <w:t>十一、基金费用</w:t>
      </w:r>
      <w:bookmarkEnd w:id="89"/>
      <w:proofErr w:type="spellEnd"/>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（一）基金管理费的计提比例和计提方法</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本基金的管理费按前一日基金资产净值的</w:t>
      </w:r>
      <w:r w:rsidR="0096193D">
        <w:rPr>
          <w:rFonts w:ascii="宋体" w:eastAsia="宋体" w:hAnsi="宋体" w:cs="Arial" w:hint="eastAsia"/>
          <w:sz w:val="24"/>
          <w:szCs w:val="24"/>
        </w:rPr>
        <w:t>0.50</w:t>
      </w:r>
      <w:r w:rsidRPr="004D4BDB">
        <w:rPr>
          <w:rFonts w:ascii="宋体" w:eastAsia="宋体" w:hAnsi="宋体" w:cs="Arial" w:hint="eastAsia"/>
          <w:sz w:val="24"/>
          <w:szCs w:val="24"/>
        </w:rPr>
        <w:t>%年费率计提。管理费的计算方法如下：</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H＝E×</w:t>
      </w:r>
      <w:r w:rsidR="0096193D">
        <w:rPr>
          <w:rFonts w:ascii="宋体" w:eastAsia="宋体" w:hAnsi="宋体" w:cs="Arial" w:hint="eastAsia"/>
          <w:sz w:val="24"/>
          <w:szCs w:val="24"/>
        </w:rPr>
        <w:t>0.50</w:t>
      </w:r>
      <w:r w:rsidRPr="004D4BDB">
        <w:rPr>
          <w:rFonts w:ascii="宋体" w:eastAsia="宋体" w:hAnsi="宋体" w:cs="Arial" w:hint="eastAsia"/>
          <w:sz w:val="24"/>
          <w:szCs w:val="24"/>
        </w:rPr>
        <w:t>%÷当年天数</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H为每日应计提的基金管理费</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E为前一日的基金资产净值</w:t>
      </w:r>
    </w:p>
    <w:p w:rsidR="004D4BDB" w:rsidRPr="004D4BDB" w:rsidRDefault="004D4BDB" w:rsidP="00866014">
      <w:pPr>
        <w:adjustRightInd w:val="0"/>
        <w:snapToGrid w:val="0"/>
        <w:spacing w:line="360" w:lineRule="auto"/>
        <w:ind w:leftChars="200" w:left="420"/>
        <w:rPr>
          <w:rFonts w:ascii="宋体" w:eastAsia="宋体" w:hAnsi="宋体" w:cs="Arial"/>
          <w:sz w:val="24"/>
          <w:szCs w:val="24"/>
        </w:rPr>
      </w:pPr>
      <w:r w:rsidRPr="004D4BDB">
        <w:rPr>
          <w:rFonts w:ascii="宋体" w:eastAsia="宋体" w:hAnsi="宋体" w:cs="Arial" w:hint="eastAsia"/>
          <w:sz w:val="24"/>
          <w:szCs w:val="24"/>
        </w:rPr>
        <w:lastRenderedPageBreak/>
        <w:t>（二）基金托管费的计提比例和计提方法</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本基金的托管费按前一日基金资产净值的</w:t>
      </w:r>
      <w:r w:rsidR="0096193D">
        <w:rPr>
          <w:rFonts w:ascii="宋体" w:eastAsia="宋体" w:hAnsi="宋体" w:cs="Arial" w:hint="eastAsia"/>
          <w:sz w:val="24"/>
          <w:szCs w:val="24"/>
        </w:rPr>
        <w:t>0.1</w:t>
      </w:r>
      <w:r w:rsidR="006D4F5D">
        <w:rPr>
          <w:rFonts w:ascii="宋体" w:eastAsia="宋体" w:hAnsi="宋体" w:cs="Arial" w:hint="eastAsia"/>
          <w:sz w:val="24"/>
          <w:szCs w:val="24"/>
        </w:rPr>
        <w:t>5</w:t>
      </w:r>
      <w:r w:rsidRPr="004D4BDB">
        <w:rPr>
          <w:rFonts w:ascii="宋体" w:eastAsia="宋体" w:hAnsi="宋体" w:cs="Arial" w:hint="eastAsia"/>
          <w:sz w:val="24"/>
          <w:szCs w:val="24"/>
        </w:rPr>
        <w:t>%年费率计提。托管费的计算方法如下：</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H＝E×</w:t>
      </w:r>
      <w:r w:rsidR="0096193D">
        <w:rPr>
          <w:rFonts w:ascii="宋体" w:eastAsia="宋体" w:hAnsi="宋体" w:cs="Arial" w:hint="eastAsia"/>
          <w:sz w:val="24"/>
          <w:szCs w:val="24"/>
        </w:rPr>
        <w:t>0.1</w:t>
      </w:r>
      <w:r w:rsidR="006D4F5D">
        <w:rPr>
          <w:rFonts w:ascii="宋体" w:eastAsia="宋体" w:hAnsi="宋体" w:cs="Arial" w:hint="eastAsia"/>
          <w:sz w:val="24"/>
          <w:szCs w:val="24"/>
        </w:rPr>
        <w:t>5</w:t>
      </w:r>
      <w:r w:rsidRPr="004D4BDB">
        <w:rPr>
          <w:rFonts w:ascii="宋体" w:eastAsia="宋体" w:hAnsi="宋体" w:cs="Arial" w:hint="eastAsia"/>
          <w:sz w:val="24"/>
          <w:szCs w:val="24"/>
        </w:rPr>
        <w:t>%÷当年天数</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H为每日应计提的基金托管费</w:t>
      </w:r>
    </w:p>
    <w:p w:rsid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E为前一日的基金资产净值</w:t>
      </w:r>
    </w:p>
    <w:p w:rsidR="0096193D" w:rsidRDefault="0096193D" w:rsidP="0096193D">
      <w:pPr>
        <w:adjustRightInd w:val="0"/>
        <w:snapToGrid w:val="0"/>
        <w:spacing w:line="360" w:lineRule="auto"/>
        <w:ind w:firstLineChars="200" w:firstLine="480"/>
        <w:rPr>
          <w:rFonts w:ascii="宋体" w:eastAsia="宋体" w:hAnsi="宋体" w:cs="Arial"/>
          <w:sz w:val="24"/>
          <w:szCs w:val="24"/>
        </w:rPr>
      </w:pPr>
      <w:r w:rsidRPr="0096193D">
        <w:rPr>
          <w:rFonts w:ascii="宋体" w:eastAsia="宋体" w:hAnsi="宋体" w:cs="Arial" w:hint="eastAsia"/>
          <w:sz w:val="24"/>
          <w:szCs w:val="24"/>
        </w:rPr>
        <w:t>（</w:t>
      </w:r>
      <w:r>
        <w:rPr>
          <w:rFonts w:ascii="宋体" w:eastAsia="宋体" w:hAnsi="宋体" w:cs="Arial" w:hint="eastAsia"/>
          <w:sz w:val="24"/>
          <w:szCs w:val="24"/>
        </w:rPr>
        <w:t>三</w:t>
      </w:r>
      <w:r w:rsidRPr="0096193D">
        <w:rPr>
          <w:rFonts w:ascii="宋体" w:eastAsia="宋体" w:hAnsi="宋体" w:cs="Arial" w:hint="eastAsia"/>
          <w:sz w:val="24"/>
          <w:szCs w:val="24"/>
        </w:rPr>
        <w:t>）基金</w:t>
      </w:r>
      <w:r>
        <w:rPr>
          <w:rFonts w:ascii="宋体" w:eastAsia="宋体" w:hAnsi="宋体" w:cs="Arial" w:hint="eastAsia"/>
          <w:sz w:val="24"/>
          <w:szCs w:val="24"/>
        </w:rPr>
        <w:t>销售服务</w:t>
      </w:r>
      <w:r w:rsidRPr="0096193D">
        <w:rPr>
          <w:rFonts w:ascii="宋体" w:eastAsia="宋体" w:hAnsi="宋体" w:cs="Arial" w:hint="eastAsia"/>
          <w:sz w:val="24"/>
          <w:szCs w:val="24"/>
        </w:rPr>
        <w:t>费的计提比例和计提方法</w:t>
      </w:r>
    </w:p>
    <w:p w:rsidR="0096193D" w:rsidRPr="0096193D" w:rsidRDefault="0096193D" w:rsidP="0096193D">
      <w:pPr>
        <w:adjustRightInd w:val="0"/>
        <w:snapToGrid w:val="0"/>
        <w:spacing w:line="360" w:lineRule="auto"/>
        <w:ind w:firstLineChars="200" w:firstLine="480"/>
        <w:rPr>
          <w:rFonts w:ascii="宋体" w:eastAsia="宋体" w:hAnsi="宋体" w:cs="Arial"/>
          <w:sz w:val="24"/>
          <w:szCs w:val="24"/>
        </w:rPr>
      </w:pPr>
      <w:r w:rsidRPr="0096193D">
        <w:rPr>
          <w:rFonts w:ascii="宋体" w:eastAsia="宋体" w:hAnsi="宋体" w:cs="Arial" w:hint="eastAsia"/>
          <w:sz w:val="24"/>
          <w:szCs w:val="24"/>
        </w:rPr>
        <w:t>本基金 A类基金份额不收取销售服务费，C类基金份额的销售服务费年费率为0.50%。在通常情况下，C类基金份额的销售服务费按前一日C类基金份额资产净值的0.50%年费率计提。计算方法如下：</w:t>
      </w:r>
    </w:p>
    <w:p w:rsidR="0096193D" w:rsidRPr="0096193D" w:rsidRDefault="0096193D" w:rsidP="0096193D">
      <w:pPr>
        <w:adjustRightInd w:val="0"/>
        <w:snapToGrid w:val="0"/>
        <w:spacing w:line="360" w:lineRule="auto"/>
        <w:ind w:firstLineChars="200" w:firstLine="480"/>
        <w:rPr>
          <w:rFonts w:ascii="宋体" w:eastAsia="宋体" w:hAnsi="宋体" w:cs="Arial"/>
          <w:sz w:val="24"/>
          <w:szCs w:val="24"/>
        </w:rPr>
      </w:pPr>
      <w:r w:rsidRPr="0096193D">
        <w:rPr>
          <w:rFonts w:ascii="宋体" w:eastAsia="宋体" w:hAnsi="宋体" w:cs="Arial" w:hint="eastAsia"/>
          <w:sz w:val="24"/>
          <w:szCs w:val="24"/>
        </w:rPr>
        <w:t>H＝E×0.50%÷当年天数</w:t>
      </w:r>
    </w:p>
    <w:p w:rsidR="0096193D" w:rsidRPr="0096193D" w:rsidRDefault="0096193D" w:rsidP="0096193D">
      <w:pPr>
        <w:adjustRightInd w:val="0"/>
        <w:snapToGrid w:val="0"/>
        <w:spacing w:line="360" w:lineRule="auto"/>
        <w:ind w:firstLineChars="200" w:firstLine="480"/>
        <w:rPr>
          <w:rFonts w:ascii="宋体" w:eastAsia="宋体" w:hAnsi="宋体" w:cs="Arial"/>
          <w:sz w:val="24"/>
          <w:szCs w:val="24"/>
        </w:rPr>
      </w:pPr>
      <w:r w:rsidRPr="0096193D">
        <w:rPr>
          <w:rFonts w:ascii="宋体" w:eastAsia="宋体" w:hAnsi="宋体" w:cs="Arial" w:hint="eastAsia"/>
          <w:sz w:val="24"/>
          <w:szCs w:val="24"/>
        </w:rPr>
        <w:t>H为C类基金份额每日应计提的销售服务费</w:t>
      </w:r>
    </w:p>
    <w:p w:rsidR="0096193D" w:rsidRPr="004D4BDB" w:rsidRDefault="0096193D" w:rsidP="0096193D">
      <w:pPr>
        <w:adjustRightInd w:val="0"/>
        <w:snapToGrid w:val="0"/>
        <w:spacing w:line="360" w:lineRule="auto"/>
        <w:ind w:firstLineChars="200" w:firstLine="480"/>
        <w:rPr>
          <w:rFonts w:ascii="宋体" w:eastAsia="宋体" w:hAnsi="宋体" w:cs="Arial"/>
          <w:sz w:val="24"/>
          <w:szCs w:val="24"/>
        </w:rPr>
      </w:pPr>
      <w:r w:rsidRPr="0096193D">
        <w:rPr>
          <w:rFonts w:ascii="宋体" w:eastAsia="宋体" w:hAnsi="宋体" w:cs="Arial" w:hint="eastAsia"/>
          <w:sz w:val="24"/>
          <w:szCs w:val="24"/>
        </w:rPr>
        <w:t>E为C类基金份额前一日基金资产净值</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w:t>
      </w:r>
      <w:r w:rsidR="0096193D">
        <w:rPr>
          <w:rFonts w:ascii="宋体" w:eastAsia="宋体" w:hAnsi="宋体" w:cs="Arial" w:hint="eastAsia"/>
          <w:sz w:val="24"/>
          <w:szCs w:val="24"/>
        </w:rPr>
        <w:t>四</w:t>
      </w:r>
      <w:r w:rsidRPr="004D4BDB">
        <w:rPr>
          <w:rFonts w:ascii="宋体" w:eastAsia="宋体" w:hAnsi="宋体" w:cs="Arial" w:hint="eastAsia"/>
          <w:sz w:val="24"/>
          <w:szCs w:val="24"/>
        </w:rPr>
        <w:t>）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w:t>
      </w:r>
      <w:r w:rsidR="0096193D">
        <w:rPr>
          <w:rFonts w:ascii="宋体" w:eastAsia="宋体" w:hAnsi="宋体" w:cs="Arial" w:hint="eastAsia"/>
          <w:sz w:val="24"/>
          <w:szCs w:val="24"/>
        </w:rPr>
        <w:t>五</w:t>
      </w:r>
      <w:r w:rsidRPr="004D4BDB">
        <w:rPr>
          <w:rFonts w:ascii="宋体" w:eastAsia="宋体" w:hAnsi="宋体" w:cs="Arial" w:hint="eastAsia"/>
          <w:sz w:val="24"/>
          <w:szCs w:val="24"/>
        </w:rPr>
        <w:t>）不列入基金费用的项目</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w:t>
      </w:r>
      <w:r w:rsidR="0096193D">
        <w:rPr>
          <w:rFonts w:ascii="宋体" w:eastAsia="宋体" w:hAnsi="宋体" w:cs="Arial" w:hint="eastAsia"/>
          <w:sz w:val="24"/>
          <w:szCs w:val="24"/>
        </w:rPr>
        <w:t>六</w:t>
      </w:r>
      <w:r w:rsidRPr="004D4BDB">
        <w:rPr>
          <w:rFonts w:ascii="宋体" w:eastAsia="宋体" w:hAnsi="宋体" w:cs="Arial" w:hint="eastAsia"/>
          <w:sz w:val="24"/>
          <w:szCs w:val="24"/>
        </w:rPr>
        <w:t>）基金管理费</w:t>
      </w:r>
      <w:r w:rsidR="0096193D">
        <w:rPr>
          <w:rFonts w:ascii="宋体" w:eastAsia="宋体" w:hAnsi="宋体" w:cs="Arial" w:hint="eastAsia"/>
          <w:sz w:val="24"/>
          <w:szCs w:val="24"/>
        </w:rPr>
        <w:t>、</w:t>
      </w:r>
      <w:r w:rsidRPr="004D4BDB">
        <w:rPr>
          <w:rFonts w:ascii="宋体" w:eastAsia="宋体" w:hAnsi="宋体" w:cs="Arial" w:hint="eastAsia"/>
          <w:sz w:val="24"/>
          <w:szCs w:val="24"/>
        </w:rPr>
        <w:t>基金托管费</w:t>
      </w:r>
      <w:r w:rsidR="0096193D">
        <w:rPr>
          <w:rFonts w:ascii="宋体" w:eastAsia="宋体" w:hAnsi="宋体" w:cs="Arial" w:hint="eastAsia"/>
          <w:sz w:val="24"/>
          <w:szCs w:val="24"/>
        </w:rPr>
        <w:t>和</w:t>
      </w:r>
      <w:r w:rsidR="0096193D" w:rsidRPr="0096193D">
        <w:rPr>
          <w:rFonts w:ascii="宋体" w:eastAsia="宋体" w:hAnsi="宋体" w:cs="Arial" w:hint="eastAsia"/>
          <w:sz w:val="24"/>
          <w:szCs w:val="24"/>
        </w:rPr>
        <w:t>销售服务费</w:t>
      </w:r>
      <w:r w:rsidRPr="004D4BDB">
        <w:rPr>
          <w:rFonts w:ascii="宋体" w:eastAsia="宋体" w:hAnsi="宋体" w:cs="Arial" w:hint="eastAsia"/>
          <w:sz w:val="24"/>
          <w:szCs w:val="24"/>
        </w:rPr>
        <w:t>的调整</w:t>
      </w:r>
    </w:p>
    <w:p w:rsidR="0096193D" w:rsidRPr="0096193D" w:rsidRDefault="0096193D" w:rsidP="0096193D">
      <w:pPr>
        <w:adjustRightInd w:val="0"/>
        <w:snapToGrid w:val="0"/>
        <w:spacing w:line="360" w:lineRule="auto"/>
        <w:ind w:firstLineChars="200" w:firstLine="480"/>
        <w:rPr>
          <w:rFonts w:ascii="宋体" w:eastAsia="宋体" w:hAnsi="宋体" w:cs="Arial"/>
          <w:sz w:val="24"/>
          <w:szCs w:val="24"/>
        </w:rPr>
      </w:pPr>
      <w:r w:rsidRPr="0096193D">
        <w:rPr>
          <w:rFonts w:ascii="宋体" w:eastAsia="宋体" w:hAnsi="宋体" w:cs="Arial" w:hint="eastAsia"/>
          <w:sz w:val="24"/>
          <w:szCs w:val="24"/>
        </w:rPr>
        <w:t>基金管理人和基金托管人协商一致后，可根据基金发展情况</w:t>
      </w:r>
      <w:r w:rsidR="00C47B3A" w:rsidRPr="00C47B3A">
        <w:rPr>
          <w:rFonts w:ascii="宋体" w:eastAsia="宋体" w:hAnsi="宋体" w:cs="Arial" w:hint="eastAsia"/>
          <w:sz w:val="24"/>
          <w:szCs w:val="24"/>
        </w:rPr>
        <w:t>，履行适当程序后，</w:t>
      </w:r>
      <w:r w:rsidRPr="0096193D">
        <w:rPr>
          <w:rFonts w:ascii="宋体" w:eastAsia="宋体" w:hAnsi="宋体" w:cs="Arial" w:hint="eastAsia"/>
          <w:sz w:val="24"/>
          <w:szCs w:val="24"/>
        </w:rPr>
        <w:t>调整基金管理费率、基金托管费</w:t>
      </w:r>
      <w:r w:rsidR="008D2820" w:rsidRPr="008D2820">
        <w:rPr>
          <w:rFonts w:ascii="宋体" w:eastAsia="宋体" w:hAnsi="宋体" w:cs="Arial" w:hint="eastAsia"/>
          <w:sz w:val="24"/>
          <w:szCs w:val="24"/>
        </w:rPr>
        <w:t>率</w:t>
      </w:r>
      <w:r w:rsidRPr="0096193D">
        <w:rPr>
          <w:rFonts w:ascii="宋体" w:eastAsia="宋体" w:hAnsi="宋体" w:cs="Arial" w:hint="eastAsia"/>
          <w:sz w:val="24"/>
          <w:szCs w:val="24"/>
        </w:rPr>
        <w:t xml:space="preserve">和销售服务费率等相关费率。 </w:t>
      </w:r>
    </w:p>
    <w:p w:rsidR="0096193D" w:rsidRPr="004D4BDB" w:rsidRDefault="0096193D" w:rsidP="0096193D">
      <w:pPr>
        <w:adjustRightInd w:val="0"/>
        <w:snapToGrid w:val="0"/>
        <w:spacing w:line="360" w:lineRule="auto"/>
        <w:ind w:firstLineChars="200" w:firstLine="480"/>
        <w:rPr>
          <w:rFonts w:ascii="宋体" w:eastAsia="宋体" w:hAnsi="宋体" w:cs="Arial"/>
          <w:sz w:val="24"/>
          <w:szCs w:val="24"/>
        </w:rPr>
      </w:pPr>
      <w:r w:rsidRPr="0096193D">
        <w:rPr>
          <w:rFonts w:ascii="宋体" w:eastAsia="宋体" w:hAnsi="宋体" w:cs="Arial" w:hint="eastAsia"/>
          <w:sz w:val="24"/>
          <w:szCs w:val="24"/>
        </w:rPr>
        <w:t>基金管理人必须于新的费率实施日前在至少一种指定媒体上公告。</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（六）基金管理费</w:t>
      </w:r>
      <w:r w:rsidR="0096193D">
        <w:rPr>
          <w:rFonts w:ascii="宋体" w:eastAsia="宋体" w:hAnsi="宋体" w:cs="Arial" w:hint="eastAsia"/>
          <w:sz w:val="24"/>
          <w:szCs w:val="24"/>
        </w:rPr>
        <w:t>、</w:t>
      </w:r>
      <w:r w:rsidRPr="004D4BDB">
        <w:rPr>
          <w:rFonts w:ascii="宋体" w:eastAsia="宋体" w:hAnsi="宋体" w:cs="Arial" w:hint="eastAsia"/>
          <w:sz w:val="24"/>
          <w:szCs w:val="24"/>
        </w:rPr>
        <w:t>基金托管费</w:t>
      </w:r>
      <w:r w:rsidR="0096193D" w:rsidRPr="0096193D">
        <w:rPr>
          <w:rFonts w:ascii="宋体" w:eastAsia="宋体" w:hAnsi="宋体" w:cs="Arial" w:hint="eastAsia"/>
          <w:sz w:val="24"/>
          <w:szCs w:val="24"/>
        </w:rPr>
        <w:t>和销售服务费</w:t>
      </w:r>
      <w:r w:rsidRPr="004D4BDB">
        <w:rPr>
          <w:rFonts w:ascii="宋体" w:eastAsia="宋体" w:hAnsi="宋体" w:cs="Arial" w:hint="eastAsia"/>
          <w:sz w:val="24"/>
          <w:szCs w:val="24"/>
        </w:rPr>
        <w:t>的复核程序、支付方式和时间</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1.复核程序</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基金托管人对基金管理人计提的基金管理费</w:t>
      </w:r>
      <w:r w:rsidR="0096193D">
        <w:rPr>
          <w:rFonts w:ascii="宋体" w:eastAsia="宋体" w:hAnsi="宋体" w:cs="Arial" w:hint="eastAsia"/>
          <w:sz w:val="24"/>
          <w:szCs w:val="24"/>
        </w:rPr>
        <w:t>、</w:t>
      </w:r>
      <w:r w:rsidRPr="004D4BDB">
        <w:rPr>
          <w:rFonts w:ascii="宋体" w:eastAsia="宋体" w:hAnsi="宋体" w:cs="Arial" w:hint="eastAsia"/>
          <w:sz w:val="24"/>
          <w:szCs w:val="24"/>
        </w:rPr>
        <w:t>基金托管费</w:t>
      </w:r>
      <w:r w:rsidR="0096193D" w:rsidRPr="0096193D">
        <w:rPr>
          <w:rFonts w:ascii="宋体" w:eastAsia="宋体" w:hAnsi="宋体" w:cs="Arial" w:hint="eastAsia"/>
          <w:sz w:val="24"/>
          <w:szCs w:val="24"/>
        </w:rPr>
        <w:t>和销售服务费</w:t>
      </w:r>
      <w:r w:rsidRPr="004D4BDB">
        <w:rPr>
          <w:rFonts w:ascii="宋体" w:eastAsia="宋体" w:hAnsi="宋体" w:cs="Arial" w:hint="eastAsia"/>
          <w:sz w:val="24"/>
          <w:szCs w:val="24"/>
        </w:rPr>
        <w:t>等，根据本托管协议和《基金合同》的有关规定进行复核。</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2.支付方式和时间</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lastRenderedPageBreak/>
        <w:t>基金管理费、基金托管费</w:t>
      </w:r>
      <w:r w:rsidR="0096193D" w:rsidRPr="0096193D">
        <w:rPr>
          <w:rFonts w:ascii="宋体" w:eastAsia="宋体" w:hAnsi="宋体" w:cs="Arial" w:hint="eastAsia"/>
          <w:sz w:val="24"/>
          <w:szCs w:val="24"/>
        </w:rPr>
        <w:t>和销售服务费</w:t>
      </w:r>
      <w:r w:rsidRPr="004D4BDB">
        <w:rPr>
          <w:rFonts w:ascii="宋体" w:eastAsia="宋体" w:hAnsi="宋体" w:cs="Arial" w:hint="eastAsia"/>
          <w:sz w:val="24"/>
          <w:szCs w:val="24"/>
        </w:rPr>
        <w:t>每日计提，按月支付，由基金托管人根据与基金管理人核对一致的财务数据，自动在月初5个工作日内、按照指定的账户路径进行资金支付，基金管理人</w:t>
      </w:r>
      <w:r w:rsidR="0096193D">
        <w:rPr>
          <w:rFonts w:ascii="宋体" w:eastAsia="宋体" w:hAnsi="宋体" w:cs="Arial" w:hint="eastAsia"/>
          <w:sz w:val="24"/>
          <w:szCs w:val="24"/>
        </w:rPr>
        <w:t>（或注册登记机构）</w:t>
      </w:r>
      <w:r w:rsidRPr="004D4BDB">
        <w:rPr>
          <w:rFonts w:ascii="宋体" w:eastAsia="宋体" w:hAnsi="宋体" w:cs="Arial" w:hint="eastAsia"/>
          <w:sz w:val="24"/>
          <w:szCs w:val="24"/>
        </w:rPr>
        <w:t>无需再出具资金划拨指令。</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若遇法定节假日、休息日等，支付日期顺延。费用自动扣划后，基金管理人</w:t>
      </w:r>
      <w:r w:rsidR="000547C4" w:rsidRPr="000547C4">
        <w:rPr>
          <w:rFonts w:ascii="宋体" w:eastAsia="宋体" w:hAnsi="宋体" w:cs="Arial" w:hint="eastAsia"/>
          <w:sz w:val="24"/>
          <w:szCs w:val="24"/>
        </w:rPr>
        <w:t>（或注册登记机构）</w:t>
      </w:r>
      <w:r w:rsidRPr="004D4BDB">
        <w:rPr>
          <w:rFonts w:ascii="宋体" w:eastAsia="宋体" w:hAnsi="宋体" w:cs="Arial" w:hint="eastAsia"/>
          <w:sz w:val="24"/>
          <w:szCs w:val="24"/>
        </w:rPr>
        <w:t>应进行核对，如发现数据不符，及时联系基金托管人协商解决。</w:t>
      </w:r>
    </w:p>
    <w:p w:rsid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在首期支付基金管理费</w:t>
      </w:r>
      <w:r w:rsidR="008E6D1A">
        <w:rPr>
          <w:rFonts w:ascii="宋体" w:eastAsia="宋体" w:hAnsi="宋体" w:cs="Arial" w:hint="eastAsia"/>
          <w:sz w:val="24"/>
          <w:szCs w:val="24"/>
        </w:rPr>
        <w:t>、</w:t>
      </w:r>
      <w:r w:rsidR="008E6D1A" w:rsidRPr="008E6D1A">
        <w:rPr>
          <w:rFonts w:ascii="宋体" w:eastAsia="宋体" w:hAnsi="宋体" w:cs="Arial" w:hint="eastAsia"/>
          <w:sz w:val="24"/>
          <w:szCs w:val="24"/>
        </w:rPr>
        <w:t>销售服务费</w:t>
      </w:r>
      <w:r w:rsidRPr="004D4BDB">
        <w:rPr>
          <w:rFonts w:ascii="宋体" w:eastAsia="宋体" w:hAnsi="宋体" w:cs="Arial" w:hint="eastAsia"/>
          <w:sz w:val="24"/>
          <w:szCs w:val="24"/>
        </w:rPr>
        <w:t>前，基金管理人应向托管人出具正式函件</w:t>
      </w:r>
      <w:r w:rsidR="00F3653B">
        <w:rPr>
          <w:rFonts w:ascii="宋体" w:eastAsia="宋体" w:hAnsi="宋体" w:cs="Arial" w:hint="eastAsia"/>
          <w:sz w:val="24"/>
          <w:szCs w:val="24"/>
        </w:rPr>
        <w:t>分别</w:t>
      </w:r>
      <w:r w:rsidRPr="004D4BDB">
        <w:rPr>
          <w:rFonts w:ascii="宋体" w:eastAsia="宋体" w:hAnsi="宋体" w:cs="Arial" w:hint="eastAsia"/>
          <w:sz w:val="24"/>
          <w:szCs w:val="24"/>
        </w:rPr>
        <w:t>指定基金管理费</w:t>
      </w:r>
      <w:r w:rsidR="008E6D1A">
        <w:rPr>
          <w:rFonts w:ascii="宋体" w:eastAsia="宋体" w:hAnsi="宋体" w:cs="Arial" w:hint="eastAsia"/>
          <w:sz w:val="24"/>
          <w:szCs w:val="24"/>
        </w:rPr>
        <w:t>、</w:t>
      </w:r>
      <w:r w:rsidR="008E6D1A" w:rsidRPr="008E6D1A">
        <w:rPr>
          <w:rFonts w:ascii="宋体" w:eastAsia="宋体" w:hAnsi="宋体" w:cs="Arial" w:hint="eastAsia"/>
          <w:sz w:val="24"/>
          <w:szCs w:val="24"/>
        </w:rPr>
        <w:t>销售服务费</w:t>
      </w:r>
      <w:r w:rsidRPr="004D4BDB">
        <w:rPr>
          <w:rFonts w:ascii="宋体" w:eastAsia="宋体" w:hAnsi="宋体" w:cs="Arial" w:hint="eastAsia"/>
          <w:sz w:val="24"/>
          <w:szCs w:val="24"/>
        </w:rPr>
        <w:t>的收款账户。基金管理人如需要变更此账户，应提前5个工作日向托管人出具书面的收款账户变更通知。</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（七）违规处理方式</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0" w:name="_Toc124325896"/>
      <w:proofErr w:type="spellStart"/>
      <w:r w:rsidRPr="004D4BDB">
        <w:rPr>
          <w:rFonts w:ascii="宋体" w:eastAsia="宋体" w:hAnsi="宋体" w:cs="Times New Roman" w:hint="eastAsia"/>
          <w:b/>
          <w:kern w:val="0"/>
          <w:sz w:val="30"/>
          <w:szCs w:val="20"/>
          <w:lang w:val="x-none" w:eastAsia="x-none"/>
        </w:rPr>
        <w:t>十二、基金份额持有人名册的保管</w:t>
      </w:r>
      <w:bookmarkEnd w:id="90"/>
      <w:proofErr w:type="spellEnd"/>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20年。如不能妥善保管，则按相关法规承担责任。</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4D4BDB">
        <w:rPr>
          <w:rFonts w:ascii="宋体" w:eastAsia="宋体" w:hAnsi="宋体" w:cs="Times New Roman" w:hint="eastAsia"/>
          <w:kern w:val="0"/>
          <w:sz w:val="24"/>
          <w:szCs w:val="24"/>
        </w:rPr>
        <w:t>基金托管人不得将所保管的基金份额持有人名册用于基金托管业务以外的其他用途，并应遵守保密义务。</w:t>
      </w:r>
    </w:p>
    <w:p w:rsidR="004D4BDB" w:rsidRPr="004D4BDB" w:rsidRDefault="004D4BDB" w:rsidP="004D4BDB">
      <w:pPr>
        <w:adjustRightInd w:val="0"/>
        <w:snapToGrid w:val="0"/>
        <w:spacing w:line="360" w:lineRule="auto"/>
        <w:rPr>
          <w:rFonts w:ascii="宋体" w:eastAsia="宋体" w:hAnsi="宋体" w:cs="Arial"/>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1" w:name="_Toc124325897"/>
      <w:proofErr w:type="spellStart"/>
      <w:r w:rsidRPr="004D4BDB">
        <w:rPr>
          <w:rFonts w:ascii="宋体" w:eastAsia="宋体" w:hAnsi="宋体" w:cs="Times New Roman" w:hint="eastAsia"/>
          <w:b/>
          <w:kern w:val="0"/>
          <w:sz w:val="30"/>
          <w:szCs w:val="20"/>
          <w:lang w:val="x-none" w:eastAsia="x-none"/>
        </w:rPr>
        <w:t>十三、基金有关文件档案的保存</w:t>
      </w:r>
      <w:bookmarkEnd w:id="91"/>
      <w:proofErr w:type="spellEnd"/>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（一）档案保存</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基金管理人应保存基金财产管理业务活动的记录、账册、报表和其他相关资</w:t>
      </w:r>
      <w:r w:rsidRPr="004D4BDB">
        <w:rPr>
          <w:rFonts w:ascii="宋体" w:eastAsia="宋体" w:hAnsi="宋体" w:cs="Arial" w:hint="eastAsia"/>
          <w:sz w:val="24"/>
          <w:szCs w:val="24"/>
        </w:rPr>
        <w:lastRenderedPageBreak/>
        <w:t>料。基金托管人应保存基金托管业务活动的记录、账册、报表和其他相关资料。基金管理人和基金托管人都应当按规定的期限保管。保存期限不少于15 年。</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（二）合同档案的建立</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1.基金管理人签署重大合同文本后，应及时将合同文本正本送达基金托管人处。</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2.基金管理人应及时将与本基金账务处理、资金划拨等有关的合同、协议传真基金托管人。</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（三）变更与协助</w:t>
      </w:r>
    </w:p>
    <w:p w:rsidR="004D4BDB" w:rsidRPr="004D4BDB" w:rsidRDefault="004D4BDB" w:rsidP="004D4BDB">
      <w:pPr>
        <w:adjustRightInd w:val="0"/>
        <w:snapToGrid w:val="0"/>
        <w:spacing w:line="360" w:lineRule="auto"/>
        <w:ind w:firstLineChars="200" w:firstLine="480"/>
        <w:rPr>
          <w:rFonts w:ascii="宋体" w:eastAsia="宋体" w:hAnsi="宋体" w:cs="Times New Roman"/>
          <w:b/>
          <w:bCs/>
          <w:sz w:val="30"/>
          <w:szCs w:val="30"/>
        </w:rPr>
      </w:pPr>
      <w:r w:rsidRPr="004D4BDB">
        <w:rPr>
          <w:rFonts w:ascii="宋体" w:eastAsia="宋体" w:hAnsi="宋体" w:cs="Arial" w:hint="eastAsia"/>
          <w:sz w:val="24"/>
          <w:szCs w:val="24"/>
        </w:rPr>
        <w:t>若基金管理人/基金托管人发生变更，未变更的一方有义务协助变更后的接任人接收相应文件。</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p>
    <w:p w:rsidR="004D4BDB" w:rsidRPr="004D4BDB" w:rsidRDefault="004D4BDB" w:rsidP="004D4BDB">
      <w:pPr>
        <w:adjustRightInd w:val="0"/>
        <w:snapToGrid w:val="0"/>
        <w:spacing w:line="360" w:lineRule="auto"/>
        <w:rPr>
          <w:rFonts w:ascii="宋体" w:eastAsia="宋体" w:hAnsi="宋体" w:cs="Times New Roman"/>
          <w:sz w:val="30"/>
          <w:szCs w:val="30"/>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2" w:name="_Toc124325898"/>
      <w:proofErr w:type="spellStart"/>
      <w:r w:rsidRPr="004D4BDB">
        <w:rPr>
          <w:rFonts w:ascii="宋体" w:eastAsia="宋体" w:hAnsi="宋体" w:cs="Times New Roman" w:hint="eastAsia"/>
          <w:b/>
          <w:kern w:val="0"/>
          <w:sz w:val="30"/>
          <w:szCs w:val="20"/>
          <w:lang w:val="x-none" w:eastAsia="x-none"/>
        </w:rPr>
        <w:t>十四、基金管理人和基金托管人的更换</w:t>
      </w:r>
      <w:bookmarkEnd w:id="92"/>
      <w:proofErr w:type="spellEnd"/>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（一）基金管理人职责终止的情形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1.基金管理人职责终止的情形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有下列情形之一的，基金管理人职责终止：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(1)被依法取消基金管理资格；</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(2)依法解散、被依法撤销或被依法宣告破产；</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(3)被基金份额持有人大会解任；</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(4)法律法规及中国证监会规定的和《基金合同》约定的其他情形。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2.基金管理人的更换程序</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更换基金管理人必须依照如下程序进行：</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(1)提名：新任基金管理人由基金托管人</w:t>
      </w:r>
      <w:r w:rsidRPr="004D4BDB">
        <w:rPr>
          <w:rFonts w:ascii="宋体" w:eastAsia="宋体" w:hAnsi="宋体" w:cs="Times New Roman" w:hint="eastAsia"/>
          <w:sz w:val="24"/>
          <w:szCs w:val="24"/>
        </w:rPr>
        <w:t>或由单独或合计持有10%以上(含10%)基金份额的基金份额持有人</w:t>
      </w:r>
      <w:r w:rsidRPr="004D4BDB">
        <w:rPr>
          <w:rFonts w:ascii="宋体" w:eastAsia="宋体" w:hAnsi="宋体" w:cs="Arial" w:hint="eastAsia"/>
          <w:sz w:val="24"/>
          <w:szCs w:val="24"/>
        </w:rPr>
        <w:t>提名；</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lastRenderedPageBreak/>
        <w:t>(3)临时基金管理人：新任基金管理人产生之前，由中国证监会指定临时基金管理人；</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(4)备案：</w:t>
      </w:r>
      <w:r w:rsidR="002D2363" w:rsidRPr="002D2363">
        <w:rPr>
          <w:rFonts w:ascii="宋体" w:eastAsia="宋体" w:hAnsi="宋体" w:cs="Arial" w:hint="eastAsia"/>
          <w:sz w:val="24"/>
          <w:szCs w:val="24"/>
        </w:rPr>
        <w:t>基金份额持有人大会选任基金管理人的决议须自表决通过之日起生效，生效后方可执行，且该决议应当自通过之日起五日内报中国证监会备案</w:t>
      </w:r>
      <w:r w:rsidRPr="004D4BDB">
        <w:rPr>
          <w:rFonts w:ascii="宋体" w:eastAsia="宋体" w:hAnsi="宋体" w:cs="Arial" w:hint="eastAsia"/>
          <w:sz w:val="24"/>
          <w:szCs w:val="24"/>
        </w:rPr>
        <w:t>；</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(5)公告：基金管理人更换后，由基金托管人在更换基金管理人的基金份额持有人大会决议生效后2个工作日内在指定媒介公告；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(7)审计：基金管理人职责终止的，应当按照法律法规规定聘请会计师事务所对基金财产进行审计，并将审计结果予以公告，同时报中国证监会备案，审计费用从基金资产中列支；</w:t>
      </w:r>
    </w:p>
    <w:p w:rsidR="004D4BDB" w:rsidRPr="004D4BDB" w:rsidRDefault="004D4BDB" w:rsidP="004D4BDB">
      <w:pPr>
        <w:adjustRightInd w:val="0"/>
        <w:snapToGrid w:val="0"/>
        <w:spacing w:line="360" w:lineRule="auto"/>
        <w:ind w:firstLineChars="200" w:firstLine="480"/>
        <w:rPr>
          <w:rFonts w:ascii="宋体" w:eastAsia="宋体" w:hAnsi="宋体" w:cs="Times New Roman"/>
          <w:sz w:val="30"/>
          <w:szCs w:val="30"/>
        </w:rPr>
      </w:pPr>
      <w:r w:rsidRPr="004D4BDB">
        <w:rPr>
          <w:rFonts w:ascii="宋体" w:eastAsia="宋体" w:hAnsi="宋体" w:cs="Arial" w:hint="eastAsia"/>
          <w:sz w:val="24"/>
          <w:szCs w:val="24"/>
        </w:rPr>
        <w:t>(8)基金名称变更：基金管理人更换后，如果原任或新任基金管理人要求，应按其要求替换或删除基金名称中与原基金管理人有关的名称字样。</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（二）基金托管人职责终止的情形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1.基金托管人职责终止的情形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有下列情形之一的，基金托管人职责终止：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(1)被依法取消基金托管资格；</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(2)依法解散、被依法撤销或被依法宣告破产；</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(3)被基金份额持有人大会解任；</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(4)法律法规及中国证监会规定的和《基金合同》约定的其他情形。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2.基金托管人的更换程序</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(1)提名：新任基金托管人由基金管理人</w:t>
      </w:r>
      <w:r w:rsidRPr="004D4BDB">
        <w:rPr>
          <w:rFonts w:ascii="宋体" w:eastAsia="宋体" w:hAnsi="宋体" w:cs="Times New Roman" w:hint="eastAsia"/>
          <w:sz w:val="24"/>
          <w:szCs w:val="24"/>
        </w:rPr>
        <w:t>或由单独或合计持有10%以上(含10%)基金份额的基金份额持有人</w:t>
      </w:r>
      <w:r w:rsidRPr="004D4BDB">
        <w:rPr>
          <w:rFonts w:ascii="宋体" w:eastAsia="宋体" w:hAnsi="宋体" w:cs="Arial" w:hint="eastAsia"/>
          <w:sz w:val="24"/>
          <w:szCs w:val="24"/>
        </w:rPr>
        <w:t>提名；</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(3)临时基金托管人：新任基金托管人产生之前，由中国证监会指定临时基金托管人；</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lastRenderedPageBreak/>
        <w:t>(4)备案：</w:t>
      </w:r>
      <w:r w:rsidR="002D2363" w:rsidRPr="002D2363">
        <w:rPr>
          <w:rFonts w:ascii="宋体" w:eastAsia="宋体" w:hAnsi="宋体" w:cs="Arial" w:hint="eastAsia"/>
          <w:sz w:val="24"/>
          <w:szCs w:val="24"/>
        </w:rPr>
        <w:t>基金份额持有人大会更换基金托管人的决议自表决通过之日起生效，生效后方可执行，且该决议应当自通过之日起五日内报中国证监会备案</w:t>
      </w:r>
      <w:r w:rsidRPr="004D4BDB">
        <w:rPr>
          <w:rFonts w:ascii="宋体" w:eastAsia="宋体" w:hAnsi="宋体" w:cs="Arial" w:hint="eastAsia"/>
          <w:sz w:val="24"/>
          <w:szCs w:val="24"/>
        </w:rPr>
        <w:t>；</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(5)公告：基金托管人更换后，由基金管理人在更换基金托管人的基金份额持有人大会决议生效后 2个工作日内在指定媒介公告；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(7)审计：基金托管人职责终止的，应当按照法律法规规定聘请会计师事务所对基金财产进行审计，并将审计结果予以公告，同时报中国证监会备案，审计费用从基金资产中列支。</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（三）基金管理人与基金托管人同时更换的条件和程序</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2.基金管理人和基金托管人的更换分别按上述程序进行；</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3.公告：新任基金管理人和新任基金托管人应在更换基金管理人和基金托管人的基金份额持有人大会决议生效后2日内在指定媒介上联合公告。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4D4BDB" w:rsidRPr="004D4BDB" w:rsidRDefault="004D4BDB" w:rsidP="004D4BDB">
      <w:pPr>
        <w:adjustRightInd w:val="0"/>
        <w:snapToGrid w:val="0"/>
        <w:spacing w:line="360" w:lineRule="auto"/>
        <w:rPr>
          <w:rFonts w:ascii="宋体" w:eastAsia="宋体" w:hAnsi="宋体" w:cs="Arial"/>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3" w:name="_Toc124325899"/>
      <w:proofErr w:type="spellStart"/>
      <w:r w:rsidRPr="004D4BDB">
        <w:rPr>
          <w:rFonts w:ascii="宋体" w:eastAsia="宋体" w:hAnsi="宋体" w:cs="Times New Roman" w:hint="eastAsia"/>
          <w:b/>
          <w:kern w:val="0"/>
          <w:sz w:val="30"/>
          <w:szCs w:val="20"/>
          <w:lang w:val="x-none" w:eastAsia="x-none"/>
        </w:rPr>
        <w:t>十五、禁止行为</w:t>
      </w:r>
      <w:bookmarkEnd w:id="93"/>
      <w:proofErr w:type="spellEnd"/>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本协议当事人禁止从事的行为，包括但不限于：</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（一）基金管理人、基金托管人将其固有财产或者他人财产混同于基金财产从事证券投资。</w:t>
      </w:r>
    </w:p>
    <w:p w:rsidR="004D4BDB" w:rsidRPr="004D4BDB" w:rsidRDefault="004D4BDB" w:rsidP="004D4BDB">
      <w:pPr>
        <w:spacing w:line="360" w:lineRule="auto"/>
        <w:ind w:firstLineChars="200" w:firstLine="480"/>
        <w:rPr>
          <w:rFonts w:ascii="宋体" w:eastAsia="宋体" w:hAnsi="宋体" w:cs="Times New Roman"/>
          <w:szCs w:val="24"/>
        </w:rPr>
      </w:pPr>
      <w:r w:rsidRPr="004D4BDB">
        <w:rPr>
          <w:rFonts w:ascii="宋体" w:eastAsia="宋体" w:hAnsi="宋体" w:cs="Times New Roman" w:hint="eastAsia"/>
          <w:sz w:val="24"/>
          <w:szCs w:val="24"/>
        </w:rPr>
        <w:t>（二）基金管理人不公平地对待其管理的不同基金财产，基金托管人不公平地对待其托管的不同基金财产。</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（三）基金管理人、基金托管人利用基金财产为基金份额持有人以外的第三</w:t>
      </w:r>
      <w:r w:rsidRPr="004D4BDB">
        <w:rPr>
          <w:rFonts w:ascii="宋体" w:eastAsia="宋体" w:hAnsi="宋体" w:cs="Times New Roman" w:hint="eastAsia"/>
          <w:sz w:val="24"/>
          <w:szCs w:val="24"/>
        </w:rPr>
        <w:lastRenderedPageBreak/>
        <w:t>人牟取利益。</w:t>
      </w:r>
    </w:p>
    <w:p w:rsidR="004D4BDB" w:rsidRPr="004D4BDB" w:rsidRDefault="004D4BDB" w:rsidP="004D4BDB">
      <w:pPr>
        <w:spacing w:line="360" w:lineRule="auto"/>
        <w:ind w:firstLineChars="200" w:firstLine="480"/>
        <w:rPr>
          <w:rFonts w:ascii="宋体" w:eastAsia="宋体" w:hAnsi="宋体" w:cs="Times New Roman"/>
          <w:sz w:val="24"/>
          <w:szCs w:val="24"/>
        </w:rPr>
      </w:pPr>
      <w:r w:rsidRPr="004D4BDB">
        <w:rPr>
          <w:rFonts w:ascii="宋体" w:eastAsia="宋体" w:hAnsi="宋体" w:cs="Times New Roman" w:hint="eastAsia"/>
          <w:sz w:val="24"/>
          <w:szCs w:val="24"/>
        </w:rPr>
        <w:t>（四）基金管理人、基金托管人向基金份额持有人违规承诺收益或者承担损失。</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（五）基金管理人、基金托管人对他人泄漏基金运作和管理过程中任何尚未按法律法规规定的方式公开披露的信息。</w:t>
      </w:r>
    </w:p>
    <w:p w:rsidR="004D4BDB" w:rsidRPr="004D4BDB" w:rsidRDefault="004D4BDB" w:rsidP="004D4BDB">
      <w:pPr>
        <w:adjustRightInd w:val="0"/>
        <w:snapToGrid w:val="0"/>
        <w:spacing w:line="360" w:lineRule="auto"/>
        <w:ind w:firstLineChars="200" w:firstLine="480"/>
        <w:outlineLvl w:val="0"/>
        <w:rPr>
          <w:rFonts w:ascii="宋体" w:eastAsia="宋体" w:hAnsi="宋体" w:cs="Arial"/>
          <w:kern w:val="0"/>
          <w:sz w:val="24"/>
          <w:szCs w:val="24"/>
          <w:lang w:val="x-none" w:eastAsia="x-none"/>
        </w:rPr>
      </w:pPr>
      <w:r w:rsidRPr="004D4BDB">
        <w:rPr>
          <w:rFonts w:ascii="宋体" w:eastAsia="宋体" w:hAnsi="宋体" w:cs="Arial" w:hint="eastAsia"/>
          <w:kern w:val="0"/>
          <w:sz w:val="24"/>
          <w:szCs w:val="24"/>
          <w:lang w:val="x-none" w:eastAsia="x-none"/>
        </w:rPr>
        <w:t>（</w:t>
      </w:r>
      <w:proofErr w:type="spellStart"/>
      <w:r w:rsidRPr="004D4BDB">
        <w:rPr>
          <w:rFonts w:ascii="宋体" w:eastAsia="宋体" w:hAnsi="宋体" w:cs="Arial" w:hint="eastAsia"/>
          <w:kern w:val="0"/>
          <w:sz w:val="24"/>
          <w:szCs w:val="24"/>
          <w:lang w:val="x-none" w:eastAsia="x-none"/>
        </w:rPr>
        <w:t>六）基金管理人在没有充足资金的情况下向基金托管人发出投资指令和赎回、分红资金的划拨指令，或违规向基金托管人发出指令</w:t>
      </w:r>
      <w:proofErr w:type="spellEnd"/>
      <w:r w:rsidRPr="004D4BDB">
        <w:rPr>
          <w:rFonts w:ascii="宋体" w:eastAsia="宋体" w:hAnsi="宋体" w:cs="Arial" w:hint="eastAsia"/>
          <w:kern w:val="0"/>
          <w:sz w:val="24"/>
          <w:szCs w:val="24"/>
          <w:lang w:val="x-none" w:eastAsia="x-none"/>
        </w:rPr>
        <w:t>。</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（七）基金管理人、基金托管人在行政上、财务上不独立, 其高级管理人员和其他从业人员相互兼职。</w:t>
      </w:r>
    </w:p>
    <w:p w:rsidR="004D4BDB" w:rsidRPr="004D4BDB" w:rsidRDefault="004D4BDB" w:rsidP="004D4BDB">
      <w:pPr>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（八）基金托管人私自动用或处分基金财产，根据基金管理人的合法指令、《基金合同》或托管协议的规定进行处分的除外。</w:t>
      </w:r>
    </w:p>
    <w:p w:rsidR="004D4BDB" w:rsidRPr="004D4BDB" w:rsidRDefault="004D4BDB" w:rsidP="004D4BDB">
      <w:pPr>
        <w:spacing w:line="360" w:lineRule="auto"/>
        <w:ind w:firstLineChars="200" w:firstLine="480"/>
        <w:rPr>
          <w:rFonts w:ascii="宋体" w:eastAsia="宋体" w:hAnsi="宋体" w:cs="Arial"/>
          <w:sz w:val="24"/>
          <w:szCs w:val="24"/>
        </w:rPr>
      </w:pPr>
      <w:r w:rsidRPr="004D4BDB">
        <w:rPr>
          <w:rFonts w:ascii="宋体" w:eastAsia="宋体" w:hAnsi="宋体" w:cs="Times New Roman" w:hint="eastAsia"/>
          <w:sz w:val="24"/>
          <w:szCs w:val="24"/>
        </w:rPr>
        <w:t>（九）</w:t>
      </w:r>
      <w:r w:rsidRPr="004D4BDB">
        <w:rPr>
          <w:rFonts w:ascii="宋体" w:eastAsia="宋体" w:hAnsi="宋体" w:cs="Arial" w:hint="eastAsia"/>
          <w:sz w:val="24"/>
          <w:szCs w:val="24"/>
        </w:rPr>
        <w:t>基金财产</w:t>
      </w:r>
      <w:r w:rsidRPr="004D4BDB">
        <w:rPr>
          <w:rFonts w:ascii="宋体" w:eastAsia="宋体" w:hAnsi="宋体" w:cs="Times New Roman" w:hint="eastAsia"/>
          <w:sz w:val="24"/>
          <w:szCs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4D4BDB">
        <w:rPr>
          <w:rFonts w:ascii="宋体" w:eastAsia="宋体" w:hAnsi="宋体" w:cs="Arial" w:hint="eastAsia"/>
          <w:sz w:val="24"/>
          <w:szCs w:val="24"/>
        </w:rPr>
        <w:t>法律法规或监管部门取消上述限制，如适用于本基金，则本基金投资不再受相关限制</w:t>
      </w:r>
      <w:r w:rsidRPr="004D4BDB">
        <w:rPr>
          <w:rFonts w:ascii="宋体" w:eastAsia="宋体" w:hAnsi="宋体" w:cs="Times New Roman" w:hint="eastAsia"/>
          <w:sz w:val="24"/>
          <w:szCs w:val="24"/>
        </w:rPr>
        <w:t>。</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（十）法律法规和《基金合同》禁止的其他行为，以及</w:t>
      </w:r>
      <w:r w:rsidRPr="004D4BDB">
        <w:rPr>
          <w:rFonts w:ascii="宋体" w:eastAsia="宋体" w:hAnsi="宋体" w:cs="Times New Roman" w:hint="eastAsia"/>
          <w:sz w:val="24"/>
          <w:szCs w:val="24"/>
        </w:rPr>
        <w:t>依照法律、行政法规有关规定，由国务院证券监督管理机构规定禁止基金管理人、基金托管人从事的其他行为。</w:t>
      </w:r>
    </w:p>
    <w:p w:rsidR="004D4BDB" w:rsidRPr="004D4BDB" w:rsidRDefault="004D4BDB" w:rsidP="004D4BDB">
      <w:pPr>
        <w:adjustRightInd w:val="0"/>
        <w:snapToGrid w:val="0"/>
        <w:spacing w:line="360" w:lineRule="auto"/>
        <w:rPr>
          <w:rFonts w:ascii="宋体" w:eastAsia="宋体" w:hAnsi="宋体" w:cs="Times New Roman"/>
          <w:sz w:val="30"/>
          <w:szCs w:val="30"/>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4" w:name="_Toc124325900"/>
      <w:proofErr w:type="spellStart"/>
      <w:r w:rsidRPr="004D4BDB">
        <w:rPr>
          <w:rFonts w:ascii="宋体" w:eastAsia="宋体" w:hAnsi="宋体" w:cs="Times New Roman" w:hint="eastAsia"/>
          <w:b/>
          <w:kern w:val="0"/>
          <w:sz w:val="30"/>
          <w:szCs w:val="20"/>
          <w:lang w:val="x-none" w:eastAsia="x-none"/>
        </w:rPr>
        <w:t>十六、托管协议的变更、终止与基金财产的清算</w:t>
      </w:r>
      <w:bookmarkEnd w:id="94"/>
      <w:proofErr w:type="spellEnd"/>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（一）托管协议的变更程序</w:t>
      </w:r>
    </w:p>
    <w:p w:rsidR="004D4BDB" w:rsidRPr="004D4BDB" w:rsidRDefault="004D4BDB" w:rsidP="004D4BDB">
      <w:pPr>
        <w:adjustRightInd w:val="0"/>
        <w:snapToGrid w:val="0"/>
        <w:spacing w:line="360" w:lineRule="auto"/>
        <w:ind w:firstLineChars="200" w:firstLine="480"/>
        <w:rPr>
          <w:rFonts w:ascii="宋体" w:eastAsia="宋体" w:hAnsi="宋体" w:cs="Times New Roman"/>
          <w:sz w:val="30"/>
          <w:szCs w:val="30"/>
        </w:rPr>
      </w:pPr>
      <w:r w:rsidRPr="004D4BDB">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本协议双方当事人经协商一致，可以对协议进行修改。修改后的新协议，其内容不得与《基金合同》的规定有任何冲突。基金托管协议的变更报中国证监会备案后生效。</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（二）托管协议终止的情形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1.《基金合同》终止；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lastRenderedPageBreak/>
        <w:t>2.基金托管人解散、依法被撤销、破产或由其他基金托管人接管基金资产；</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3.基金管理人解散、依法被撤销、破产或由其他基金管理人接管基金管理权；</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4.发生法律法规或《基金合同》规定的终止事项。</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（三）基金财产的清算</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4.基金财产清算程序：</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(1)《基金合同》终止情形出现时，由基金财产清算小组统一接管基金；</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(2)对基金财产和债权债务进行清理和确认；</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(3)对基金财产进行估值和变现；</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(4)制作清算报告；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(5)聘请会计师事务所对清算报告进行外部审计，聘请律师事务所对清算报告出具法律意见书；</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(6)将清算结果报中国证监会备案确认并公告；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(7)对基金财产进行分配。</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5.基金财产清算的期限为6个月</w:t>
      </w:r>
      <w:r w:rsidRPr="004D4BDB">
        <w:rPr>
          <w:rFonts w:ascii="宋体" w:eastAsia="宋体" w:hAnsi="宋体" w:cs="Arial" w:hint="eastAsia"/>
          <w:bCs/>
          <w:sz w:val="24"/>
          <w:szCs w:val="24"/>
        </w:rPr>
        <w:t>，基金财产清算小组可根据清算的具体情况适当延长清算期限，并提前公告</w:t>
      </w:r>
      <w:r w:rsidRPr="004D4BDB">
        <w:rPr>
          <w:rFonts w:ascii="宋体" w:eastAsia="宋体" w:hAnsi="宋体" w:cs="Arial" w:hint="eastAsia"/>
          <w:sz w:val="24"/>
          <w:szCs w:val="24"/>
        </w:rPr>
        <w:t>。</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6.清算费用</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7.基金财产清算剩余资产的分配：</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lastRenderedPageBreak/>
        <w:t>8.基金财产清算的公告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确认后5个工作日内由基金财产清算小组进行公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9.基金财产清算账册及文件的保存</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基金财产清算账册及有关文件由基金托管人保存15年以上。</w:t>
      </w:r>
    </w:p>
    <w:p w:rsidR="004D4BDB" w:rsidRPr="004D4BDB" w:rsidRDefault="004D4BDB" w:rsidP="004D4BDB">
      <w:pPr>
        <w:adjustRightInd w:val="0"/>
        <w:snapToGrid w:val="0"/>
        <w:spacing w:line="360" w:lineRule="auto"/>
        <w:rPr>
          <w:rFonts w:ascii="宋体" w:eastAsia="宋体" w:hAnsi="宋体" w:cs="Arial"/>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5" w:name="_Toc124325901"/>
      <w:proofErr w:type="spellStart"/>
      <w:r w:rsidRPr="004D4BDB">
        <w:rPr>
          <w:rFonts w:ascii="宋体" w:eastAsia="宋体" w:hAnsi="宋体" w:cs="Times New Roman" w:hint="eastAsia"/>
          <w:b/>
          <w:kern w:val="0"/>
          <w:sz w:val="30"/>
          <w:szCs w:val="20"/>
          <w:lang w:val="x-none" w:eastAsia="x-none"/>
        </w:rPr>
        <w:t>十七、违约责任</w:t>
      </w:r>
      <w:bookmarkEnd w:id="95"/>
      <w:proofErr w:type="spellEnd"/>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（一）基金管理人、基金托管人不履行本协议或履行本协议不符合约定的，应当承担违约责任。</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1.不可抗力；</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2.基金管理人、基金托管人按照当时有效的法律法规或中国证监会的规定作为或不作为而造成的损失等；</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3.基金管理人由于按照《基金合同》规定的投资原则投资或不投资造成的直接损失或潜在损失等；</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4.非因基金管理人、基金托管人的故意或重大过失造成的计算机系统故障、网络故障、通讯故障、电力故障、计算机病毒攻击及其它意外事故所导致的损失等。</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（四）一方当事人违约，另一方当事人在职责范围内有义务及时采取必要的措施，尽力防止损失的扩大。没有采取适当措施致使损失进一步扩大的，不得就</w:t>
      </w:r>
      <w:r w:rsidRPr="004D4BDB">
        <w:rPr>
          <w:rFonts w:ascii="宋体" w:eastAsia="宋体" w:hAnsi="宋体" w:cs="Arial" w:hint="eastAsia"/>
          <w:sz w:val="24"/>
          <w:szCs w:val="24"/>
        </w:rPr>
        <w:lastRenderedPageBreak/>
        <w:t>扩大的损失要求赔偿。非违约方因防止损失扩大而支出的合理费用由违约方承担。</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
    <w:p w:rsidR="004D4BDB" w:rsidRPr="004D4BDB" w:rsidRDefault="004D4BDB" w:rsidP="004D4BDB">
      <w:pPr>
        <w:adjustRightInd w:val="0"/>
        <w:snapToGrid w:val="0"/>
        <w:spacing w:line="360" w:lineRule="auto"/>
        <w:ind w:firstLineChars="200" w:firstLine="480"/>
        <w:outlineLvl w:val="0"/>
        <w:rPr>
          <w:rFonts w:ascii="宋体" w:eastAsia="宋体" w:hAnsi="宋体" w:cs="Arial"/>
          <w:sz w:val="24"/>
          <w:szCs w:val="24"/>
        </w:rPr>
      </w:pPr>
      <w:r w:rsidRPr="004D4BDB">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D4BDB" w:rsidRPr="004D4BDB" w:rsidRDefault="004D4BDB" w:rsidP="004D4BDB">
      <w:pPr>
        <w:adjustRightInd w:val="0"/>
        <w:snapToGrid w:val="0"/>
        <w:spacing w:line="360" w:lineRule="auto"/>
        <w:outlineLvl w:val="0"/>
        <w:rPr>
          <w:rFonts w:ascii="宋体" w:eastAsia="宋体" w:hAnsi="宋体" w:cs="Arial"/>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6" w:name="_Toc124325902"/>
      <w:proofErr w:type="spellStart"/>
      <w:r w:rsidRPr="004D4BDB">
        <w:rPr>
          <w:rFonts w:ascii="宋体" w:eastAsia="宋体" w:hAnsi="宋体" w:cs="Times New Roman" w:hint="eastAsia"/>
          <w:b/>
          <w:kern w:val="0"/>
          <w:sz w:val="30"/>
          <w:szCs w:val="20"/>
          <w:lang w:val="x-none" w:eastAsia="x-none"/>
        </w:rPr>
        <w:t>十八、争议解决方式</w:t>
      </w:r>
      <w:bookmarkEnd w:id="96"/>
      <w:proofErr w:type="spellEnd"/>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本协议受中国法律管辖。</w:t>
      </w:r>
    </w:p>
    <w:p w:rsidR="004D4BDB" w:rsidRPr="004D4BDB" w:rsidRDefault="004D4BDB" w:rsidP="004D4BDB">
      <w:pPr>
        <w:adjustRightInd w:val="0"/>
        <w:snapToGrid w:val="0"/>
        <w:spacing w:line="360" w:lineRule="auto"/>
        <w:rPr>
          <w:rFonts w:ascii="宋体" w:eastAsia="宋体" w:hAnsi="宋体" w:cs="Arial"/>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7" w:name="_Toc124325903"/>
      <w:proofErr w:type="spellStart"/>
      <w:r w:rsidRPr="004D4BDB">
        <w:rPr>
          <w:rFonts w:ascii="宋体" w:eastAsia="宋体" w:hAnsi="宋体" w:cs="Times New Roman" w:hint="eastAsia"/>
          <w:b/>
          <w:kern w:val="0"/>
          <w:sz w:val="30"/>
          <w:szCs w:val="20"/>
          <w:lang w:val="x-none" w:eastAsia="x-none"/>
        </w:rPr>
        <w:t>十九、托管协议的效力</w:t>
      </w:r>
      <w:bookmarkEnd w:id="97"/>
      <w:proofErr w:type="spellEnd"/>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双方对托管协议的效力约定如下：</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w:t>
      </w:r>
      <w:r w:rsidRPr="004D4BDB">
        <w:rPr>
          <w:rFonts w:ascii="宋体" w:eastAsia="宋体" w:hAnsi="宋体" w:cs="Arial" w:hint="eastAsia"/>
          <w:sz w:val="24"/>
          <w:szCs w:val="24"/>
        </w:rPr>
        <w:lastRenderedPageBreak/>
        <w:t>案确认并公告之日止。</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（三）托管协议自生效之日起对托管协议当事人具有同等的法律约束力。</w:t>
      </w:r>
    </w:p>
    <w:p w:rsidR="004D4BDB" w:rsidRPr="004D4BDB" w:rsidRDefault="004D4BDB" w:rsidP="004D4BDB">
      <w:pPr>
        <w:adjustRightInd w:val="0"/>
        <w:snapToGrid w:val="0"/>
        <w:spacing w:line="360" w:lineRule="auto"/>
        <w:ind w:firstLineChars="200" w:firstLine="480"/>
        <w:rPr>
          <w:rFonts w:ascii="宋体" w:eastAsia="宋体" w:hAnsi="宋体" w:cs="Times New Roman"/>
          <w:sz w:val="30"/>
          <w:szCs w:val="30"/>
        </w:rPr>
      </w:pPr>
      <w:r w:rsidRPr="004D4BDB">
        <w:rPr>
          <w:rFonts w:ascii="宋体" w:eastAsia="宋体" w:hAnsi="宋体" w:cs="Arial" w:hint="eastAsia"/>
          <w:sz w:val="24"/>
          <w:szCs w:val="24"/>
        </w:rPr>
        <w:t>（四）本协议一式六份，协议双方各持二份，上报监管机构二份，每份具有同等的法律效力。</w:t>
      </w:r>
    </w:p>
    <w:p w:rsidR="004D4BDB" w:rsidRPr="004D4BDB" w:rsidRDefault="004D4BDB" w:rsidP="004D4BDB">
      <w:pPr>
        <w:adjustRightInd w:val="0"/>
        <w:snapToGrid w:val="0"/>
        <w:spacing w:line="360" w:lineRule="auto"/>
        <w:rPr>
          <w:rFonts w:ascii="宋体" w:eastAsia="宋体" w:hAnsi="宋体" w:cs="Arial"/>
          <w:sz w:val="24"/>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8" w:name="_Toc124325904"/>
      <w:proofErr w:type="spellStart"/>
      <w:r w:rsidRPr="004D4BDB">
        <w:rPr>
          <w:rFonts w:ascii="宋体" w:eastAsia="宋体" w:hAnsi="宋体" w:cs="Times New Roman" w:hint="eastAsia"/>
          <w:b/>
          <w:kern w:val="0"/>
          <w:sz w:val="30"/>
          <w:szCs w:val="20"/>
          <w:lang w:val="x-none" w:eastAsia="x-none"/>
        </w:rPr>
        <w:t>二十、其他事项</w:t>
      </w:r>
      <w:bookmarkEnd w:id="98"/>
      <w:proofErr w:type="spellEnd"/>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如发生有权司法机关依法冻结基金份额持有人的基金份额时，基金管理人应予以配合，承担司法协助义务。</w:t>
      </w:r>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rsidR="004D4BDB" w:rsidRPr="004D4BDB" w:rsidRDefault="004D4BDB" w:rsidP="004D4BDB">
      <w:pPr>
        <w:adjustRightInd w:val="0"/>
        <w:snapToGrid w:val="0"/>
        <w:spacing w:line="360" w:lineRule="auto"/>
        <w:rPr>
          <w:rFonts w:ascii="宋体" w:eastAsia="宋体" w:hAnsi="宋体" w:cs="Times New Roman"/>
          <w:b/>
          <w:bCs/>
          <w:szCs w:val="24"/>
        </w:rPr>
      </w:pPr>
    </w:p>
    <w:p w:rsidR="004D4BDB" w:rsidRPr="004D4BDB" w:rsidRDefault="004D4BDB" w:rsidP="004D4BDB">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9" w:name="_Toc124325905"/>
      <w:proofErr w:type="spellStart"/>
      <w:r w:rsidRPr="004D4BDB">
        <w:rPr>
          <w:rFonts w:ascii="宋体" w:eastAsia="宋体" w:hAnsi="宋体" w:cs="Times New Roman" w:hint="eastAsia"/>
          <w:b/>
          <w:kern w:val="0"/>
          <w:sz w:val="30"/>
          <w:szCs w:val="20"/>
          <w:lang w:val="x-none" w:eastAsia="x-none"/>
        </w:rPr>
        <w:t>二十一、托管协议的签订</w:t>
      </w:r>
      <w:bookmarkEnd w:id="99"/>
      <w:proofErr w:type="spellEnd"/>
    </w:p>
    <w:p w:rsidR="004D4BDB" w:rsidRPr="004D4BDB" w:rsidRDefault="004D4BDB" w:rsidP="004D4BDB">
      <w:pPr>
        <w:adjustRightInd w:val="0"/>
        <w:snapToGrid w:val="0"/>
        <w:spacing w:line="360" w:lineRule="auto"/>
        <w:ind w:firstLineChars="200" w:firstLine="480"/>
        <w:rPr>
          <w:rFonts w:ascii="宋体" w:eastAsia="宋体" w:hAnsi="宋体" w:cs="Arial"/>
          <w:sz w:val="24"/>
          <w:szCs w:val="24"/>
        </w:rPr>
      </w:pPr>
      <w:r w:rsidRPr="004D4BDB">
        <w:rPr>
          <w:rFonts w:ascii="宋体" w:eastAsia="宋体" w:hAnsi="宋体" w:cs="Arial" w:hint="eastAsia"/>
          <w:sz w:val="24"/>
          <w:szCs w:val="24"/>
        </w:rPr>
        <w:t>本协议双方法定代表人或授权代表签章、签订地、签订日</w:t>
      </w:r>
    </w:p>
    <w:p w:rsidR="004D4BDB" w:rsidRPr="004D4BDB" w:rsidRDefault="004D4BDB" w:rsidP="004D4BDB">
      <w:pPr>
        <w:adjustRightInd w:val="0"/>
        <w:snapToGrid w:val="0"/>
        <w:ind w:firstLineChars="200" w:firstLine="480"/>
        <w:rPr>
          <w:rFonts w:ascii="宋体" w:eastAsia="宋体" w:hAnsi="宋体" w:cs="Arial"/>
          <w:sz w:val="24"/>
          <w:szCs w:val="24"/>
        </w:rPr>
        <w:sectPr w:rsidR="004D4BDB" w:rsidRPr="004D4BDB" w:rsidSect="006072FC">
          <w:footerReference w:type="default" r:id="rId11"/>
          <w:pgSz w:w="11906" w:h="16838" w:code="9"/>
          <w:pgMar w:top="1418" w:right="1701" w:bottom="1418" w:left="1701" w:header="851" w:footer="992" w:gutter="0"/>
          <w:pgNumType w:start="1"/>
          <w:cols w:space="425"/>
          <w:docGrid w:type="lines" w:linePitch="312"/>
        </w:sectPr>
      </w:pPr>
    </w:p>
    <w:p w:rsidR="004D4BDB" w:rsidRPr="004D4BDB" w:rsidRDefault="004D4BDB" w:rsidP="004D4BDB">
      <w:pPr>
        <w:spacing w:line="360" w:lineRule="auto"/>
        <w:ind w:right="26"/>
        <w:rPr>
          <w:rFonts w:ascii="宋体" w:eastAsia="宋体" w:hAnsi="宋体" w:cs="Times New Roman"/>
          <w:sz w:val="24"/>
          <w:szCs w:val="24"/>
        </w:rPr>
      </w:pPr>
      <w:r w:rsidRPr="004D4BDB">
        <w:rPr>
          <w:rFonts w:ascii="宋体" w:eastAsia="宋体" w:hAnsi="宋体" w:cs="Times New Roman" w:hint="eastAsia"/>
          <w:sz w:val="24"/>
          <w:szCs w:val="24"/>
        </w:rPr>
        <w:lastRenderedPageBreak/>
        <w:t>本页无正文，为《广发</w:t>
      </w:r>
      <w:r w:rsidR="00CF2AFE">
        <w:rPr>
          <w:rFonts w:ascii="宋体" w:eastAsia="宋体" w:hAnsi="宋体" w:cs="Times New Roman" w:hint="eastAsia"/>
          <w:sz w:val="24"/>
          <w:szCs w:val="24"/>
        </w:rPr>
        <w:t>集丰债券型</w:t>
      </w:r>
      <w:r w:rsidRPr="004D4BDB">
        <w:rPr>
          <w:rFonts w:ascii="宋体" w:eastAsia="宋体" w:hAnsi="宋体" w:cs="Times New Roman" w:hint="eastAsia"/>
          <w:sz w:val="24"/>
          <w:szCs w:val="24"/>
        </w:rPr>
        <w:t>证券投资基金托管协议》的签字盖章页。</w:t>
      </w:r>
    </w:p>
    <w:p w:rsidR="004D4BDB" w:rsidRPr="004D4BDB" w:rsidRDefault="004D4BDB" w:rsidP="004D4BDB">
      <w:pPr>
        <w:spacing w:line="360" w:lineRule="auto"/>
        <w:rPr>
          <w:rFonts w:ascii="宋体" w:eastAsia="宋体" w:hAnsi="宋体" w:cs="Times New Roman"/>
          <w:sz w:val="24"/>
          <w:szCs w:val="24"/>
        </w:rPr>
      </w:pPr>
    </w:p>
    <w:p w:rsidR="004D4BDB" w:rsidRPr="004D4BDB" w:rsidRDefault="004D4BDB" w:rsidP="004D4BDB">
      <w:pPr>
        <w:spacing w:line="360" w:lineRule="auto"/>
        <w:rPr>
          <w:rFonts w:ascii="宋体" w:eastAsia="宋体" w:hAnsi="宋体" w:cs="Times New Roman"/>
          <w:sz w:val="24"/>
          <w:szCs w:val="24"/>
        </w:rPr>
      </w:pPr>
    </w:p>
    <w:p w:rsidR="004D4BDB" w:rsidRPr="004D4BDB" w:rsidRDefault="004D4BDB" w:rsidP="004D4BDB">
      <w:pPr>
        <w:spacing w:line="360" w:lineRule="auto"/>
        <w:rPr>
          <w:rFonts w:ascii="宋体" w:eastAsia="宋体" w:hAnsi="宋体" w:cs="Times New Roman"/>
          <w:sz w:val="24"/>
          <w:szCs w:val="24"/>
        </w:rPr>
      </w:pPr>
    </w:p>
    <w:p w:rsidR="004D4BDB" w:rsidRPr="004D4BDB" w:rsidRDefault="004D4BDB" w:rsidP="004D4BDB">
      <w:pPr>
        <w:spacing w:line="360" w:lineRule="auto"/>
        <w:ind w:right="26"/>
        <w:rPr>
          <w:rFonts w:ascii="宋体" w:eastAsia="宋体" w:hAnsi="宋体" w:cs="Times New Roman"/>
          <w:sz w:val="24"/>
          <w:szCs w:val="24"/>
        </w:rPr>
      </w:pPr>
      <w:r w:rsidRPr="004D4BDB">
        <w:rPr>
          <w:rFonts w:ascii="宋体" w:eastAsia="宋体" w:hAnsi="宋体" w:cs="Times New Roman" w:hint="eastAsia"/>
          <w:sz w:val="24"/>
          <w:szCs w:val="24"/>
        </w:rPr>
        <w:t>基金管理人： 广发基金管理有限公司（盖章）</w:t>
      </w:r>
    </w:p>
    <w:p w:rsidR="004D4BDB" w:rsidRPr="004D4BDB" w:rsidRDefault="004D4BDB" w:rsidP="004D4BDB">
      <w:pPr>
        <w:spacing w:line="360" w:lineRule="auto"/>
        <w:ind w:right="26"/>
        <w:rPr>
          <w:rFonts w:ascii="宋体" w:eastAsia="宋体" w:hAnsi="宋体" w:cs="Times New Roman"/>
          <w:sz w:val="24"/>
          <w:szCs w:val="24"/>
        </w:rPr>
      </w:pPr>
    </w:p>
    <w:p w:rsidR="004D4BDB" w:rsidRPr="004D4BDB" w:rsidRDefault="004D4BDB" w:rsidP="004D4BDB">
      <w:pPr>
        <w:spacing w:line="360" w:lineRule="auto"/>
        <w:ind w:right="26"/>
        <w:rPr>
          <w:rFonts w:ascii="宋体" w:eastAsia="宋体" w:hAnsi="宋体" w:cs="Times New Roman"/>
          <w:sz w:val="24"/>
          <w:szCs w:val="24"/>
        </w:rPr>
      </w:pPr>
    </w:p>
    <w:p w:rsidR="004D4BDB" w:rsidRPr="004D4BDB" w:rsidRDefault="004D4BDB" w:rsidP="004D4BDB">
      <w:pPr>
        <w:spacing w:line="360" w:lineRule="auto"/>
        <w:ind w:right="26"/>
        <w:rPr>
          <w:rFonts w:ascii="宋体" w:eastAsia="宋体" w:hAnsi="宋体" w:cs="Times New Roman"/>
          <w:sz w:val="24"/>
          <w:szCs w:val="24"/>
        </w:rPr>
      </w:pPr>
      <w:r w:rsidRPr="004D4BDB">
        <w:rPr>
          <w:rFonts w:ascii="宋体" w:eastAsia="宋体" w:hAnsi="宋体" w:cs="Times New Roman" w:hint="eastAsia"/>
          <w:sz w:val="24"/>
          <w:szCs w:val="24"/>
        </w:rPr>
        <w:t xml:space="preserve">法定代表人或授权代表：                   </w:t>
      </w:r>
    </w:p>
    <w:p w:rsidR="004D4BDB" w:rsidRPr="004D4BDB" w:rsidRDefault="004D4BDB" w:rsidP="004D4BDB">
      <w:pPr>
        <w:spacing w:line="360" w:lineRule="auto"/>
        <w:ind w:right="26"/>
        <w:rPr>
          <w:rFonts w:ascii="宋体" w:eastAsia="宋体" w:hAnsi="宋体" w:cs="Times New Roman"/>
          <w:sz w:val="24"/>
          <w:szCs w:val="24"/>
        </w:rPr>
      </w:pPr>
    </w:p>
    <w:p w:rsidR="004D4BDB" w:rsidRPr="004D4BDB" w:rsidRDefault="004D4BDB" w:rsidP="004D4BDB">
      <w:pPr>
        <w:spacing w:line="360" w:lineRule="auto"/>
        <w:ind w:right="26"/>
        <w:rPr>
          <w:rFonts w:ascii="宋体" w:eastAsia="宋体" w:hAnsi="宋体" w:cs="Times New Roman"/>
          <w:sz w:val="24"/>
          <w:szCs w:val="24"/>
        </w:rPr>
      </w:pPr>
    </w:p>
    <w:p w:rsidR="004D4BDB" w:rsidRPr="004D4BDB" w:rsidRDefault="004D4BDB" w:rsidP="004D4BDB">
      <w:pPr>
        <w:spacing w:line="360" w:lineRule="auto"/>
        <w:ind w:right="26"/>
        <w:rPr>
          <w:rFonts w:ascii="宋体" w:eastAsia="宋体" w:hAnsi="宋体" w:cs="Times New Roman"/>
          <w:sz w:val="24"/>
          <w:szCs w:val="24"/>
        </w:rPr>
      </w:pPr>
    </w:p>
    <w:p w:rsidR="004D4BDB" w:rsidRPr="004D4BDB" w:rsidRDefault="004D4BDB" w:rsidP="004D4BDB">
      <w:pPr>
        <w:spacing w:line="360" w:lineRule="auto"/>
        <w:ind w:right="26"/>
        <w:rPr>
          <w:rFonts w:ascii="宋体" w:eastAsia="宋体" w:hAnsi="宋体" w:cs="Times New Roman"/>
          <w:sz w:val="24"/>
          <w:szCs w:val="24"/>
        </w:rPr>
      </w:pPr>
      <w:r w:rsidRPr="004D4BDB">
        <w:rPr>
          <w:rFonts w:ascii="宋体" w:eastAsia="宋体" w:hAnsi="宋体" w:cs="Times New Roman" w:hint="eastAsia"/>
          <w:sz w:val="24"/>
          <w:szCs w:val="24"/>
        </w:rPr>
        <w:t>基金托管人：中国建设银行股份有限公司（盖章）</w:t>
      </w:r>
    </w:p>
    <w:p w:rsidR="004D4BDB" w:rsidRPr="004D4BDB" w:rsidRDefault="004D4BDB" w:rsidP="004D4BDB">
      <w:pPr>
        <w:spacing w:line="360" w:lineRule="auto"/>
        <w:ind w:right="26"/>
        <w:rPr>
          <w:rFonts w:ascii="宋体" w:eastAsia="宋体" w:hAnsi="宋体" w:cs="Times New Roman"/>
          <w:sz w:val="24"/>
          <w:szCs w:val="24"/>
        </w:rPr>
      </w:pPr>
    </w:p>
    <w:p w:rsidR="004D4BDB" w:rsidRPr="004D4BDB" w:rsidRDefault="004D4BDB" w:rsidP="004D4BDB">
      <w:pPr>
        <w:spacing w:line="360" w:lineRule="auto"/>
        <w:ind w:right="26"/>
        <w:rPr>
          <w:rFonts w:ascii="宋体" w:eastAsia="宋体" w:hAnsi="宋体" w:cs="Times New Roman"/>
          <w:sz w:val="24"/>
          <w:szCs w:val="24"/>
        </w:rPr>
      </w:pPr>
    </w:p>
    <w:p w:rsidR="004D4BDB" w:rsidRPr="004D4BDB" w:rsidRDefault="004D4BDB" w:rsidP="004D4BDB">
      <w:pPr>
        <w:spacing w:line="360" w:lineRule="auto"/>
        <w:ind w:right="26"/>
        <w:rPr>
          <w:rFonts w:ascii="宋体" w:eastAsia="宋体" w:hAnsi="宋体" w:cs="Times New Roman"/>
          <w:sz w:val="24"/>
          <w:szCs w:val="24"/>
        </w:rPr>
      </w:pPr>
    </w:p>
    <w:p w:rsidR="004D4BDB" w:rsidRPr="004D4BDB" w:rsidRDefault="004D4BDB" w:rsidP="004D4BDB">
      <w:pPr>
        <w:spacing w:line="360" w:lineRule="auto"/>
        <w:ind w:right="26"/>
        <w:rPr>
          <w:rFonts w:ascii="宋体" w:eastAsia="宋体" w:hAnsi="宋体" w:cs="Times New Roman"/>
          <w:sz w:val="24"/>
          <w:szCs w:val="24"/>
        </w:rPr>
      </w:pPr>
    </w:p>
    <w:p w:rsidR="004D4BDB" w:rsidRPr="004D4BDB" w:rsidRDefault="004D4BDB" w:rsidP="004D4BDB">
      <w:pPr>
        <w:spacing w:line="360" w:lineRule="auto"/>
        <w:ind w:right="26"/>
        <w:rPr>
          <w:rFonts w:ascii="宋体" w:eastAsia="宋体" w:hAnsi="宋体" w:cs="Times New Roman"/>
          <w:sz w:val="24"/>
          <w:szCs w:val="24"/>
        </w:rPr>
      </w:pPr>
      <w:r w:rsidRPr="004D4BDB">
        <w:rPr>
          <w:rFonts w:ascii="宋体" w:eastAsia="宋体" w:hAnsi="宋体" w:cs="Times New Roman" w:hint="eastAsia"/>
          <w:sz w:val="24"/>
          <w:szCs w:val="24"/>
        </w:rPr>
        <w:t xml:space="preserve">法定代表人或授权代表：                   </w:t>
      </w:r>
    </w:p>
    <w:p w:rsidR="004D4BDB" w:rsidRPr="004D4BDB" w:rsidRDefault="004D4BDB" w:rsidP="004D4BDB">
      <w:pPr>
        <w:spacing w:line="360" w:lineRule="auto"/>
        <w:ind w:right="26"/>
        <w:rPr>
          <w:rFonts w:ascii="宋体" w:eastAsia="宋体" w:hAnsi="宋体" w:cs="Times New Roman"/>
          <w:b/>
          <w:sz w:val="24"/>
          <w:szCs w:val="28"/>
        </w:rPr>
      </w:pPr>
    </w:p>
    <w:p w:rsidR="004D4BDB" w:rsidRPr="004D4BDB" w:rsidRDefault="004D4BDB" w:rsidP="004D4BDB">
      <w:pPr>
        <w:spacing w:line="360" w:lineRule="auto"/>
        <w:ind w:right="26"/>
        <w:rPr>
          <w:rFonts w:ascii="宋体" w:eastAsia="宋体" w:hAnsi="宋体" w:cs="Times New Roman"/>
          <w:b/>
          <w:sz w:val="24"/>
          <w:szCs w:val="28"/>
        </w:rPr>
      </w:pPr>
    </w:p>
    <w:p w:rsidR="004D4BDB" w:rsidRPr="004D4BDB" w:rsidRDefault="004D4BDB" w:rsidP="004D4BDB">
      <w:pPr>
        <w:spacing w:line="360" w:lineRule="auto"/>
        <w:ind w:right="26"/>
        <w:rPr>
          <w:rFonts w:ascii="宋体" w:eastAsia="宋体" w:hAnsi="宋体" w:cs="Times New Roman"/>
          <w:b/>
          <w:sz w:val="24"/>
          <w:szCs w:val="28"/>
        </w:rPr>
      </w:pPr>
    </w:p>
    <w:p w:rsidR="004D4BDB" w:rsidRPr="004D4BDB" w:rsidRDefault="004D4BDB" w:rsidP="004D4BDB">
      <w:pPr>
        <w:spacing w:line="360" w:lineRule="auto"/>
        <w:ind w:right="26"/>
        <w:rPr>
          <w:rFonts w:ascii="宋体" w:eastAsia="宋体" w:hAnsi="宋体" w:cs="Times New Roman"/>
          <w:b/>
          <w:sz w:val="24"/>
          <w:szCs w:val="28"/>
        </w:rPr>
      </w:pPr>
      <w:r w:rsidRPr="004D4BDB">
        <w:rPr>
          <w:rFonts w:ascii="宋体" w:eastAsia="宋体" w:hAnsi="宋体" w:cs="Times New Roman" w:hint="eastAsia"/>
          <w:b/>
          <w:sz w:val="24"/>
          <w:szCs w:val="28"/>
        </w:rPr>
        <w:t>签订地点：北京</w:t>
      </w:r>
    </w:p>
    <w:p w:rsidR="004D4BDB" w:rsidRPr="004D4BDB" w:rsidRDefault="004D4BDB" w:rsidP="004D4BDB">
      <w:pPr>
        <w:spacing w:line="360" w:lineRule="auto"/>
        <w:ind w:right="26"/>
        <w:rPr>
          <w:rFonts w:ascii="宋体" w:eastAsia="宋体" w:hAnsi="宋体" w:cs="Times New Roman"/>
          <w:b/>
          <w:sz w:val="24"/>
          <w:szCs w:val="28"/>
        </w:rPr>
      </w:pPr>
      <w:r w:rsidRPr="004D4BDB">
        <w:rPr>
          <w:rFonts w:ascii="宋体" w:eastAsia="宋体" w:hAnsi="宋体" w:cs="Times New Roman" w:hint="eastAsia"/>
          <w:b/>
          <w:sz w:val="24"/>
          <w:szCs w:val="28"/>
        </w:rPr>
        <w:t>签 订 日：二零一</w:t>
      </w:r>
      <w:r w:rsidR="000547C4">
        <w:rPr>
          <w:rFonts w:ascii="宋体" w:eastAsia="宋体" w:hAnsi="宋体" w:cs="Times New Roman" w:hint="eastAsia"/>
          <w:b/>
          <w:sz w:val="24"/>
          <w:szCs w:val="28"/>
        </w:rPr>
        <w:t xml:space="preserve">  </w:t>
      </w:r>
      <w:r w:rsidRPr="004D4BDB">
        <w:rPr>
          <w:rFonts w:ascii="宋体" w:eastAsia="宋体" w:hAnsi="宋体" w:cs="Times New Roman" w:hint="eastAsia"/>
          <w:b/>
          <w:sz w:val="24"/>
          <w:szCs w:val="28"/>
        </w:rPr>
        <w:t xml:space="preserve">年 </w:t>
      </w:r>
      <w:r w:rsidR="000547C4">
        <w:rPr>
          <w:rFonts w:ascii="宋体" w:eastAsia="宋体" w:hAnsi="宋体" w:cs="Times New Roman" w:hint="eastAsia"/>
          <w:b/>
          <w:sz w:val="24"/>
          <w:szCs w:val="28"/>
        </w:rPr>
        <w:t xml:space="preserve"> </w:t>
      </w:r>
      <w:r w:rsidRPr="004D4BDB">
        <w:rPr>
          <w:rFonts w:ascii="宋体" w:eastAsia="宋体" w:hAnsi="宋体" w:cs="Times New Roman" w:hint="eastAsia"/>
          <w:b/>
          <w:sz w:val="24"/>
          <w:szCs w:val="28"/>
        </w:rPr>
        <w:t xml:space="preserve">月 </w:t>
      </w:r>
      <w:r w:rsidR="000547C4">
        <w:rPr>
          <w:rFonts w:ascii="宋体" w:eastAsia="宋体" w:hAnsi="宋体" w:cs="Times New Roman" w:hint="eastAsia"/>
          <w:b/>
          <w:sz w:val="24"/>
          <w:szCs w:val="28"/>
        </w:rPr>
        <w:t xml:space="preserve"> </w:t>
      </w:r>
      <w:r w:rsidRPr="004D4BDB">
        <w:rPr>
          <w:rFonts w:ascii="宋体" w:eastAsia="宋体" w:hAnsi="宋体" w:cs="Times New Roman" w:hint="eastAsia"/>
          <w:b/>
          <w:sz w:val="24"/>
          <w:szCs w:val="28"/>
        </w:rPr>
        <w:t>日</w:t>
      </w:r>
    </w:p>
    <w:p w:rsidR="004D4BDB" w:rsidRPr="004D4BDB" w:rsidRDefault="004D4BDB" w:rsidP="004D4BDB">
      <w:pPr>
        <w:adjustRightInd w:val="0"/>
        <w:snapToGrid w:val="0"/>
        <w:rPr>
          <w:rFonts w:ascii="宋体" w:eastAsia="宋体" w:hAnsi="宋体" w:cs="Arial"/>
          <w:sz w:val="24"/>
          <w:szCs w:val="24"/>
        </w:rPr>
      </w:pPr>
    </w:p>
    <w:p w:rsidR="004D4BDB" w:rsidRPr="004D4BDB" w:rsidRDefault="004D4BDB" w:rsidP="004D4BDB">
      <w:pPr>
        <w:rPr>
          <w:rFonts w:ascii="宋体" w:eastAsia="宋体" w:hAnsi="宋体" w:cs="Times New Roman"/>
          <w:szCs w:val="24"/>
        </w:rPr>
      </w:pPr>
    </w:p>
    <w:p w:rsidR="004D4BDB" w:rsidRPr="004D4BDB" w:rsidRDefault="004D4BDB" w:rsidP="004D4BDB">
      <w:pPr>
        <w:rPr>
          <w:rFonts w:ascii="宋体" w:eastAsia="宋体" w:hAnsi="宋体" w:cs="Times New Roman"/>
          <w:szCs w:val="24"/>
        </w:rPr>
      </w:pPr>
    </w:p>
    <w:p w:rsidR="00083CD8" w:rsidRPr="004D4BDB" w:rsidRDefault="00083CD8">
      <w:pPr>
        <w:rPr>
          <w:rFonts w:ascii="宋体" w:eastAsia="宋体" w:hAnsi="宋体"/>
        </w:rPr>
      </w:pPr>
    </w:p>
    <w:sectPr w:rsidR="00083CD8" w:rsidRPr="004D4BDB" w:rsidSect="00083CD8">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C4" w:rsidRDefault="00C043C4" w:rsidP="004D4BDB">
      <w:r>
        <w:separator/>
      </w:r>
    </w:p>
  </w:endnote>
  <w:endnote w:type="continuationSeparator" w:id="0">
    <w:p w:rsidR="00C043C4" w:rsidRDefault="00C043C4" w:rsidP="004D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FE" w:rsidRDefault="00CF2A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2AFE" w:rsidRDefault="00CF2A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FC" w:rsidRDefault="006072FC">
    <w:pPr>
      <w:pStyle w:val="a5"/>
      <w:jc w:val="center"/>
    </w:pPr>
  </w:p>
  <w:p w:rsidR="006072FC" w:rsidRDefault="006072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641021"/>
      <w:docPartObj>
        <w:docPartGallery w:val="Page Numbers (Bottom of Page)"/>
        <w:docPartUnique/>
      </w:docPartObj>
    </w:sdtPr>
    <w:sdtEndPr/>
    <w:sdtContent>
      <w:p w:rsidR="006072FC" w:rsidRDefault="006072FC">
        <w:pPr>
          <w:pStyle w:val="a5"/>
          <w:jc w:val="center"/>
        </w:pPr>
        <w:r>
          <w:rPr>
            <w:rFonts w:hint="eastAsia"/>
          </w:rPr>
          <w:t>4-</w:t>
        </w:r>
        <w:r>
          <w:fldChar w:fldCharType="begin"/>
        </w:r>
        <w:r>
          <w:instrText>PAGE   \* MERGEFORMAT</w:instrText>
        </w:r>
        <w:r>
          <w:fldChar w:fldCharType="separate"/>
        </w:r>
        <w:r w:rsidR="0080300E" w:rsidRPr="0080300E">
          <w:rPr>
            <w:noProof/>
            <w:lang w:val="zh-CN"/>
          </w:rPr>
          <w:t>2</w:t>
        </w:r>
        <w:r>
          <w:fldChar w:fldCharType="end"/>
        </w:r>
      </w:p>
    </w:sdtContent>
  </w:sdt>
  <w:p w:rsidR="006072FC" w:rsidRDefault="006072F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FE" w:rsidRDefault="00CF2A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C4" w:rsidRDefault="00C043C4" w:rsidP="004D4BDB">
      <w:r>
        <w:separator/>
      </w:r>
    </w:p>
  </w:footnote>
  <w:footnote w:type="continuationSeparator" w:id="0">
    <w:p w:rsidR="00C043C4" w:rsidRDefault="00C043C4" w:rsidP="004D4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FE" w:rsidRDefault="00CF2AFE">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FE" w:rsidRDefault="00CF2A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31"/>
    <w:rsid w:val="00017F6B"/>
    <w:rsid w:val="000349D9"/>
    <w:rsid w:val="000407AF"/>
    <w:rsid w:val="00041258"/>
    <w:rsid w:val="000463ED"/>
    <w:rsid w:val="000547C4"/>
    <w:rsid w:val="00066538"/>
    <w:rsid w:val="00083CD8"/>
    <w:rsid w:val="000871F5"/>
    <w:rsid w:val="000B7234"/>
    <w:rsid w:val="000F1384"/>
    <w:rsid w:val="001361F4"/>
    <w:rsid w:val="001F2EAE"/>
    <w:rsid w:val="00242EE9"/>
    <w:rsid w:val="00263783"/>
    <w:rsid w:val="002D2363"/>
    <w:rsid w:val="002E373E"/>
    <w:rsid w:val="00332399"/>
    <w:rsid w:val="003742A8"/>
    <w:rsid w:val="003A1216"/>
    <w:rsid w:val="003B372E"/>
    <w:rsid w:val="003E71A0"/>
    <w:rsid w:val="00425992"/>
    <w:rsid w:val="0043167E"/>
    <w:rsid w:val="004419CE"/>
    <w:rsid w:val="00450F5E"/>
    <w:rsid w:val="00460C69"/>
    <w:rsid w:val="004D4BDB"/>
    <w:rsid w:val="004E60E8"/>
    <w:rsid w:val="005226A1"/>
    <w:rsid w:val="00560E39"/>
    <w:rsid w:val="00592AC0"/>
    <w:rsid w:val="005C36C0"/>
    <w:rsid w:val="005E7393"/>
    <w:rsid w:val="00604019"/>
    <w:rsid w:val="006072FC"/>
    <w:rsid w:val="00613020"/>
    <w:rsid w:val="00614E05"/>
    <w:rsid w:val="0062218D"/>
    <w:rsid w:val="006917EF"/>
    <w:rsid w:val="00696244"/>
    <w:rsid w:val="006B077A"/>
    <w:rsid w:val="006D4F5D"/>
    <w:rsid w:val="006F4E7F"/>
    <w:rsid w:val="007026A3"/>
    <w:rsid w:val="0074589D"/>
    <w:rsid w:val="0075669D"/>
    <w:rsid w:val="007A1ECF"/>
    <w:rsid w:val="007A67C2"/>
    <w:rsid w:val="007B6D7A"/>
    <w:rsid w:val="0080300E"/>
    <w:rsid w:val="00810709"/>
    <w:rsid w:val="00835869"/>
    <w:rsid w:val="00866014"/>
    <w:rsid w:val="008B4BF7"/>
    <w:rsid w:val="008D2820"/>
    <w:rsid w:val="008E6D1A"/>
    <w:rsid w:val="008F293E"/>
    <w:rsid w:val="008F3D49"/>
    <w:rsid w:val="00942671"/>
    <w:rsid w:val="00957173"/>
    <w:rsid w:val="0096193D"/>
    <w:rsid w:val="009E6FA0"/>
    <w:rsid w:val="009F515D"/>
    <w:rsid w:val="00A01725"/>
    <w:rsid w:val="00A060DB"/>
    <w:rsid w:val="00A07CEB"/>
    <w:rsid w:val="00A7643B"/>
    <w:rsid w:val="00AD65B6"/>
    <w:rsid w:val="00AE3516"/>
    <w:rsid w:val="00B151D4"/>
    <w:rsid w:val="00B16687"/>
    <w:rsid w:val="00B17CEE"/>
    <w:rsid w:val="00B41974"/>
    <w:rsid w:val="00B479E3"/>
    <w:rsid w:val="00B74F77"/>
    <w:rsid w:val="00C043C4"/>
    <w:rsid w:val="00C04431"/>
    <w:rsid w:val="00C370C5"/>
    <w:rsid w:val="00C41071"/>
    <w:rsid w:val="00C47B3A"/>
    <w:rsid w:val="00C54C51"/>
    <w:rsid w:val="00C65CA9"/>
    <w:rsid w:val="00C84364"/>
    <w:rsid w:val="00CE3665"/>
    <w:rsid w:val="00CF2AFE"/>
    <w:rsid w:val="00CF5AA1"/>
    <w:rsid w:val="00D3599A"/>
    <w:rsid w:val="00D366D8"/>
    <w:rsid w:val="00D65BE8"/>
    <w:rsid w:val="00D675FB"/>
    <w:rsid w:val="00DC2C09"/>
    <w:rsid w:val="00DF284C"/>
    <w:rsid w:val="00E30D53"/>
    <w:rsid w:val="00E36931"/>
    <w:rsid w:val="00EC1474"/>
    <w:rsid w:val="00F221BA"/>
    <w:rsid w:val="00F3653B"/>
    <w:rsid w:val="00F52527"/>
    <w:rsid w:val="00FA65E5"/>
    <w:rsid w:val="00FB70B9"/>
    <w:rsid w:val="00FD7CB4"/>
    <w:rsid w:val="00FE2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4D4BDB"/>
    <w:pPr>
      <w:keepNext/>
      <w:keepLines/>
      <w:spacing w:before="260" w:after="260" w:line="416" w:lineRule="auto"/>
      <w:outlineLvl w:val="1"/>
    </w:pPr>
    <w:rPr>
      <w:rFonts w:ascii="Arial" w:eastAsia="黑体" w:hAnsi="Arial"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D4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D4BDB"/>
    <w:rPr>
      <w:sz w:val="18"/>
      <w:szCs w:val="18"/>
    </w:rPr>
  </w:style>
  <w:style w:type="paragraph" w:styleId="a5">
    <w:name w:val="footer"/>
    <w:basedOn w:val="a"/>
    <w:link w:val="Char0"/>
    <w:uiPriority w:val="99"/>
    <w:unhideWhenUsed/>
    <w:rsid w:val="004D4BDB"/>
    <w:pPr>
      <w:tabs>
        <w:tab w:val="center" w:pos="4153"/>
        <w:tab w:val="right" w:pos="8306"/>
      </w:tabs>
      <w:snapToGrid w:val="0"/>
      <w:jc w:val="left"/>
    </w:pPr>
    <w:rPr>
      <w:sz w:val="18"/>
      <w:szCs w:val="18"/>
    </w:rPr>
  </w:style>
  <w:style w:type="character" w:customStyle="1" w:styleId="Char0">
    <w:name w:val="页脚 Char"/>
    <w:basedOn w:val="a1"/>
    <w:link w:val="a5"/>
    <w:uiPriority w:val="99"/>
    <w:rsid w:val="004D4BDB"/>
    <w:rPr>
      <w:sz w:val="18"/>
      <w:szCs w:val="18"/>
    </w:rPr>
  </w:style>
  <w:style w:type="character" w:customStyle="1" w:styleId="2Char">
    <w:name w:val="标题 2 Char"/>
    <w:basedOn w:val="a1"/>
    <w:link w:val="2"/>
    <w:rsid w:val="004D4BDB"/>
    <w:rPr>
      <w:rFonts w:ascii="Arial" w:eastAsia="黑体" w:hAnsi="Arial" w:cs="Times New Roman"/>
      <w:b/>
      <w:kern w:val="0"/>
      <w:sz w:val="32"/>
      <w:szCs w:val="20"/>
      <w:lang w:val="x-none" w:eastAsia="x-none"/>
    </w:rPr>
  </w:style>
  <w:style w:type="numbering" w:customStyle="1" w:styleId="1">
    <w:name w:val="无列表1"/>
    <w:next w:val="a3"/>
    <w:uiPriority w:val="99"/>
    <w:semiHidden/>
    <w:unhideWhenUsed/>
    <w:rsid w:val="004D4BDB"/>
  </w:style>
  <w:style w:type="character" w:styleId="a6">
    <w:name w:val="page number"/>
    <w:basedOn w:val="a1"/>
    <w:rsid w:val="004D4BDB"/>
  </w:style>
  <w:style w:type="paragraph" w:styleId="a7">
    <w:name w:val="Normal (Web)"/>
    <w:basedOn w:val="a"/>
    <w:rsid w:val="004D4BDB"/>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4D4BDB"/>
    <w:rPr>
      <w:b/>
      <w:bCs/>
    </w:rPr>
  </w:style>
  <w:style w:type="character" w:styleId="a9">
    <w:name w:val="Hyperlink"/>
    <w:rsid w:val="004D4BDB"/>
    <w:rPr>
      <w:color w:val="0000FF"/>
      <w:u w:val="single"/>
    </w:rPr>
  </w:style>
  <w:style w:type="paragraph" w:customStyle="1" w:styleId="wz1">
    <w:name w:val="wz1"/>
    <w:basedOn w:val="a"/>
    <w:rsid w:val="004D4BD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4D4BDB"/>
    <w:pPr>
      <w:spacing w:line="360" w:lineRule="auto"/>
    </w:pPr>
    <w:rPr>
      <w:rFonts w:ascii="仿宋_GB2312" w:eastAsia="仿宋_GB2312" w:hAnsi="Times New Roman" w:cs="Times New Roman"/>
      <w:color w:val="000000"/>
      <w:kern w:val="0"/>
      <w:sz w:val="24"/>
      <w:szCs w:val="28"/>
      <w:lang w:val="x-none" w:eastAsia="x-none"/>
    </w:rPr>
  </w:style>
  <w:style w:type="character" w:customStyle="1" w:styleId="Char1">
    <w:name w:val="正文文本 Char"/>
    <w:basedOn w:val="a1"/>
    <w:link w:val="aa"/>
    <w:rsid w:val="004D4BDB"/>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4D4BDB"/>
  </w:style>
  <w:style w:type="paragraph" w:styleId="a0">
    <w:name w:val="Normal Indent"/>
    <w:basedOn w:val="a"/>
    <w:rsid w:val="004D4BDB"/>
    <w:pPr>
      <w:ind w:firstLineChars="200" w:firstLine="420"/>
    </w:pPr>
    <w:rPr>
      <w:rFonts w:ascii="Times New Roman" w:eastAsia="宋体" w:hAnsi="Times New Roman" w:cs="Times New Roman"/>
      <w:szCs w:val="24"/>
    </w:rPr>
  </w:style>
  <w:style w:type="paragraph" w:styleId="ab">
    <w:name w:val="Body Text Indent"/>
    <w:basedOn w:val="a"/>
    <w:link w:val="Char2"/>
    <w:rsid w:val="004D4BDB"/>
    <w:pPr>
      <w:adjustRightInd w:val="0"/>
      <w:snapToGrid w:val="0"/>
      <w:spacing w:line="560" w:lineRule="exact"/>
      <w:ind w:firstLineChars="200" w:firstLine="480"/>
    </w:pPr>
    <w:rPr>
      <w:rFonts w:ascii="Times New Roman" w:eastAsia="方正仿宋简体" w:hAnsi="Times New Roman" w:cs="Times New Roman"/>
      <w:kern w:val="0"/>
      <w:sz w:val="24"/>
      <w:szCs w:val="30"/>
      <w:lang w:val="x-none" w:eastAsia="x-none"/>
    </w:rPr>
  </w:style>
  <w:style w:type="character" w:customStyle="1" w:styleId="Char2">
    <w:name w:val="正文文本缩进 Char"/>
    <w:basedOn w:val="a1"/>
    <w:link w:val="ab"/>
    <w:rsid w:val="004D4BDB"/>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4D4BDB"/>
    <w:pPr>
      <w:spacing w:line="360" w:lineRule="auto"/>
      <w:ind w:firstLine="525"/>
    </w:pPr>
    <w:rPr>
      <w:rFonts w:ascii="宋体" w:eastAsia="宋体" w:hAnsi="宋体" w:cs="Times New Roman"/>
      <w:kern w:val="0"/>
      <w:sz w:val="28"/>
      <w:szCs w:val="20"/>
      <w:lang w:val="x-none" w:eastAsia="x-none"/>
    </w:rPr>
  </w:style>
  <w:style w:type="character" w:customStyle="1" w:styleId="2Char0">
    <w:name w:val="正文文本缩进 2 Char"/>
    <w:basedOn w:val="a1"/>
    <w:link w:val="20"/>
    <w:rsid w:val="004D4BDB"/>
    <w:rPr>
      <w:rFonts w:ascii="宋体" w:eastAsia="宋体" w:hAnsi="宋体" w:cs="Times New Roman"/>
      <w:kern w:val="0"/>
      <w:sz w:val="28"/>
      <w:szCs w:val="20"/>
      <w:lang w:val="x-none" w:eastAsia="x-none"/>
    </w:rPr>
  </w:style>
  <w:style w:type="paragraph" w:styleId="3">
    <w:name w:val="Body Text Indent 3"/>
    <w:basedOn w:val="a"/>
    <w:link w:val="3Char"/>
    <w:rsid w:val="004D4BDB"/>
    <w:pPr>
      <w:adjustRightInd w:val="0"/>
      <w:snapToGrid w:val="0"/>
      <w:ind w:firstLineChars="200" w:firstLine="480"/>
    </w:pPr>
    <w:rPr>
      <w:rFonts w:ascii="仿宋_GB2312" w:eastAsia="仿宋_GB2312" w:hAnsi="宋体" w:cs="Times New Roman"/>
      <w:color w:val="000000"/>
      <w:kern w:val="0"/>
      <w:sz w:val="24"/>
      <w:szCs w:val="24"/>
      <w:lang w:val="x-none" w:eastAsia="x-none"/>
    </w:rPr>
  </w:style>
  <w:style w:type="character" w:customStyle="1" w:styleId="3Char">
    <w:name w:val="正文文本缩进 3 Char"/>
    <w:basedOn w:val="a1"/>
    <w:link w:val="3"/>
    <w:rsid w:val="004D4BDB"/>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4D4BDB"/>
    <w:rPr>
      <w:rFonts w:ascii="Times New Roman" w:eastAsia="宋体" w:hAnsi="Times New Roman" w:cs="Times New Roman"/>
      <w:szCs w:val="24"/>
    </w:rPr>
  </w:style>
  <w:style w:type="paragraph" w:styleId="21">
    <w:name w:val="toc 2"/>
    <w:basedOn w:val="a"/>
    <w:next w:val="a"/>
    <w:autoRedefine/>
    <w:semiHidden/>
    <w:rsid w:val="004D4BDB"/>
    <w:pPr>
      <w:ind w:leftChars="200" w:left="420"/>
    </w:pPr>
    <w:rPr>
      <w:rFonts w:ascii="Times New Roman" w:eastAsia="宋体" w:hAnsi="Times New Roman" w:cs="Times New Roman"/>
      <w:szCs w:val="24"/>
    </w:rPr>
  </w:style>
  <w:style w:type="paragraph" w:styleId="30">
    <w:name w:val="toc 3"/>
    <w:basedOn w:val="a"/>
    <w:next w:val="a"/>
    <w:autoRedefine/>
    <w:semiHidden/>
    <w:rsid w:val="004D4BDB"/>
    <w:pPr>
      <w:ind w:leftChars="400" w:left="840"/>
    </w:pPr>
    <w:rPr>
      <w:rFonts w:ascii="Times New Roman" w:eastAsia="宋体" w:hAnsi="Times New Roman" w:cs="Times New Roman"/>
      <w:szCs w:val="24"/>
    </w:rPr>
  </w:style>
  <w:style w:type="paragraph" w:styleId="4">
    <w:name w:val="toc 4"/>
    <w:basedOn w:val="a"/>
    <w:next w:val="a"/>
    <w:autoRedefine/>
    <w:semiHidden/>
    <w:rsid w:val="004D4BDB"/>
    <w:pPr>
      <w:ind w:leftChars="600" w:left="1260"/>
    </w:pPr>
    <w:rPr>
      <w:rFonts w:ascii="Times New Roman" w:eastAsia="宋体" w:hAnsi="Times New Roman" w:cs="Times New Roman"/>
      <w:szCs w:val="24"/>
    </w:rPr>
  </w:style>
  <w:style w:type="paragraph" w:styleId="5">
    <w:name w:val="toc 5"/>
    <w:basedOn w:val="a"/>
    <w:next w:val="a"/>
    <w:autoRedefine/>
    <w:semiHidden/>
    <w:rsid w:val="004D4BDB"/>
    <w:pPr>
      <w:ind w:leftChars="800" w:left="1680"/>
    </w:pPr>
    <w:rPr>
      <w:rFonts w:ascii="Times New Roman" w:eastAsia="宋体" w:hAnsi="Times New Roman" w:cs="Times New Roman"/>
      <w:szCs w:val="24"/>
    </w:rPr>
  </w:style>
  <w:style w:type="paragraph" w:styleId="6">
    <w:name w:val="toc 6"/>
    <w:basedOn w:val="a"/>
    <w:next w:val="a"/>
    <w:autoRedefine/>
    <w:semiHidden/>
    <w:rsid w:val="004D4BDB"/>
    <w:pPr>
      <w:ind w:leftChars="1000" w:left="2100"/>
    </w:pPr>
    <w:rPr>
      <w:rFonts w:ascii="Times New Roman" w:eastAsia="宋体" w:hAnsi="Times New Roman" w:cs="Times New Roman"/>
      <w:szCs w:val="24"/>
    </w:rPr>
  </w:style>
  <w:style w:type="paragraph" w:styleId="7">
    <w:name w:val="toc 7"/>
    <w:basedOn w:val="a"/>
    <w:next w:val="a"/>
    <w:autoRedefine/>
    <w:semiHidden/>
    <w:rsid w:val="004D4BDB"/>
    <w:pPr>
      <w:ind w:leftChars="1200" w:left="2520"/>
    </w:pPr>
    <w:rPr>
      <w:rFonts w:ascii="Times New Roman" w:eastAsia="宋体" w:hAnsi="Times New Roman" w:cs="Times New Roman"/>
      <w:szCs w:val="24"/>
    </w:rPr>
  </w:style>
  <w:style w:type="paragraph" w:styleId="8">
    <w:name w:val="toc 8"/>
    <w:basedOn w:val="a"/>
    <w:next w:val="a"/>
    <w:autoRedefine/>
    <w:semiHidden/>
    <w:rsid w:val="004D4BDB"/>
    <w:pPr>
      <w:ind w:leftChars="1400" w:left="2940"/>
    </w:pPr>
    <w:rPr>
      <w:rFonts w:ascii="Times New Roman" w:eastAsia="宋体" w:hAnsi="Times New Roman" w:cs="Times New Roman"/>
      <w:szCs w:val="24"/>
    </w:rPr>
  </w:style>
  <w:style w:type="paragraph" w:styleId="9">
    <w:name w:val="toc 9"/>
    <w:basedOn w:val="a"/>
    <w:next w:val="a"/>
    <w:autoRedefine/>
    <w:semiHidden/>
    <w:rsid w:val="004D4BDB"/>
    <w:pPr>
      <w:ind w:leftChars="1600" w:left="3360"/>
    </w:pPr>
    <w:rPr>
      <w:rFonts w:ascii="Times New Roman" w:eastAsia="宋体" w:hAnsi="Times New Roman" w:cs="Times New Roman"/>
      <w:szCs w:val="24"/>
    </w:rPr>
  </w:style>
  <w:style w:type="paragraph" w:styleId="ac">
    <w:name w:val="Balloon Text"/>
    <w:basedOn w:val="a"/>
    <w:link w:val="Char3"/>
    <w:semiHidden/>
    <w:rsid w:val="004D4BDB"/>
    <w:rPr>
      <w:rFonts w:ascii="Times New Roman" w:eastAsia="宋体" w:hAnsi="Times New Roman" w:cs="Times New Roman"/>
      <w:kern w:val="0"/>
      <w:sz w:val="18"/>
      <w:szCs w:val="18"/>
      <w:lang w:val="x-none" w:eastAsia="x-none"/>
    </w:rPr>
  </w:style>
  <w:style w:type="character" w:customStyle="1" w:styleId="Char3">
    <w:name w:val="批注框文本 Char"/>
    <w:basedOn w:val="a1"/>
    <w:link w:val="ac"/>
    <w:semiHidden/>
    <w:rsid w:val="004D4BDB"/>
    <w:rPr>
      <w:rFonts w:ascii="Times New Roman" w:eastAsia="宋体" w:hAnsi="Times New Roman" w:cs="Times New Roman"/>
      <w:kern w:val="0"/>
      <w:sz w:val="18"/>
      <w:szCs w:val="18"/>
      <w:lang w:val="x-none" w:eastAsia="x-none"/>
    </w:rPr>
  </w:style>
  <w:style w:type="paragraph" w:customStyle="1" w:styleId="Char4">
    <w:name w:val="Char"/>
    <w:basedOn w:val="a"/>
    <w:rsid w:val="004D4BDB"/>
    <w:rPr>
      <w:rFonts w:ascii="Times New Roman" w:eastAsia="宋体" w:hAnsi="Times New Roman" w:cs="Times New Roman"/>
      <w:szCs w:val="24"/>
    </w:rPr>
  </w:style>
  <w:style w:type="paragraph" w:customStyle="1" w:styleId="Char10">
    <w:name w:val="Char1"/>
    <w:basedOn w:val="a"/>
    <w:autoRedefine/>
    <w:rsid w:val="004D4BDB"/>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4D4BDB"/>
    <w:rPr>
      <w:rFonts w:ascii="Times New Roman" w:eastAsia="宋体" w:hAnsi="Times New Roman" w:cs="Times New Roman"/>
      <w:szCs w:val="24"/>
    </w:rPr>
  </w:style>
  <w:style w:type="character" w:styleId="ad">
    <w:name w:val="annotation reference"/>
    <w:semiHidden/>
    <w:rsid w:val="004D4BDB"/>
    <w:rPr>
      <w:sz w:val="21"/>
      <w:szCs w:val="21"/>
    </w:rPr>
  </w:style>
  <w:style w:type="paragraph" w:styleId="ae">
    <w:name w:val="annotation text"/>
    <w:basedOn w:val="a"/>
    <w:link w:val="Char5"/>
    <w:semiHidden/>
    <w:rsid w:val="004D4BDB"/>
    <w:pPr>
      <w:jc w:val="left"/>
    </w:pPr>
    <w:rPr>
      <w:rFonts w:ascii="Times New Roman" w:eastAsia="宋体" w:hAnsi="Times New Roman" w:cs="Times New Roman"/>
      <w:kern w:val="0"/>
      <w:sz w:val="20"/>
      <w:szCs w:val="24"/>
      <w:lang w:val="x-none" w:eastAsia="x-none"/>
    </w:rPr>
  </w:style>
  <w:style w:type="character" w:customStyle="1" w:styleId="Char5">
    <w:name w:val="批注文字 Char"/>
    <w:basedOn w:val="a1"/>
    <w:link w:val="ae"/>
    <w:semiHidden/>
    <w:rsid w:val="004D4BDB"/>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4D4BDB"/>
    <w:rPr>
      <w:rFonts w:ascii="Times New Roman" w:eastAsia="宋体" w:hAnsi="Times New Roman" w:cs="Times New Roman"/>
      <w:szCs w:val="24"/>
    </w:rPr>
  </w:style>
  <w:style w:type="paragraph" w:customStyle="1" w:styleId="CharChar">
    <w:name w:val="Char Char"/>
    <w:basedOn w:val="a"/>
    <w:rsid w:val="004D4BDB"/>
    <w:rPr>
      <w:rFonts w:ascii="Times New Roman" w:eastAsia="宋体" w:hAnsi="Times New Roman" w:cs="Times New Roman"/>
      <w:szCs w:val="20"/>
    </w:rPr>
  </w:style>
  <w:style w:type="paragraph" w:styleId="HTML">
    <w:name w:val="HTML Preformatted"/>
    <w:basedOn w:val="a"/>
    <w:link w:val="HTMLChar"/>
    <w:uiPriority w:val="99"/>
    <w:unhideWhenUsed/>
    <w:rsid w:val="004D4B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4D4BDB"/>
    <w:rPr>
      <w:rFonts w:ascii="宋体" w:eastAsia="宋体" w:hAnsi="宋体" w:cs="Times New Roman"/>
      <w:kern w:val="0"/>
      <w:sz w:val="24"/>
      <w:szCs w:val="24"/>
      <w:lang w:val="x-none" w:eastAsia="x-none"/>
    </w:rPr>
  </w:style>
  <w:style w:type="paragraph" w:styleId="af">
    <w:name w:val="annotation subject"/>
    <w:basedOn w:val="ae"/>
    <w:next w:val="ae"/>
    <w:link w:val="Char6"/>
    <w:rsid w:val="004D4BDB"/>
    <w:rPr>
      <w:b/>
      <w:bCs/>
    </w:rPr>
  </w:style>
  <w:style w:type="character" w:customStyle="1" w:styleId="Char6">
    <w:name w:val="批注主题 Char"/>
    <w:basedOn w:val="Char5"/>
    <w:link w:val="af"/>
    <w:rsid w:val="004D4BDB"/>
    <w:rPr>
      <w:rFonts w:ascii="Times New Roman" w:eastAsia="宋体" w:hAnsi="Times New Roman" w:cs="Times New Roman"/>
      <w:b/>
      <w:bCs/>
      <w:kern w:val="0"/>
      <w:sz w:val="20"/>
      <w:szCs w:val="24"/>
      <w:lang w:val="x-none" w:eastAsia="x-none"/>
    </w:rPr>
  </w:style>
  <w:style w:type="paragraph" w:customStyle="1" w:styleId="af0">
    <w:uiPriority w:val="99"/>
    <w:unhideWhenUsed/>
    <w:rsid w:val="004D4BDB"/>
    <w:pPr>
      <w:widowControl w:val="0"/>
      <w:jc w:val="both"/>
    </w:pPr>
  </w:style>
  <w:style w:type="paragraph" w:styleId="af1">
    <w:name w:val="Revision"/>
    <w:hidden/>
    <w:uiPriority w:val="99"/>
    <w:semiHidden/>
    <w:rsid w:val="004D4BDB"/>
    <w:rPr>
      <w:rFonts w:ascii="Times New Roman" w:eastAsia="宋体" w:hAnsi="Times New Roman" w:cs="Times New Roman"/>
      <w:szCs w:val="24"/>
    </w:rPr>
  </w:style>
  <w:style w:type="character" w:styleId="af2">
    <w:name w:val="FollowedHyperlink"/>
    <w:basedOn w:val="a1"/>
    <w:uiPriority w:val="99"/>
    <w:semiHidden/>
    <w:unhideWhenUsed/>
    <w:rsid w:val="004D4B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4D4BDB"/>
    <w:pPr>
      <w:keepNext/>
      <w:keepLines/>
      <w:spacing w:before="260" w:after="260" w:line="416" w:lineRule="auto"/>
      <w:outlineLvl w:val="1"/>
    </w:pPr>
    <w:rPr>
      <w:rFonts w:ascii="Arial" w:eastAsia="黑体" w:hAnsi="Arial"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D4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D4BDB"/>
    <w:rPr>
      <w:sz w:val="18"/>
      <w:szCs w:val="18"/>
    </w:rPr>
  </w:style>
  <w:style w:type="paragraph" w:styleId="a5">
    <w:name w:val="footer"/>
    <w:basedOn w:val="a"/>
    <w:link w:val="Char0"/>
    <w:uiPriority w:val="99"/>
    <w:unhideWhenUsed/>
    <w:rsid w:val="004D4BDB"/>
    <w:pPr>
      <w:tabs>
        <w:tab w:val="center" w:pos="4153"/>
        <w:tab w:val="right" w:pos="8306"/>
      </w:tabs>
      <w:snapToGrid w:val="0"/>
      <w:jc w:val="left"/>
    </w:pPr>
    <w:rPr>
      <w:sz w:val="18"/>
      <w:szCs w:val="18"/>
    </w:rPr>
  </w:style>
  <w:style w:type="character" w:customStyle="1" w:styleId="Char0">
    <w:name w:val="页脚 Char"/>
    <w:basedOn w:val="a1"/>
    <w:link w:val="a5"/>
    <w:uiPriority w:val="99"/>
    <w:rsid w:val="004D4BDB"/>
    <w:rPr>
      <w:sz w:val="18"/>
      <w:szCs w:val="18"/>
    </w:rPr>
  </w:style>
  <w:style w:type="character" w:customStyle="1" w:styleId="2Char">
    <w:name w:val="标题 2 Char"/>
    <w:basedOn w:val="a1"/>
    <w:link w:val="2"/>
    <w:rsid w:val="004D4BDB"/>
    <w:rPr>
      <w:rFonts w:ascii="Arial" w:eastAsia="黑体" w:hAnsi="Arial" w:cs="Times New Roman"/>
      <w:b/>
      <w:kern w:val="0"/>
      <w:sz w:val="32"/>
      <w:szCs w:val="20"/>
      <w:lang w:val="x-none" w:eastAsia="x-none"/>
    </w:rPr>
  </w:style>
  <w:style w:type="numbering" w:customStyle="1" w:styleId="1">
    <w:name w:val="无列表1"/>
    <w:next w:val="a3"/>
    <w:uiPriority w:val="99"/>
    <w:semiHidden/>
    <w:unhideWhenUsed/>
    <w:rsid w:val="004D4BDB"/>
  </w:style>
  <w:style w:type="character" w:styleId="a6">
    <w:name w:val="page number"/>
    <w:basedOn w:val="a1"/>
    <w:rsid w:val="004D4BDB"/>
  </w:style>
  <w:style w:type="paragraph" w:styleId="a7">
    <w:name w:val="Normal (Web)"/>
    <w:basedOn w:val="a"/>
    <w:rsid w:val="004D4BDB"/>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4D4BDB"/>
    <w:rPr>
      <w:b/>
      <w:bCs/>
    </w:rPr>
  </w:style>
  <w:style w:type="character" w:styleId="a9">
    <w:name w:val="Hyperlink"/>
    <w:rsid w:val="004D4BDB"/>
    <w:rPr>
      <w:color w:val="0000FF"/>
      <w:u w:val="single"/>
    </w:rPr>
  </w:style>
  <w:style w:type="paragraph" w:customStyle="1" w:styleId="wz1">
    <w:name w:val="wz1"/>
    <w:basedOn w:val="a"/>
    <w:rsid w:val="004D4BD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4D4BDB"/>
    <w:pPr>
      <w:spacing w:line="360" w:lineRule="auto"/>
    </w:pPr>
    <w:rPr>
      <w:rFonts w:ascii="仿宋_GB2312" w:eastAsia="仿宋_GB2312" w:hAnsi="Times New Roman" w:cs="Times New Roman"/>
      <w:color w:val="000000"/>
      <w:kern w:val="0"/>
      <w:sz w:val="24"/>
      <w:szCs w:val="28"/>
      <w:lang w:val="x-none" w:eastAsia="x-none"/>
    </w:rPr>
  </w:style>
  <w:style w:type="character" w:customStyle="1" w:styleId="Char1">
    <w:name w:val="正文文本 Char"/>
    <w:basedOn w:val="a1"/>
    <w:link w:val="aa"/>
    <w:rsid w:val="004D4BDB"/>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4D4BDB"/>
  </w:style>
  <w:style w:type="paragraph" w:styleId="a0">
    <w:name w:val="Normal Indent"/>
    <w:basedOn w:val="a"/>
    <w:rsid w:val="004D4BDB"/>
    <w:pPr>
      <w:ind w:firstLineChars="200" w:firstLine="420"/>
    </w:pPr>
    <w:rPr>
      <w:rFonts w:ascii="Times New Roman" w:eastAsia="宋体" w:hAnsi="Times New Roman" w:cs="Times New Roman"/>
      <w:szCs w:val="24"/>
    </w:rPr>
  </w:style>
  <w:style w:type="paragraph" w:styleId="ab">
    <w:name w:val="Body Text Indent"/>
    <w:basedOn w:val="a"/>
    <w:link w:val="Char2"/>
    <w:rsid w:val="004D4BDB"/>
    <w:pPr>
      <w:adjustRightInd w:val="0"/>
      <w:snapToGrid w:val="0"/>
      <w:spacing w:line="560" w:lineRule="exact"/>
      <w:ind w:firstLineChars="200" w:firstLine="480"/>
    </w:pPr>
    <w:rPr>
      <w:rFonts w:ascii="Times New Roman" w:eastAsia="方正仿宋简体" w:hAnsi="Times New Roman" w:cs="Times New Roman"/>
      <w:kern w:val="0"/>
      <w:sz w:val="24"/>
      <w:szCs w:val="30"/>
      <w:lang w:val="x-none" w:eastAsia="x-none"/>
    </w:rPr>
  </w:style>
  <w:style w:type="character" w:customStyle="1" w:styleId="Char2">
    <w:name w:val="正文文本缩进 Char"/>
    <w:basedOn w:val="a1"/>
    <w:link w:val="ab"/>
    <w:rsid w:val="004D4BDB"/>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4D4BDB"/>
    <w:pPr>
      <w:spacing w:line="360" w:lineRule="auto"/>
      <w:ind w:firstLine="525"/>
    </w:pPr>
    <w:rPr>
      <w:rFonts w:ascii="宋体" w:eastAsia="宋体" w:hAnsi="宋体" w:cs="Times New Roman"/>
      <w:kern w:val="0"/>
      <w:sz w:val="28"/>
      <w:szCs w:val="20"/>
      <w:lang w:val="x-none" w:eastAsia="x-none"/>
    </w:rPr>
  </w:style>
  <w:style w:type="character" w:customStyle="1" w:styleId="2Char0">
    <w:name w:val="正文文本缩进 2 Char"/>
    <w:basedOn w:val="a1"/>
    <w:link w:val="20"/>
    <w:rsid w:val="004D4BDB"/>
    <w:rPr>
      <w:rFonts w:ascii="宋体" w:eastAsia="宋体" w:hAnsi="宋体" w:cs="Times New Roman"/>
      <w:kern w:val="0"/>
      <w:sz w:val="28"/>
      <w:szCs w:val="20"/>
      <w:lang w:val="x-none" w:eastAsia="x-none"/>
    </w:rPr>
  </w:style>
  <w:style w:type="paragraph" w:styleId="3">
    <w:name w:val="Body Text Indent 3"/>
    <w:basedOn w:val="a"/>
    <w:link w:val="3Char"/>
    <w:rsid w:val="004D4BDB"/>
    <w:pPr>
      <w:adjustRightInd w:val="0"/>
      <w:snapToGrid w:val="0"/>
      <w:ind w:firstLineChars="200" w:firstLine="480"/>
    </w:pPr>
    <w:rPr>
      <w:rFonts w:ascii="仿宋_GB2312" w:eastAsia="仿宋_GB2312" w:hAnsi="宋体" w:cs="Times New Roman"/>
      <w:color w:val="000000"/>
      <w:kern w:val="0"/>
      <w:sz w:val="24"/>
      <w:szCs w:val="24"/>
      <w:lang w:val="x-none" w:eastAsia="x-none"/>
    </w:rPr>
  </w:style>
  <w:style w:type="character" w:customStyle="1" w:styleId="3Char">
    <w:name w:val="正文文本缩进 3 Char"/>
    <w:basedOn w:val="a1"/>
    <w:link w:val="3"/>
    <w:rsid w:val="004D4BDB"/>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4D4BDB"/>
    <w:rPr>
      <w:rFonts w:ascii="Times New Roman" w:eastAsia="宋体" w:hAnsi="Times New Roman" w:cs="Times New Roman"/>
      <w:szCs w:val="24"/>
    </w:rPr>
  </w:style>
  <w:style w:type="paragraph" w:styleId="21">
    <w:name w:val="toc 2"/>
    <w:basedOn w:val="a"/>
    <w:next w:val="a"/>
    <w:autoRedefine/>
    <w:semiHidden/>
    <w:rsid w:val="004D4BDB"/>
    <w:pPr>
      <w:ind w:leftChars="200" w:left="420"/>
    </w:pPr>
    <w:rPr>
      <w:rFonts w:ascii="Times New Roman" w:eastAsia="宋体" w:hAnsi="Times New Roman" w:cs="Times New Roman"/>
      <w:szCs w:val="24"/>
    </w:rPr>
  </w:style>
  <w:style w:type="paragraph" w:styleId="30">
    <w:name w:val="toc 3"/>
    <w:basedOn w:val="a"/>
    <w:next w:val="a"/>
    <w:autoRedefine/>
    <w:semiHidden/>
    <w:rsid w:val="004D4BDB"/>
    <w:pPr>
      <w:ind w:leftChars="400" w:left="840"/>
    </w:pPr>
    <w:rPr>
      <w:rFonts w:ascii="Times New Roman" w:eastAsia="宋体" w:hAnsi="Times New Roman" w:cs="Times New Roman"/>
      <w:szCs w:val="24"/>
    </w:rPr>
  </w:style>
  <w:style w:type="paragraph" w:styleId="4">
    <w:name w:val="toc 4"/>
    <w:basedOn w:val="a"/>
    <w:next w:val="a"/>
    <w:autoRedefine/>
    <w:semiHidden/>
    <w:rsid w:val="004D4BDB"/>
    <w:pPr>
      <w:ind w:leftChars="600" w:left="1260"/>
    </w:pPr>
    <w:rPr>
      <w:rFonts w:ascii="Times New Roman" w:eastAsia="宋体" w:hAnsi="Times New Roman" w:cs="Times New Roman"/>
      <w:szCs w:val="24"/>
    </w:rPr>
  </w:style>
  <w:style w:type="paragraph" w:styleId="5">
    <w:name w:val="toc 5"/>
    <w:basedOn w:val="a"/>
    <w:next w:val="a"/>
    <w:autoRedefine/>
    <w:semiHidden/>
    <w:rsid w:val="004D4BDB"/>
    <w:pPr>
      <w:ind w:leftChars="800" w:left="1680"/>
    </w:pPr>
    <w:rPr>
      <w:rFonts w:ascii="Times New Roman" w:eastAsia="宋体" w:hAnsi="Times New Roman" w:cs="Times New Roman"/>
      <w:szCs w:val="24"/>
    </w:rPr>
  </w:style>
  <w:style w:type="paragraph" w:styleId="6">
    <w:name w:val="toc 6"/>
    <w:basedOn w:val="a"/>
    <w:next w:val="a"/>
    <w:autoRedefine/>
    <w:semiHidden/>
    <w:rsid w:val="004D4BDB"/>
    <w:pPr>
      <w:ind w:leftChars="1000" w:left="2100"/>
    </w:pPr>
    <w:rPr>
      <w:rFonts w:ascii="Times New Roman" w:eastAsia="宋体" w:hAnsi="Times New Roman" w:cs="Times New Roman"/>
      <w:szCs w:val="24"/>
    </w:rPr>
  </w:style>
  <w:style w:type="paragraph" w:styleId="7">
    <w:name w:val="toc 7"/>
    <w:basedOn w:val="a"/>
    <w:next w:val="a"/>
    <w:autoRedefine/>
    <w:semiHidden/>
    <w:rsid w:val="004D4BDB"/>
    <w:pPr>
      <w:ind w:leftChars="1200" w:left="2520"/>
    </w:pPr>
    <w:rPr>
      <w:rFonts w:ascii="Times New Roman" w:eastAsia="宋体" w:hAnsi="Times New Roman" w:cs="Times New Roman"/>
      <w:szCs w:val="24"/>
    </w:rPr>
  </w:style>
  <w:style w:type="paragraph" w:styleId="8">
    <w:name w:val="toc 8"/>
    <w:basedOn w:val="a"/>
    <w:next w:val="a"/>
    <w:autoRedefine/>
    <w:semiHidden/>
    <w:rsid w:val="004D4BDB"/>
    <w:pPr>
      <w:ind w:leftChars="1400" w:left="2940"/>
    </w:pPr>
    <w:rPr>
      <w:rFonts w:ascii="Times New Roman" w:eastAsia="宋体" w:hAnsi="Times New Roman" w:cs="Times New Roman"/>
      <w:szCs w:val="24"/>
    </w:rPr>
  </w:style>
  <w:style w:type="paragraph" w:styleId="9">
    <w:name w:val="toc 9"/>
    <w:basedOn w:val="a"/>
    <w:next w:val="a"/>
    <w:autoRedefine/>
    <w:semiHidden/>
    <w:rsid w:val="004D4BDB"/>
    <w:pPr>
      <w:ind w:leftChars="1600" w:left="3360"/>
    </w:pPr>
    <w:rPr>
      <w:rFonts w:ascii="Times New Roman" w:eastAsia="宋体" w:hAnsi="Times New Roman" w:cs="Times New Roman"/>
      <w:szCs w:val="24"/>
    </w:rPr>
  </w:style>
  <w:style w:type="paragraph" w:styleId="ac">
    <w:name w:val="Balloon Text"/>
    <w:basedOn w:val="a"/>
    <w:link w:val="Char3"/>
    <w:semiHidden/>
    <w:rsid w:val="004D4BDB"/>
    <w:rPr>
      <w:rFonts w:ascii="Times New Roman" w:eastAsia="宋体" w:hAnsi="Times New Roman" w:cs="Times New Roman"/>
      <w:kern w:val="0"/>
      <w:sz w:val="18"/>
      <w:szCs w:val="18"/>
      <w:lang w:val="x-none" w:eastAsia="x-none"/>
    </w:rPr>
  </w:style>
  <w:style w:type="character" w:customStyle="1" w:styleId="Char3">
    <w:name w:val="批注框文本 Char"/>
    <w:basedOn w:val="a1"/>
    <w:link w:val="ac"/>
    <w:semiHidden/>
    <w:rsid w:val="004D4BDB"/>
    <w:rPr>
      <w:rFonts w:ascii="Times New Roman" w:eastAsia="宋体" w:hAnsi="Times New Roman" w:cs="Times New Roman"/>
      <w:kern w:val="0"/>
      <w:sz w:val="18"/>
      <w:szCs w:val="18"/>
      <w:lang w:val="x-none" w:eastAsia="x-none"/>
    </w:rPr>
  </w:style>
  <w:style w:type="paragraph" w:customStyle="1" w:styleId="Char4">
    <w:name w:val="Char"/>
    <w:basedOn w:val="a"/>
    <w:rsid w:val="004D4BDB"/>
    <w:rPr>
      <w:rFonts w:ascii="Times New Roman" w:eastAsia="宋体" w:hAnsi="Times New Roman" w:cs="Times New Roman"/>
      <w:szCs w:val="24"/>
    </w:rPr>
  </w:style>
  <w:style w:type="paragraph" w:customStyle="1" w:styleId="Char10">
    <w:name w:val="Char1"/>
    <w:basedOn w:val="a"/>
    <w:autoRedefine/>
    <w:rsid w:val="004D4BDB"/>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4D4BDB"/>
    <w:rPr>
      <w:rFonts w:ascii="Times New Roman" w:eastAsia="宋体" w:hAnsi="Times New Roman" w:cs="Times New Roman"/>
      <w:szCs w:val="24"/>
    </w:rPr>
  </w:style>
  <w:style w:type="character" w:styleId="ad">
    <w:name w:val="annotation reference"/>
    <w:semiHidden/>
    <w:rsid w:val="004D4BDB"/>
    <w:rPr>
      <w:sz w:val="21"/>
      <w:szCs w:val="21"/>
    </w:rPr>
  </w:style>
  <w:style w:type="paragraph" w:styleId="ae">
    <w:name w:val="annotation text"/>
    <w:basedOn w:val="a"/>
    <w:link w:val="Char5"/>
    <w:semiHidden/>
    <w:rsid w:val="004D4BDB"/>
    <w:pPr>
      <w:jc w:val="left"/>
    </w:pPr>
    <w:rPr>
      <w:rFonts w:ascii="Times New Roman" w:eastAsia="宋体" w:hAnsi="Times New Roman" w:cs="Times New Roman"/>
      <w:kern w:val="0"/>
      <w:sz w:val="20"/>
      <w:szCs w:val="24"/>
      <w:lang w:val="x-none" w:eastAsia="x-none"/>
    </w:rPr>
  </w:style>
  <w:style w:type="character" w:customStyle="1" w:styleId="Char5">
    <w:name w:val="批注文字 Char"/>
    <w:basedOn w:val="a1"/>
    <w:link w:val="ae"/>
    <w:semiHidden/>
    <w:rsid w:val="004D4BDB"/>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4D4BDB"/>
    <w:rPr>
      <w:rFonts w:ascii="Times New Roman" w:eastAsia="宋体" w:hAnsi="Times New Roman" w:cs="Times New Roman"/>
      <w:szCs w:val="24"/>
    </w:rPr>
  </w:style>
  <w:style w:type="paragraph" w:customStyle="1" w:styleId="CharChar">
    <w:name w:val="Char Char"/>
    <w:basedOn w:val="a"/>
    <w:rsid w:val="004D4BDB"/>
    <w:rPr>
      <w:rFonts w:ascii="Times New Roman" w:eastAsia="宋体" w:hAnsi="Times New Roman" w:cs="Times New Roman"/>
      <w:szCs w:val="20"/>
    </w:rPr>
  </w:style>
  <w:style w:type="paragraph" w:styleId="HTML">
    <w:name w:val="HTML Preformatted"/>
    <w:basedOn w:val="a"/>
    <w:link w:val="HTMLChar"/>
    <w:uiPriority w:val="99"/>
    <w:unhideWhenUsed/>
    <w:rsid w:val="004D4B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4D4BDB"/>
    <w:rPr>
      <w:rFonts w:ascii="宋体" w:eastAsia="宋体" w:hAnsi="宋体" w:cs="Times New Roman"/>
      <w:kern w:val="0"/>
      <w:sz w:val="24"/>
      <w:szCs w:val="24"/>
      <w:lang w:val="x-none" w:eastAsia="x-none"/>
    </w:rPr>
  </w:style>
  <w:style w:type="paragraph" w:styleId="af">
    <w:name w:val="annotation subject"/>
    <w:basedOn w:val="ae"/>
    <w:next w:val="ae"/>
    <w:link w:val="Char6"/>
    <w:rsid w:val="004D4BDB"/>
    <w:rPr>
      <w:b/>
      <w:bCs/>
    </w:rPr>
  </w:style>
  <w:style w:type="character" w:customStyle="1" w:styleId="Char6">
    <w:name w:val="批注主题 Char"/>
    <w:basedOn w:val="Char5"/>
    <w:link w:val="af"/>
    <w:rsid w:val="004D4BDB"/>
    <w:rPr>
      <w:rFonts w:ascii="Times New Roman" w:eastAsia="宋体" w:hAnsi="Times New Roman" w:cs="Times New Roman"/>
      <w:b/>
      <w:bCs/>
      <w:kern w:val="0"/>
      <w:sz w:val="20"/>
      <w:szCs w:val="24"/>
      <w:lang w:val="x-none" w:eastAsia="x-none"/>
    </w:rPr>
  </w:style>
  <w:style w:type="paragraph" w:customStyle="1" w:styleId="af0">
    <w:uiPriority w:val="99"/>
    <w:unhideWhenUsed/>
    <w:rsid w:val="004D4BDB"/>
    <w:pPr>
      <w:widowControl w:val="0"/>
      <w:jc w:val="both"/>
    </w:pPr>
  </w:style>
  <w:style w:type="paragraph" w:styleId="af1">
    <w:name w:val="Revision"/>
    <w:hidden/>
    <w:uiPriority w:val="99"/>
    <w:semiHidden/>
    <w:rsid w:val="004D4BDB"/>
    <w:rPr>
      <w:rFonts w:ascii="Times New Roman" w:eastAsia="宋体" w:hAnsi="Times New Roman" w:cs="Times New Roman"/>
      <w:szCs w:val="24"/>
    </w:rPr>
  </w:style>
  <w:style w:type="character" w:styleId="af2">
    <w:name w:val="FollowedHyperlink"/>
    <w:basedOn w:val="a1"/>
    <w:uiPriority w:val="99"/>
    <w:semiHidden/>
    <w:unhideWhenUsed/>
    <w:rsid w:val="004D4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41</Pages>
  <Words>4411</Words>
  <Characters>25149</Characters>
  <Application>Microsoft Office Word</Application>
  <DocSecurity>0</DocSecurity>
  <Lines>209</Lines>
  <Paragraphs>59</Paragraphs>
  <ScaleCrop>false</ScaleCrop>
  <Company>Microsoft</Company>
  <LinksUpToDate>false</LinksUpToDate>
  <CharactersWithSpaces>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宁成龙</dc:creator>
  <cp:lastModifiedBy>高远</cp:lastModifiedBy>
  <cp:revision>72</cp:revision>
  <cp:lastPrinted>2015-10-19T00:54:00Z</cp:lastPrinted>
  <dcterms:created xsi:type="dcterms:W3CDTF">2015-09-21T01:52:00Z</dcterms:created>
  <dcterms:modified xsi:type="dcterms:W3CDTF">2016-08-31T07:14:00Z</dcterms:modified>
</cp:coreProperties>
</file>