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FB" w:rsidRPr="004565B1" w:rsidRDefault="00E34CFB" w:rsidP="001F7141">
      <w:pPr>
        <w:adjustRightInd w:val="0"/>
        <w:snapToGrid w:val="0"/>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sz w:val="24"/>
        </w:rPr>
      </w:pPr>
    </w:p>
    <w:p w:rsidR="002F2B85" w:rsidRDefault="002F2B85" w:rsidP="00E34CFB">
      <w:pPr>
        <w:adjustRightInd w:val="0"/>
        <w:snapToGrid w:val="0"/>
        <w:jc w:val="center"/>
        <w:rPr>
          <w:rFonts w:eastAsia="华文行楷"/>
          <w:spacing w:val="-20"/>
          <w:sz w:val="52"/>
          <w:szCs w:val="52"/>
        </w:rPr>
      </w:pPr>
      <w:bookmarkStart w:id="0" w:name="_GoBack"/>
      <w:r w:rsidRPr="008B1B18">
        <w:rPr>
          <w:rFonts w:eastAsia="华文行楷" w:hint="eastAsia"/>
          <w:spacing w:val="-20"/>
          <w:sz w:val="52"/>
          <w:szCs w:val="52"/>
        </w:rPr>
        <w:t>鹏</w:t>
      </w:r>
      <w:proofErr w:type="gramStart"/>
      <w:r w:rsidRPr="008B1B18">
        <w:rPr>
          <w:rFonts w:eastAsia="华文行楷" w:hint="eastAsia"/>
          <w:spacing w:val="-20"/>
          <w:sz w:val="52"/>
          <w:szCs w:val="52"/>
        </w:rPr>
        <w:t>华</w:t>
      </w:r>
      <w:r>
        <w:rPr>
          <w:rFonts w:eastAsia="华文行楷" w:hint="eastAsia"/>
          <w:spacing w:val="-20"/>
          <w:sz w:val="52"/>
          <w:szCs w:val="52"/>
        </w:rPr>
        <w:t>研究</w:t>
      </w:r>
      <w:proofErr w:type="gramEnd"/>
      <w:r>
        <w:rPr>
          <w:rFonts w:eastAsia="华文行楷" w:hint="eastAsia"/>
          <w:spacing w:val="-20"/>
          <w:sz w:val="52"/>
          <w:szCs w:val="52"/>
        </w:rPr>
        <w:t>精选灵活配置混合</w:t>
      </w:r>
      <w:r w:rsidRPr="00556141">
        <w:rPr>
          <w:rFonts w:eastAsia="华文行楷"/>
          <w:spacing w:val="-20"/>
          <w:sz w:val="52"/>
          <w:szCs w:val="52"/>
        </w:rPr>
        <w:t>型</w:t>
      </w:r>
    </w:p>
    <w:bookmarkEnd w:id="0"/>
    <w:p w:rsidR="002F2B85" w:rsidRDefault="00E34CFB" w:rsidP="00E34CFB">
      <w:pPr>
        <w:adjustRightInd w:val="0"/>
        <w:snapToGrid w:val="0"/>
        <w:jc w:val="center"/>
        <w:rPr>
          <w:rFonts w:eastAsia="华文行楷"/>
          <w:spacing w:val="-20"/>
          <w:sz w:val="52"/>
          <w:szCs w:val="52"/>
        </w:rPr>
      </w:pPr>
      <w:r w:rsidRPr="001F7141">
        <w:rPr>
          <w:rFonts w:eastAsia="华文行楷" w:hint="eastAsia"/>
          <w:spacing w:val="-20"/>
          <w:sz w:val="52"/>
          <w:szCs w:val="52"/>
        </w:rPr>
        <w:t>证券投资基金托管协议</w:t>
      </w: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Default="00E34CFB" w:rsidP="00E34CFB">
      <w:pPr>
        <w:adjustRightInd w:val="0"/>
        <w:snapToGrid w:val="0"/>
        <w:jc w:val="center"/>
        <w:outlineLvl w:val="0"/>
        <w:rPr>
          <w:rFonts w:ascii="彩虹粗仿宋" w:eastAsia="彩虹粗仿宋" w:hAnsi="宋体" w:cs="Arial"/>
          <w:sz w:val="24"/>
        </w:rPr>
      </w:pPr>
    </w:p>
    <w:p w:rsidR="002F2B85" w:rsidRDefault="002F2B85" w:rsidP="00E34CFB">
      <w:pPr>
        <w:adjustRightInd w:val="0"/>
        <w:snapToGrid w:val="0"/>
        <w:jc w:val="center"/>
        <w:outlineLvl w:val="0"/>
        <w:rPr>
          <w:rFonts w:ascii="彩虹粗仿宋" w:eastAsia="彩虹粗仿宋" w:hAnsi="宋体" w:cs="Arial"/>
          <w:sz w:val="24"/>
        </w:rPr>
      </w:pPr>
    </w:p>
    <w:p w:rsidR="002F2B85" w:rsidRPr="004565B1" w:rsidRDefault="002F2B85"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2F2B85" w:rsidRDefault="00E34CFB" w:rsidP="002F2B85">
      <w:pPr>
        <w:adjustRightInd w:val="0"/>
        <w:snapToGrid w:val="0"/>
        <w:spacing w:line="360" w:lineRule="auto"/>
        <w:jc w:val="center"/>
        <w:outlineLvl w:val="0"/>
        <w:rPr>
          <w:rFonts w:eastAsia="华文行楷"/>
          <w:spacing w:val="-20"/>
          <w:sz w:val="36"/>
          <w:szCs w:val="36"/>
        </w:rPr>
      </w:pPr>
      <w:r w:rsidRPr="002F2B85">
        <w:rPr>
          <w:rFonts w:eastAsia="华文行楷" w:hint="eastAsia"/>
          <w:spacing w:val="-20"/>
          <w:sz w:val="36"/>
          <w:szCs w:val="36"/>
        </w:rPr>
        <w:t>基金管理人：基金管理有限公司</w:t>
      </w:r>
    </w:p>
    <w:p w:rsidR="00E34CFB" w:rsidRPr="004565B1" w:rsidRDefault="002F2B85" w:rsidP="002F2B85">
      <w:pPr>
        <w:adjustRightInd w:val="0"/>
        <w:snapToGrid w:val="0"/>
        <w:spacing w:line="360" w:lineRule="auto"/>
        <w:jc w:val="center"/>
        <w:outlineLvl w:val="0"/>
        <w:rPr>
          <w:rFonts w:ascii="彩虹粗仿宋" w:eastAsia="彩虹粗仿宋" w:hAnsi="宋体" w:cs="Arial"/>
          <w:b/>
          <w:bCs/>
          <w:sz w:val="28"/>
        </w:rPr>
      </w:pPr>
      <w:r>
        <w:rPr>
          <w:rFonts w:eastAsia="华文行楷" w:hint="eastAsia"/>
          <w:spacing w:val="-20"/>
          <w:sz w:val="36"/>
          <w:szCs w:val="36"/>
        </w:rPr>
        <w:t xml:space="preserve"> </w:t>
      </w:r>
      <w:r w:rsidR="00E34CFB" w:rsidRPr="002F2B85">
        <w:rPr>
          <w:rFonts w:eastAsia="华文行楷" w:hint="eastAsia"/>
          <w:spacing w:val="-20"/>
          <w:sz w:val="36"/>
          <w:szCs w:val="36"/>
        </w:rPr>
        <w:t>基金托管人：中国建设银行股份有限公司</w:t>
      </w: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2F2B85" w:rsidP="00E34CFB">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r w:rsidR="00E34CFB" w:rsidRPr="002F2B85">
        <w:rPr>
          <w:rFonts w:eastAsia="华文行楷" w:hint="eastAsia"/>
          <w:spacing w:val="-20"/>
          <w:sz w:val="36"/>
          <w:szCs w:val="36"/>
        </w:rPr>
        <w:t>二零一</w:t>
      </w:r>
      <w:r>
        <w:rPr>
          <w:rFonts w:eastAsia="华文行楷" w:hint="eastAsia"/>
          <w:spacing w:val="-20"/>
          <w:sz w:val="36"/>
          <w:szCs w:val="36"/>
        </w:rPr>
        <w:t>五</w:t>
      </w:r>
      <w:r w:rsidR="00E34CFB" w:rsidRPr="002F2B85">
        <w:rPr>
          <w:rFonts w:eastAsia="华文行楷" w:hint="eastAsia"/>
          <w:spacing w:val="-20"/>
          <w:sz w:val="36"/>
          <w:szCs w:val="36"/>
        </w:rPr>
        <w:t>年</w:t>
      </w:r>
      <w:r w:rsidR="00950F71">
        <w:rPr>
          <w:rFonts w:eastAsia="华文行楷" w:hint="eastAsia"/>
          <w:spacing w:val="-20"/>
          <w:sz w:val="36"/>
          <w:szCs w:val="36"/>
        </w:rPr>
        <w:t>十一</w:t>
      </w:r>
      <w:r w:rsidR="00E34CFB" w:rsidRPr="002F2B85">
        <w:rPr>
          <w:rFonts w:eastAsia="华文行楷" w:hint="eastAsia"/>
          <w:spacing w:val="-20"/>
          <w:sz w:val="36"/>
          <w:szCs w:val="36"/>
        </w:rPr>
        <w:t>月</w:t>
      </w:r>
    </w:p>
    <w:p w:rsidR="00E34CFB" w:rsidRPr="004565B1" w:rsidRDefault="00E34CFB" w:rsidP="00E34CFB">
      <w:pPr>
        <w:adjustRightInd w:val="0"/>
        <w:snapToGrid w:val="0"/>
        <w:jc w:val="center"/>
        <w:outlineLvl w:val="0"/>
        <w:rPr>
          <w:rFonts w:ascii="彩虹粗仿宋" w:eastAsia="彩虹粗仿宋" w:hAnsi="宋体" w:cs="Arial"/>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pPr>
    </w:p>
    <w:p w:rsidR="00E34CFB" w:rsidRPr="004565B1" w:rsidRDefault="00E34CFB" w:rsidP="00E34CFB">
      <w:pPr>
        <w:adjustRightInd w:val="0"/>
        <w:snapToGrid w:val="0"/>
        <w:jc w:val="center"/>
        <w:rPr>
          <w:rFonts w:ascii="彩虹粗仿宋" w:eastAsia="彩虹粗仿宋" w:hAnsi="宋体" w:cs="Arial"/>
          <w:bCs/>
          <w:sz w:val="24"/>
        </w:rPr>
        <w:sectPr w:rsidR="00E34CFB" w:rsidRPr="004565B1">
          <w:footerReference w:type="even" r:id="rId8"/>
          <w:footerReference w:type="default" r:id="rId9"/>
          <w:pgSz w:w="11906" w:h="16838" w:code="9"/>
          <w:pgMar w:top="1418" w:right="1701" w:bottom="1418" w:left="1701" w:header="851" w:footer="992" w:gutter="0"/>
          <w:cols w:space="425"/>
          <w:docGrid w:type="lines" w:linePitch="312"/>
        </w:sectPr>
      </w:pPr>
    </w:p>
    <w:p w:rsidR="00E34CFB" w:rsidRPr="004565B1" w:rsidRDefault="00E34CFB" w:rsidP="00E34CFB">
      <w:pPr>
        <w:adjustRightInd w:val="0"/>
        <w:snapToGrid w:val="0"/>
        <w:rPr>
          <w:rFonts w:ascii="彩虹粗仿宋" w:eastAsia="彩虹粗仿宋" w:hAnsi="宋体" w:cs="Arial"/>
          <w:bCs/>
          <w:sz w:val="24"/>
        </w:rPr>
      </w:pPr>
    </w:p>
    <w:p w:rsidR="00E34CFB" w:rsidRPr="0057355C" w:rsidRDefault="00E34CFB" w:rsidP="00E34CFB">
      <w:pPr>
        <w:jc w:val="center"/>
        <w:rPr>
          <w:rFonts w:asciiTheme="minorEastAsia" w:eastAsiaTheme="minorEastAsia" w:hAnsiTheme="minorEastAsia"/>
          <w:b/>
          <w:bCs/>
          <w:sz w:val="36"/>
        </w:rPr>
      </w:pPr>
      <w:r w:rsidRPr="0057355C">
        <w:rPr>
          <w:rFonts w:asciiTheme="minorEastAsia" w:eastAsiaTheme="minorEastAsia" w:hAnsiTheme="minorEastAsia" w:hint="eastAsia"/>
          <w:b/>
          <w:bCs/>
          <w:sz w:val="36"/>
        </w:rPr>
        <w:t>目</w:t>
      </w:r>
      <w:r w:rsidR="0057355C">
        <w:rPr>
          <w:rFonts w:asciiTheme="minorEastAsia" w:eastAsiaTheme="minorEastAsia" w:hAnsiTheme="minorEastAsia" w:hint="eastAsia"/>
          <w:b/>
          <w:bCs/>
          <w:sz w:val="36"/>
        </w:rPr>
        <w:t xml:space="preserve"> </w:t>
      </w:r>
      <w:r w:rsidRPr="0057355C">
        <w:rPr>
          <w:rFonts w:asciiTheme="minorEastAsia" w:eastAsiaTheme="minorEastAsia" w:hAnsiTheme="minorEastAsia" w:hint="eastAsia"/>
          <w:b/>
          <w:bCs/>
          <w:sz w:val="36"/>
        </w:rPr>
        <w:t xml:space="preserve">  录</w:t>
      </w:r>
    </w:p>
    <w:p w:rsidR="00E34CFB" w:rsidRPr="005B2CC9" w:rsidRDefault="00E34CFB" w:rsidP="0057355C">
      <w:pPr>
        <w:pStyle w:val="21"/>
        <w:tabs>
          <w:tab w:val="right" w:leader="dot" w:pos="8494"/>
        </w:tabs>
        <w:spacing w:line="540" w:lineRule="exact"/>
        <w:ind w:leftChars="0" w:left="0"/>
        <w:rPr>
          <w:rFonts w:asciiTheme="minorEastAsia" w:eastAsiaTheme="minorEastAsia" w:hAnsiTheme="minorEastAsia"/>
          <w:noProof/>
          <w:sz w:val="24"/>
        </w:rPr>
      </w:pPr>
      <w:r w:rsidRPr="005B2CC9">
        <w:rPr>
          <w:rFonts w:asciiTheme="minorEastAsia" w:eastAsiaTheme="minorEastAsia" w:hAnsiTheme="minorEastAsia" w:hint="eastAsia"/>
          <w:sz w:val="24"/>
        </w:rPr>
        <w:fldChar w:fldCharType="begin"/>
      </w:r>
      <w:r w:rsidRPr="005B2CC9">
        <w:rPr>
          <w:rFonts w:asciiTheme="minorEastAsia" w:eastAsiaTheme="minorEastAsia" w:hAnsiTheme="minorEastAsia" w:hint="eastAsia"/>
          <w:sz w:val="24"/>
        </w:rPr>
        <w:instrText xml:space="preserve"> TOC \o "1-2" \h \z </w:instrText>
      </w:r>
      <w:r w:rsidRPr="005B2CC9">
        <w:rPr>
          <w:rFonts w:asciiTheme="minorEastAsia" w:eastAsiaTheme="minorEastAsia" w:hAnsiTheme="minorEastAsia" w:hint="eastAsia"/>
          <w:sz w:val="24"/>
        </w:rPr>
        <w:fldChar w:fldCharType="separate"/>
      </w:r>
      <w:hyperlink w:anchor="_Toc124325885" w:history="1">
        <w:r w:rsidRPr="005B2CC9">
          <w:rPr>
            <w:rStyle w:val="a9"/>
            <w:rFonts w:asciiTheme="minorEastAsia" w:eastAsiaTheme="minorEastAsia" w:hAnsiTheme="minorEastAsia" w:hint="eastAsia"/>
            <w:noProof/>
            <w:sz w:val="24"/>
          </w:rPr>
          <w:t>一、基金托管协议当事人</w:t>
        </w:r>
        <w:r w:rsidRPr="005B2CC9">
          <w:rPr>
            <w:rFonts w:asciiTheme="minorEastAsia" w:eastAsiaTheme="minorEastAsia" w:hAnsiTheme="minorEastAsia" w:hint="eastAsia"/>
            <w:noProof/>
            <w:webHidden/>
            <w:sz w:val="24"/>
          </w:rPr>
          <w:tab/>
        </w:r>
        <w:r w:rsidRPr="005B2CC9">
          <w:rPr>
            <w:rFonts w:asciiTheme="minorEastAsia" w:eastAsiaTheme="minorEastAsia" w:hAnsiTheme="minorEastAsia" w:hint="eastAsia"/>
            <w:noProof/>
            <w:webHidden/>
            <w:sz w:val="24"/>
          </w:rPr>
          <w:fldChar w:fldCharType="begin"/>
        </w:r>
        <w:r w:rsidRPr="005B2CC9">
          <w:rPr>
            <w:rFonts w:asciiTheme="minorEastAsia" w:eastAsiaTheme="minorEastAsia" w:hAnsiTheme="minorEastAsia" w:hint="eastAsia"/>
            <w:noProof/>
            <w:webHidden/>
            <w:sz w:val="24"/>
          </w:rPr>
          <w:instrText xml:space="preserve"> PAGEREF _Toc124325885 \h </w:instrText>
        </w:r>
        <w:r w:rsidRPr="005B2CC9">
          <w:rPr>
            <w:rFonts w:asciiTheme="minorEastAsia" w:eastAsiaTheme="minorEastAsia" w:hAnsiTheme="minorEastAsia" w:hint="eastAsia"/>
            <w:noProof/>
            <w:webHidden/>
            <w:sz w:val="24"/>
          </w:rPr>
        </w:r>
        <w:r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4</w:t>
        </w:r>
        <w:r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86" w:history="1">
        <w:r w:rsidR="00E34CFB" w:rsidRPr="005B2CC9">
          <w:rPr>
            <w:rStyle w:val="a9"/>
            <w:rFonts w:asciiTheme="minorEastAsia" w:eastAsiaTheme="minorEastAsia" w:hAnsiTheme="minorEastAsia" w:hint="eastAsia"/>
            <w:noProof/>
            <w:sz w:val="24"/>
          </w:rPr>
          <w:t>二、基金托管协议的依据、目的和原则</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_Toc124325886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5</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87" w:history="1">
        <w:r w:rsidR="00E34CFB" w:rsidRPr="005B2CC9">
          <w:rPr>
            <w:rStyle w:val="a9"/>
            <w:rFonts w:asciiTheme="minorEastAsia" w:eastAsiaTheme="minorEastAsia" w:hAnsiTheme="minorEastAsia" w:hint="eastAsia"/>
            <w:noProof/>
            <w:sz w:val="24"/>
          </w:rPr>
          <w:t>三、基金托管人对基金管理人的业务监督和核查</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_Toc124325887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6</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88" w:history="1">
        <w:r w:rsidR="00E34CFB" w:rsidRPr="005B2CC9">
          <w:rPr>
            <w:rStyle w:val="a9"/>
            <w:rFonts w:asciiTheme="minorEastAsia" w:eastAsiaTheme="minorEastAsia" w:hAnsiTheme="minorEastAsia" w:hint="eastAsia"/>
            <w:noProof/>
            <w:sz w:val="24"/>
          </w:rPr>
          <w:t>四、基金管理人对基金托管人的业务核查</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_Toc124325888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12</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89" w:history="1">
        <w:r w:rsidR="00E34CFB" w:rsidRPr="005B2CC9">
          <w:rPr>
            <w:rStyle w:val="a9"/>
            <w:rFonts w:asciiTheme="minorEastAsia" w:eastAsiaTheme="minorEastAsia" w:hAnsiTheme="minorEastAsia" w:hint="eastAsia"/>
            <w:noProof/>
            <w:sz w:val="24"/>
          </w:rPr>
          <w:t>五、基金财产的保管</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_Toc124325889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13</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0" w:history="1">
        <w:r w:rsidR="00E34CFB" w:rsidRPr="005B2CC9">
          <w:rPr>
            <w:rStyle w:val="a9"/>
            <w:rFonts w:asciiTheme="minorEastAsia" w:eastAsiaTheme="minorEastAsia" w:hAnsiTheme="minorEastAsia" w:hint="eastAsia"/>
            <w:noProof/>
            <w:sz w:val="24"/>
          </w:rPr>
          <w:t>六、指令的发送、确认及执行</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_Toc124325890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16</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1" w:history="1">
        <w:r w:rsidR="00E34CFB" w:rsidRPr="005B2CC9">
          <w:rPr>
            <w:rStyle w:val="a9"/>
            <w:rFonts w:asciiTheme="minorEastAsia" w:eastAsiaTheme="minorEastAsia" w:hAnsiTheme="minorEastAsia" w:hint="eastAsia"/>
            <w:noProof/>
            <w:sz w:val="24"/>
          </w:rPr>
          <w:t>七、交易及清算交收安排</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_Toc124325891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18</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2" w:history="1">
        <w:r w:rsidR="00E34CFB" w:rsidRPr="005B2CC9">
          <w:rPr>
            <w:rStyle w:val="a9"/>
            <w:rFonts w:asciiTheme="minorEastAsia" w:eastAsiaTheme="minorEastAsia" w:hAnsiTheme="minorEastAsia" w:hint="eastAsia"/>
            <w:noProof/>
            <w:sz w:val="24"/>
          </w:rPr>
          <w:t>八、基金资产净值计算和会计核算</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_Toc124325892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22</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3" w:history="1">
        <w:r w:rsidR="00E34CFB" w:rsidRPr="005B2CC9">
          <w:rPr>
            <w:rStyle w:val="a9"/>
            <w:rFonts w:asciiTheme="minorEastAsia" w:eastAsiaTheme="minorEastAsia" w:hAnsiTheme="minorEastAsia" w:hint="eastAsia"/>
            <w:noProof/>
            <w:sz w:val="24"/>
          </w:rPr>
          <w:t>九、基金收益分配</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_Toc124325893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27</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4" w:history="1">
        <w:r w:rsidR="00E34CFB" w:rsidRPr="005B2CC9">
          <w:rPr>
            <w:rStyle w:val="a9"/>
            <w:rFonts w:asciiTheme="minorEastAsia" w:eastAsiaTheme="minorEastAsia" w:hAnsiTheme="minorEastAsia" w:hint="eastAsia"/>
            <w:noProof/>
            <w:sz w:val="24"/>
          </w:rPr>
          <w:t>十、基金信息披露</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_Toc124325894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28</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5" w:history="1">
        <w:r w:rsidR="00E34CFB" w:rsidRPr="005B2CC9">
          <w:rPr>
            <w:rStyle w:val="a9"/>
            <w:rFonts w:asciiTheme="minorEastAsia" w:eastAsiaTheme="minorEastAsia" w:hAnsiTheme="minorEastAsia" w:hint="eastAsia"/>
            <w:noProof/>
            <w:sz w:val="24"/>
          </w:rPr>
          <w:t>十一、基金费用</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_Toc124325895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30</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6" w:history="1">
        <w:r w:rsidR="00E34CFB" w:rsidRPr="005B2CC9">
          <w:rPr>
            <w:rStyle w:val="a9"/>
            <w:rFonts w:asciiTheme="minorEastAsia" w:eastAsiaTheme="minorEastAsia" w:hAnsiTheme="minorEastAsia" w:hint="eastAsia"/>
            <w:noProof/>
            <w:sz w:val="24"/>
          </w:rPr>
          <w:t>十二、基金份额持有人名册的保管</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_Toc124325896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31</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7" w:history="1">
        <w:r w:rsidR="00E34CFB" w:rsidRPr="005B2CC9">
          <w:rPr>
            <w:rStyle w:val="a9"/>
            <w:rFonts w:asciiTheme="minorEastAsia" w:eastAsiaTheme="minorEastAsia" w:hAnsiTheme="minorEastAsia" w:hint="eastAsia"/>
            <w:noProof/>
            <w:sz w:val="24"/>
          </w:rPr>
          <w:t>十三、基金有关文件档案的保存</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_Toc124325897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31</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8" w:history="1">
        <w:r w:rsidR="00E34CFB" w:rsidRPr="005B2CC9">
          <w:rPr>
            <w:rStyle w:val="a9"/>
            <w:rFonts w:asciiTheme="minorEastAsia" w:eastAsiaTheme="minorEastAsia" w:hAnsiTheme="minorEastAsia" w:hint="eastAsia"/>
            <w:noProof/>
            <w:sz w:val="24"/>
          </w:rPr>
          <w:t>十四、基金管理人和基金托管人的更换</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_Toc124325898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32</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899" w:history="1">
        <w:r w:rsidR="00E34CFB" w:rsidRPr="005B2CC9">
          <w:rPr>
            <w:rStyle w:val="a9"/>
            <w:rFonts w:asciiTheme="minorEastAsia" w:eastAsiaTheme="minorEastAsia" w:hAnsiTheme="minorEastAsia" w:hint="eastAsia"/>
            <w:noProof/>
            <w:sz w:val="24"/>
          </w:rPr>
          <w:t>十五、禁止行为</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_Toc124325899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34</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0" w:history="1">
        <w:r w:rsidR="00E34CFB" w:rsidRPr="005B2CC9">
          <w:rPr>
            <w:rStyle w:val="a9"/>
            <w:rFonts w:asciiTheme="minorEastAsia" w:eastAsiaTheme="minorEastAsia" w:hAnsiTheme="minorEastAsia" w:hint="eastAsia"/>
            <w:noProof/>
            <w:sz w:val="24"/>
          </w:rPr>
          <w:t>十六、托管协议的变更、终止与基金财产的清算</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_Toc124325900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35</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1" w:history="1">
        <w:r w:rsidR="00E34CFB" w:rsidRPr="005B2CC9">
          <w:rPr>
            <w:rStyle w:val="a9"/>
            <w:rFonts w:asciiTheme="minorEastAsia" w:eastAsiaTheme="minorEastAsia" w:hAnsiTheme="minorEastAsia" w:hint="eastAsia"/>
            <w:noProof/>
            <w:sz w:val="24"/>
          </w:rPr>
          <w:t>十七、违约责任</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_Toc124325901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37</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2" w:history="1">
        <w:r w:rsidR="00E34CFB" w:rsidRPr="005B2CC9">
          <w:rPr>
            <w:rStyle w:val="a9"/>
            <w:rFonts w:asciiTheme="minorEastAsia" w:eastAsiaTheme="minorEastAsia" w:hAnsiTheme="minorEastAsia" w:hint="eastAsia"/>
            <w:noProof/>
            <w:sz w:val="24"/>
          </w:rPr>
          <w:t>十八、争议解决方式</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_Toc124325902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38</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3" w:history="1">
        <w:r w:rsidR="00E34CFB" w:rsidRPr="005B2CC9">
          <w:rPr>
            <w:rStyle w:val="a9"/>
            <w:rFonts w:asciiTheme="minorEastAsia" w:eastAsiaTheme="minorEastAsia" w:hAnsiTheme="minorEastAsia" w:hint="eastAsia"/>
            <w:noProof/>
            <w:sz w:val="24"/>
          </w:rPr>
          <w:t>十九、托管协议的效力</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_Toc124325903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38</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4" w:history="1">
        <w:r w:rsidR="00E34CFB" w:rsidRPr="005B2CC9">
          <w:rPr>
            <w:rStyle w:val="a9"/>
            <w:rFonts w:asciiTheme="minorEastAsia" w:eastAsiaTheme="minorEastAsia" w:hAnsiTheme="minorEastAsia" w:hint="eastAsia"/>
            <w:noProof/>
            <w:sz w:val="24"/>
          </w:rPr>
          <w:t>二十、其他事项</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_Toc124325904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39</w:t>
        </w:r>
        <w:r w:rsidR="00E34CFB" w:rsidRPr="005B2CC9">
          <w:rPr>
            <w:rFonts w:asciiTheme="minorEastAsia" w:eastAsiaTheme="minorEastAsia" w:hAnsiTheme="minorEastAsia" w:hint="eastAsia"/>
            <w:noProof/>
            <w:webHidden/>
            <w:sz w:val="24"/>
          </w:rPr>
          <w:fldChar w:fldCharType="end"/>
        </w:r>
      </w:hyperlink>
    </w:p>
    <w:p w:rsidR="00E34CFB" w:rsidRPr="005B2CC9" w:rsidRDefault="00A9531E" w:rsidP="0057355C">
      <w:pPr>
        <w:pStyle w:val="21"/>
        <w:tabs>
          <w:tab w:val="right" w:leader="dot" w:pos="8494"/>
        </w:tabs>
        <w:spacing w:line="540" w:lineRule="exact"/>
        <w:ind w:leftChars="0" w:left="0"/>
        <w:rPr>
          <w:rFonts w:asciiTheme="minorEastAsia" w:eastAsiaTheme="minorEastAsia" w:hAnsiTheme="minorEastAsia"/>
          <w:noProof/>
          <w:sz w:val="24"/>
        </w:rPr>
      </w:pPr>
      <w:hyperlink w:anchor="_Toc124325905" w:history="1">
        <w:r w:rsidR="00E34CFB" w:rsidRPr="005B2CC9">
          <w:rPr>
            <w:rStyle w:val="a9"/>
            <w:rFonts w:asciiTheme="minorEastAsia" w:eastAsiaTheme="minorEastAsia" w:hAnsiTheme="minorEastAsia" w:hint="eastAsia"/>
            <w:noProof/>
            <w:sz w:val="24"/>
          </w:rPr>
          <w:t>二十一、托管协议的签订</w:t>
        </w:r>
        <w:r w:rsidR="00E34CFB" w:rsidRPr="005B2CC9">
          <w:rPr>
            <w:rFonts w:asciiTheme="minorEastAsia" w:eastAsiaTheme="minorEastAsia" w:hAnsiTheme="minorEastAsia" w:hint="eastAsia"/>
            <w:noProof/>
            <w:webHidden/>
            <w:sz w:val="24"/>
          </w:rPr>
          <w:tab/>
        </w:r>
        <w:r w:rsidR="00E34CFB" w:rsidRPr="005B2CC9">
          <w:rPr>
            <w:rFonts w:asciiTheme="minorEastAsia" w:eastAsiaTheme="minorEastAsia" w:hAnsiTheme="minorEastAsia" w:hint="eastAsia"/>
            <w:noProof/>
            <w:webHidden/>
            <w:sz w:val="24"/>
          </w:rPr>
          <w:fldChar w:fldCharType="begin"/>
        </w:r>
        <w:r w:rsidR="00E34CFB" w:rsidRPr="005B2CC9">
          <w:rPr>
            <w:rFonts w:asciiTheme="minorEastAsia" w:eastAsiaTheme="minorEastAsia" w:hAnsiTheme="minorEastAsia" w:hint="eastAsia"/>
            <w:noProof/>
            <w:webHidden/>
            <w:sz w:val="24"/>
          </w:rPr>
          <w:instrText xml:space="preserve"> PAGEREF _Toc124325905 \h </w:instrText>
        </w:r>
        <w:r w:rsidR="00E34CFB" w:rsidRPr="005B2CC9">
          <w:rPr>
            <w:rFonts w:asciiTheme="minorEastAsia" w:eastAsiaTheme="minorEastAsia" w:hAnsiTheme="minorEastAsia" w:hint="eastAsia"/>
            <w:noProof/>
            <w:webHidden/>
            <w:sz w:val="24"/>
          </w:rPr>
        </w:r>
        <w:r w:rsidR="00E34CFB" w:rsidRPr="005B2CC9">
          <w:rPr>
            <w:rFonts w:asciiTheme="minorEastAsia" w:eastAsiaTheme="minorEastAsia" w:hAnsiTheme="minorEastAsia" w:hint="eastAsia"/>
            <w:noProof/>
            <w:webHidden/>
            <w:sz w:val="24"/>
          </w:rPr>
          <w:fldChar w:fldCharType="separate"/>
        </w:r>
        <w:r w:rsidR="000B2DD8">
          <w:rPr>
            <w:rFonts w:asciiTheme="minorEastAsia" w:eastAsiaTheme="minorEastAsia" w:hAnsiTheme="minorEastAsia"/>
            <w:noProof/>
            <w:webHidden/>
            <w:sz w:val="24"/>
          </w:rPr>
          <w:t>39</w:t>
        </w:r>
        <w:r w:rsidR="00E34CFB" w:rsidRPr="005B2CC9">
          <w:rPr>
            <w:rFonts w:asciiTheme="minorEastAsia" w:eastAsiaTheme="minorEastAsia" w:hAnsiTheme="minorEastAsia" w:hint="eastAsia"/>
            <w:noProof/>
            <w:webHidden/>
            <w:sz w:val="24"/>
          </w:rPr>
          <w:fldChar w:fldCharType="end"/>
        </w:r>
      </w:hyperlink>
    </w:p>
    <w:p w:rsidR="004A0E4C" w:rsidRDefault="00E34CFB" w:rsidP="0057355C">
      <w:pPr>
        <w:spacing w:line="540" w:lineRule="exact"/>
        <w:rPr>
          <w:rFonts w:asciiTheme="minorEastAsia" w:eastAsiaTheme="minorEastAsia" w:hAnsiTheme="minorEastAsia"/>
          <w:sz w:val="28"/>
        </w:rPr>
      </w:pPr>
      <w:r w:rsidRPr="005B2CC9">
        <w:rPr>
          <w:rFonts w:asciiTheme="minorEastAsia" w:eastAsiaTheme="minorEastAsia" w:hAnsiTheme="minorEastAsia" w:hint="eastAsia"/>
          <w:sz w:val="24"/>
        </w:rPr>
        <w:fldChar w:fldCharType="end"/>
      </w:r>
    </w:p>
    <w:p w:rsidR="004A0E4C" w:rsidRDefault="004A0E4C">
      <w:pPr>
        <w:widowControl/>
        <w:jc w:val="left"/>
        <w:rPr>
          <w:rFonts w:asciiTheme="minorEastAsia" w:eastAsiaTheme="minorEastAsia" w:hAnsiTheme="minorEastAsia"/>
          <w:sz w:val="28"/>
        </w:rPr>
      </w:pPr>
      <w:r>
        <w:rPr>
          <w:rFonts w:asciiTheme="minorEastAsia" w:eastAsiaTheme="minorEastAsia" w:hAnsiTheme="minorEastAsia"/>
          <w:sz w:val="28"/>
        </w:rPr>
        <w:br w:type="page"/>
      </w:r>
    </w:p>
    <w:p w:rsidR="00E34CFB" w:rsidRPr="004A0E4C" w:rsidRDefault="00E34CFB" w:rsidP="004A0E4C">
      <w:pPr>
        <w:widowControl/>
        <w:adjustRightInd w:val="0"/>
        <w:snapToGrid w:val="0"/>
        <w:spacing w:line="360" w:lineRule="auto"/>
        <w:ind w:firstLineChars="200" w:firstLine="480"/>
        <w:rPr>
          <w:rFonts w:asciiTheme="minorEastAsia" w:eastAsiaTheme="minorEastAsia" w:hAnsiTheme="minorEastAsia" w:cs="Arial"/>
          <w:kern w:val="0"/>
          <w:sz w:val="24"/>
        </w:rPr>
      </w:pPr>
      <w:r w:rsidRPr="004A0E4C">
        <w:rPr>
          <w:rFonts w:asciiTheme="minorEastAsia" w:eastAsiaTheme="minorEastAsia" w:hAnsiTheme="minorEastAsia" w:cs="Arial" w:hint="eastAsia"/>
          <w:kern w:val="0"/>
          <w:sz w:val="24"/>
        </w:rPr>
        <w:lastRenderedPageBreak/>
        <w:t>鉴于</w:t>
      </w:r>
      <w:r w:rsidR="00D57F51">
        <w:rPr>
          <w:rFonts w:asciiTheme="minorEastAsia" w:eastAsiaTheme="minorEastAsia" w:hAnsiTheme="minorEastAsia" w:cs="Arial" w:hint="eastAsia"/>
          <w:kern w:val="0"/>
          <w:sz w:val="24"/>
        </w:rPr>
        <w:t>鹏华</w:t>
      </w:r>
      <w:r w:rsidRPr="004A0E4C">
        <w:rPr>
          <w:rFonts w:asciiTheme="minorEastAsia" w:eastAsiaTheme="minorEastAsia" w:hAnsiTheme="minorEastAsia" w:cs="Arial" w:hint="eastAsia"/>
          <w:kern w:val="0"/>
          <w:sz w:val="24"/>
        </w:rPr>
        <w:t>基金管理有限公司系一家依照中国法律合法成立并有效存续的有限责任公司，按照相关法律法规的规定具备担任基金管理人的资格和能力，拟募集发行</w:t>
      </w:r>
      <w:r w:rsidR="003F262C" w:rsidRPr="003F262C">
        <w:rPr>
          <w:rFonts w:asciiTheme="minorEastAsia" w:eastAsiaTheme="minorEastAsia" w:hAnsiTheme="minorEastAsia" w:cs="Arial" w:hint="eastAsia"/>
          <w:kern w:val="0"/>
          <w:sz w:val="24"/>
        </w:rPr>
        <w:t>鹏</w:t>
      </w:r>
      <w:proofErr w:type="gramStart"/>
      <w:r w:rsidR="003F262C" w:rsidRPr="003F262C">
        <w:rPr>
          <w:rFonts w:asciiTheme="minorEastAsia" w:eastAsiaTheme="minorEastAsia" w:hAnsiTheme="minorEastAsia" w:cs="Arial" w:hint="eastAsia"/>
          <w:kern w:val="0"/>
          <w:sz w:val="24"/>
        </w:rPr>
        <w:t>华研究</w:t>
      </w:r>
      <w:proofErr w:type="gramEnd"/>
      <w:r w:rsidR="003F262C" w:rsidRPr="003F262C">
        <w:rPr>
          <w:rFonts w:asciiTheme="minorEastAsia" w:eastAsiaTheme="minorEastAsia" w:hAnsiTheme="minorEastAsia" w:cs="Arial" w:hint="eastAsia"/>
          <w:kern w:val="0"/>
          <w:sz w:val="24"/>
        </w:rPr>
        <w:t>精选灵活配置混合型</w:t>
      </w:r>
      <w:r w:rsidRPr="004A0E4C">
        <w:rPr>
          <w:rFonts w:asciiTheme="minorEastAsia" w:eastAsiaTheme="minorEastAsia" w:hAnsiTheme="minorEastAsia" w:cs="Arial" w:hint="eastAsia"/>
          <w:kern w:val="0"/>
          <w:sz w:val="24"/>
        </w:rPr>
        <w:t>证券投资基金；</w:t>
      </w:r>
    </w:p>
    <w:p w:rsidR="00E34CFB" w:rsidRPr="004A0E4C" w:rsidRDefault="00E34CFB" w:rsidP="004A0E4C">
      <w:pPr>
        <w:widowControl/>
        <w:adjustRightInd w:val="0"/>
        <w:snapToGrid w:val="0"/>
        <w:spacing w:line="360" w:lineRule="auto"/>
        <w:ind w:firstLineChars="200" w:firstLine="480"/>
        <w:rPr>
          <w:rFonts w:asciiTheme="minorEastAsia" w:eastAsiaTheme="minorEastAsia" w:hAnsiTheme="minorEastAsia" w:cs="Arial"/>
          <w:kern w:val="0"/>
          <w:sz w:val="24"/>
        </w:rPr>
      </w:pPr>
      <w:r w:rsidRPr="004A0E4C">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E34CFB" w:rsidRPr="004A0E4C" w:rsidRDefault="00E34CFB" w:rsidP="004A0E4C">
      <w:pPr>
        <w:widowControl/>
        <w:adjustRightInd w:val="0"/>
        <w:snapToGrid w:val="0"/>
        <w:spacing w:line="360" w:lineRule="auto"/>
        <w:ind w:firstLineChars="200" w:firstLine="480"/>
        <w:rPr>
          <w:rFonts w:asciiTheme="minorEastAsia" w:eastAsiaTheme="minorEastAsia" w:hAnsiTheme="minorEastAsia" w:cs="Arial"/>
          <w:kern w:val="0"/>
          <w:sz w:val="24"/>
        </w:rPr>
      </w:pPr>
      <w:r w:rsidRPr="004A0E4C">
        <w:rPr>
          <w:rFonts w:asciiTheme="minorEastAsia" w:eastAsiaTheme="minorEastAsia" w:hAnsiTheme="minorEastAsia" w:cs="Arial" w:hint="eastAsia"/>
          <w:kern w:val="0"/>
          <w:sz w:val="24"/>
        </w:rPr>
        <w:t>鉴于</w:t>
      </w:r>
      <w:r w:rsidR="00842AB5" w:rsidRPr="003F262C">
        <w:rPr>
          <w:rFonts w:asciiTheme="minorEastAsia" w:eastAsiaTheme="minorEastAsia" w:hAnsiTheme="minorEastAsia" w:cs="Arial" w:hint="eastAsia"/>
          <w:kern w:val="0"/>
          <w:sz w:val="24"/>
        </w:rPr>
        <w:t>鹏华</w:t>
      </w:r>
      <w:r w:rsidRPr="004A0E4C">
        <w:rPr>
          <w:rFonts w:asciiTheme="minorEastAsia" w:eastAsiaTheme="minorEastAsia" w:hAnsiTheme="minorEastAsia" w:cs="Arial" w:hint="eastAsia"/>
          <w:kern w:val="0"/>
          <w:sz w:val="24"/>
        </w:rPr>
        <w:t>基金管理有限公司拟担任</w:t>
      </w:r>
      <w:r w:rsidR="00842AB5" w:rsidRPr="003F262C">
        <w:rPr>
          <w:rFonts w:asciiTheme="minorEastAsia" w:eastAsiaTheme="minorEastAsia" w:hAnsiTheme="minorEastAsia" w:cs="Arial" w:hint="eastAsia"/>
          <w:kern w:val="0"/>
          <w:sz w:val="24"/>
        </w:rPr>
        <w:t>鹏</w:t>
      </w:r>
      <w:proofErr w:type="gramStart"/>
      <w:r w:rsidR="00842AB5" w:rsidRPr="003F262C">
        <w:rPr>
          <w:rFonts w:asciiTheme="minorEastAsia" w:eastAsiaTheme="minorEastAsia" w:hAnsiTheme="minorEastAsia" w:cs="Arial" w:hint="eastAsia"/>
          <w:kern w:val="0"/>
          <w:sz w:val="24"/>
        </w:rPr>
        <w:t>华研究</w:t>
      </w:r>
      <w:proofErr w:type="gramEnd"/>
      <w:r w:rsidR="00842AB5" w:rsidRPr="003F262C">
        <w:rPr>
          <w:rFonts w:asciiTheme="minorEastAsia" w:eastAsiaTheme="minorEastAsia" w:hAnsiTheme="minorEastAsia" w:cs="Arial" w:hint="eastAsia"/>
          <w:kern w:val="0"/>
          <w:sz w:val="24"/>
        </w:rPr>
        <w:t>精选灵活配置混合型</w:t>
      </w:r>
      <w:r w:rsidRPr="004A0E4C">
        <w:rPr>
          <w:rFonts w:asciiTheme="minorEastAsia" w:eastAsiaTheme="minorEastAsia" w:hAnsiTheme="minorEastAsia" w:cs="Arial" w:hint="eastAsia"/>
          <w:kern w:val="0"/>
          <w:sz w:val="24"/>
        </w:rPr>
        <w:t>证券投资基金的基金管理人，中国建设银行股份有限公司拟担任</w:t>
      </w:r>
      <w:r w:rsidR="00842AB5" w:rsidRPr="003F262C">
        <w:rPr>
          <w:rFonts w:asciiTheme="minorEastAsia" w:eastAsiaTheme="minorEastAsia" w:hAnsiTheme="minorEastAsia" w:cs="Arial" w:hint="eastAsia"/>
          <w:kern w:val="0"/>
          <w:sz w:val="24"/>
        </w:rPr>
        <w:t>鹏</w:t>
      </w:r>
      <w:proofErr w:type="gramStart"/>
      <w:r w:rsidR="00842AB5" w:rsidRPr="003F262C">
        <w:rPr>
          <w:rFonts w:asciiTheme="minorEastAsia" w:eastAsiaTheme="minorEastAsia" w:hAnsiTheme="minorEastAsia" w:cs="Arial" w:hint="eastAsia"/>
          <w:kern w:val="0"/>
          <w:sz w:val="24"/>
        </w:rPr>
        <w:t>华研究</w:t>
      </w:r>
      <w:proofErr w:type="gramEnd"/>
      <w:r w:rsidR="00842AB5" w:rsidRPr="003F262C">
        <w:rPr>
          <w:rFonts w:asciiTheme="minorEastAsia" w:eastAsiaTheme="minorEastAsia" w:hAnsiTheme="minorEastAsia" w:cs="Arial" w:hint="eastAsia"/>
          <w:kern w:val="0"/>
          <w:sz w:val="24"/>
        </w:rPr>
        <w:t>精选灵活配置混合型</w:t>
      </w:r>
      <w:r w:rsidRPr="004A0E4C">
        <w:rPr>
          <w:rFonts w:asciiTheme="minorEastAsia" w:eastAsiaTheme="minorEastAsia" w:hAnsiTheme="minorEastAsia" w:cs="Arial" w:hint="eastAsia"/>
          <w:kern w:val="0"/>
          <w:sz w:val="24"/>
        </w:rPr>
        <w:t>证券投资基金的基金托管人；</w:t>
      </w:r>
    </w:p>
    <w:p w:rsidR="00E34CFB" w:rsidRPr="004A0E4C" w:rsidRDefault="00E34CFB" w:rsidP="004A0E4C">
      <w:pPr>
        <w:widowControl/>
        <w:adjustRightInd w:val="0"/>
        <w:snapToGrid w:val="0"/>
        <w:spacing w:line="360" w:lineRule="auto"/>
        <w:ind w:firstLineChars="200" w:firstLine="480"/>
        <w:rPr>
          <w:rFonts w:asciiTheme="minorEastAsia" w:eastAsiaTheme="minorEastAsia" w:hAnsiTheme="minorEastAsia" w:cs="Arial"/>
          <w:kern w:val="0"/>
          <w:sz w:val="24"/>
        </w:rPr>
      </w:pPr>
      <w:r w:rsidRPr="004A0E4C">
        <w:rPr>
          <w:rFonts w:asciiTheme="minorEastAsia" w:eastAsiaTheme="minorEastAsia" w:hAnsiTheme="minorEastAsia" w:cs="Arial" w:hint="eastAsia"/>
          <w:kern w:val="0"/>
          <w:sz w:val="24"/>
        </w:rPr>
        <w:t>为明确</w:t>
      </w:r>
      <w:r w:rsidR="00842AB5" w:rsidRPr="003F262C">
        <w:rPr>
          <w:rFonts w:asciiTheme="minorEastAsia" w:eastAsiaTheme="minorEastAsia" w:hAnsiTheme="minorEastAsia" w:cs="Arial" w:hint="eastAsia"/>
          <w:kern w:val="0"/>
          <w:sz w:val="24"/>
        </w:rPr>
        <w:t>鹏</w:t>
      </w:r>
      <w:proofErr w:type="gramStart"/>
      <w:r w:rsidR="00842AB5" w:rsidRPr="003F262C">
        <w:rPr>
          <w:rFonts w:asciiTheme="minorEastAsia" w:eastAsiaTheme="minorEastAsia" w:hAnsiTheme="minorEastAsia" w:cs="Arial" w:hint="eastAsia"/>
          <w:kern w:val="0"/>
          <w:sz w:val="24"/>
        </w:rPr>
        <w:t>华研究</w:t>
      </w:r>
      <w:proofErr w:type="gramEnd"/>
      <w:r w:rsidR="00842AB5" w:rsidRPr="003F262C">
        <w:rPr>
          <w:rFonts w:asciiTheme="minorEastAsia" w:eastAsiaTheme="minorEastAsia" w:hAnsiTheme="minorEastAsia" w:cs="Arial" w:hint="eastAsia"/>
          <w:kern w:val="0"/>
          <w:sz w:val="24"/>
        </w:rPr>
        <w:t>精选灵活配置混合型</w:t>
      </w:r>
      <w:r w:rsidRPr="004A0E4C">
        <w:rPr>
          <w:rFonts w:asciiTheme="minorEastAsia" w:eastAsiaTheme="minorEastAsia" w:hAnsiTheme="minorEastAsia" w:cs="Arial" w:hint="eastAsia"/>
          <w:kern w:val="0"/>
          <w:sz w:val="24"/>
        </w:rPr>
        <w:t>证券投资基金的基金管理人和基金托管人之间的权利义务关系，特制订本托管协议；</w:t>
      </w:r>
    </w:p>
    <w:p w:rsidR="00E34CFB" w:rsidRPr="004A0E4C" w:rsidRDefault="00E34CFB" w:rsidP="004A0E4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4A0E4C">
        <w:rPr>
          <w:rFonts w:asciiTheme="minorEastAsia" w:eastAsiaTheme="minorEastAsia" w:hAnsiTheme="minorEastAsia" w:cs="Arial" w:hint="eastAsia"/>
          <w:kern w:val="0"/>
          <w:sz w:val="24"/>
          <w:lang w:val="en-GB"/>
        </w:rPr>
        <w:t>除非另有约定，《</w:t>
      </w:r>
      <w:r w:rsidR="00842AB5" w:rsidRPr="003F262C">
        <w:rPr>
          <w:rFonts w:asciiTheme="minorEastAsia" w:eastAsiaTheme="minorEastAsia" w:hAnsiTheme="minorEastAsia" w:cs="Arial" w:hint="eastAsia"/>
          <w:kern w:val="0"/>
          <w:sz w:val="24"/>
        </w:rPr>
        <w:t>鹏华研究精选灵活配置混合型</w:t>
      </w:r>
      <w:r w:rsidRPr="004A0E4C">
        <w:rPr>
          <w:rFonts w:asciiTheme="minorEastAsia" w:eastAsiaTheme="minorEastAsia" w:hAnsiTheme="minorEastAsia" w:cs="Arial" w:hint="eastAsia"/>
          <w:kern w:val="0"/>
          <w:sz w:val="24"/>
          <w:lang w:val="en-GB"/>
        </w:rPr>
        <w:t>证券投资基金基金合同》(以下简称“基金合同”)中定义的术语在用于本托管协议时应具有相同的含义；若有抵触应以《基金合同》为准，并依其</w:t>
      </w:r>
      <w:r w:rsidRPr="004A0E4C">
        <w:rPr>
          <w:rFonts w:asciiTheme="minorEastAsia" w:eastAsiaTheme="minorEastAsia" w:hAnsiTheme="minorEastAsia" w:cs="Arial" w:hint="eastAsia"/>
          <w:kern w:val="0"/>
          <w:sz w:val="24"/>
        </w:rPr>
        <w:t>条款</w:t>
      </w:r>
      <w:r w:rsidRPr="004A0E4C">
        <w:rPr>
          <w:rFonts w:asciiTheme="minorEastAsia" w:eastAsiaTheme="minorEastAsia" w:hAnsiTheme="minorEastAsia" w:cs="Arial" w:hint="eastAsia"/>
          <w:kern w:val="0"/>
          <w:sz w:val="24"/>
          <w:lang w:val="en-GB"/>
        </w:rPr>
        <w:t>解释。</w:t>
      </w:r>
    </w:p>
    <w:p w:rsidR="00E34CFB" w:rsidRPr="004A0E4C" w:rsidRDefault="00E34CFB" w:rsidP="004A0E4C">
      <w:pPr>
        <w:spacing w:line="360" w:lineRule="auto"/>
        <w:rPr>
          <w:rFonts w:asciiTheme="minorEastAsia" w:eastAsiaTheme="minorEastAsia" w:hAnsiTheme="minorEastAsia"/>
          <w:sz w:val="24"/>
          <w:lang w:val="en-GB"/>
        </w:rPr>
      </w:pPr>
    </w:p>
    <w:p w:rsidR="00E34CFB" w:rsidRPr="004A0E4C" w:rsidRDefault="00E34CFB" w:rsidP="004A0E4C">
      <w:pPr>
        <w:pStyle w:val="2"/>
        <w:spacing w:line="360" w:lineRule="auto"/>
        <w:jc w:val="center"/>
        <w:rPr>
          <w:rFonts w:asciiTheme="minorEastAsia" w:eastAsiaTheme="minorEastAsia" w:hAnsiTheme="minorEastAsia"/>
        </w:rPr>
      </w:pPr>
      <w:bookmarkStart w:id="1" w:name="_Toc124325885"/>
      <w:r w:rsidRPr="004A0E4C">
        <w:rPr>
          <w:rFonts w:asciiTheme="minorEastAsia" w:eastAsiaTheme="minorEastAsia" w:hAnsiTheme="minorEastAsia" w:hint="eastAsia"/>
        </w:rPr>
        <w:t>一、基金托管协议当事人</w:t>
      </w:r>
      <w:bookmarkEnd w:id="1"/>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名称：鹏华基金管理有限公司</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注册地址：深圳市福田区福华三路168号深圳国际商会中心43层</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办公地址：深圳市福田区福华三路168号深圳国际商会中心43层</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邮政编码：518048</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法定代表人：何如</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成立日期：1998年12月22日</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批准设立机关及批准设立文号：中国证监会</w:t>
      </w:r>
      <w:proofErr w:type="gramStart"/>
      <w:r w:rsidRPr="00B27996">
        <w:rPr>
          <w:rFonts w:asciiTheme="minorEastAsia" w:eastAsiaTheme="minorEastAsia" w:hAnsiTheme="minorEastAsia" w:cs="Arial" w:hint="eastAsia"/>
          <w:sz w:val="24"/>
        </w:rPr>
        <w:t>证监基字</w:t>
      </w:r>
      <w:proofErr w:type="gramEnd"/>
      <w:r w:rsidRPr="00B27996">
        <w:rPr>
          <w:rFonts w:asciiTheme="minorEastAsia" w:eastAsiaTheme="minorEastAsia" w:hAnsiTheme="minorEastAsia" w:cs="Arial" w:hint="eastAsia"/>
          <w:sz w:val="24"/>
        </w:rPr>
        <w:t>[1998]31号</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组织形式：有限责任公司</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注册资本：1.5亿元</w:t>
      </w:r>
    </w:p>
    <w:p w:rsidR="002806E0" w:rsidRPr="00B27996"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存续期间：持续经营</w:t>
      </w:r>
    </w:p>
    <w:p w:rsidR="002806E0" w:rsidRPr="008852BD" w:rsidRDefault="002806E0" w:rsidP="002806E0">
      <w:pPr>
        <w:adjustRightInd w:val="0"/>
        <w:snapToGrid w:val="0"/>
        <w:spacing w:line="360" w:lineRule="auto"/>
        <w:ind w:firstLineChars="200" w:firstLine="480"/>
        <w:rPr>
          <w:rFonts w:asciiTheme="minorEastAsia" w:eastAsiaTheme="minorEastAsia" w:hAnsiTheme="minorEastAsia" w:cs="Arial"/>
          <w:sz w:val="24"/>
        </w:rPr>
      </w:pPr>
      <w:r w:rsidRPr="00B27996">
        <w:rPr>
          <w:rFonts w:asciiTheme="minorEastAsia" w:eastAsiaTheme="minorEastAsia" w:hAnsiTheme="minorEastAsia" w:cs="Arial" w:hint="eastAsia"/>
          <w:sz w:val="24"/>
        </w:rPr>
        <w:t>经营范围：基金募集；基金销售；资产管理以及中国证监会许可的其它业务。</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（二）基金托管人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名称：中国建设银行股份有限公司(简称：中国建设银行)</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住所：北京市西城区金融大街25号</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办公地址：北京市西城区闹市口大街1号院1号楼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邮政编码：100033</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法定代表人：王洪章</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A0E4C">
          <w:rPr>
            <w:rFonts w:asciiTheme="minorEastAsia" w:eastAsiaTheme="minorEastAsia" w:hAnsiTheme="minorEastAsia" w:cs="Arial" w:hint="eastAsia"/>
            <w:sz w:val="24"/>
          </w:rPr>
          <w:t>2004年09月17日</w:t>
        </w:r>
      </w:smartTag>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基金托管业务批准文号：中国证监会证监基字[1998</w:t>
      </w:r>
      <w:bookmarkStart w:id="2" w:name="OLE_LINK3"/>
      <w:r w:rsidRPr="004A0E4C">
        <w:rPr>
          <w:rFonts w:asciiTheme="minorEastAsia" w:eastAsiaTheme="minorEastAsia" w:hAnsiTheme="minorEastAsia" w:cs="Arial" w:hint="eastAsia"/>
          <w:sz w:val="24"/>
        </w:rPr>
        <w:t>]</w:t>
      </w:r>
      <w:bookmarkEnd w:id="2"/>
      <w:r w:rsidRPr="004A0E4C">
        <w:rPr>
          <w:rFonts w:asciiTheme="minorEastAsia" w:eastAsiaTheme="minorEastAsia" w:hAnsiTheme="minorEastAsia" w:cs="Arial" w:hint="eastAsia"/>
          <w:sz w:val="24"/>
        </w:rPr>
        <w:t>12号</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组织形式：股份有限公司</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注册资本：</w:t>
      </w:r>
      <w:r w:rsidRPr="004A0E4C">
        <w:rPr>
          <w:rFonts w:asciiTheme="minorEastAsia" w:eastAsiaTheme="minorEastAsia" w:hAnsiTheme="minorEastAsia" w:hint="eastAsia"/>
          <w:sz w:val="24"/>
        </w:rPr>
        <w:t>贰仟伍佰亿壹仟零玖拾柒万柒仟肆佰捌拾陆元整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存续期间：持续经营</w:t>
      </w:r>
    </w:p>
    <w:p w:rsidR="00E34CFB" w:rsidRPr="004A0E4C" w:rsidRDefault="00E34CFB" w:rsidP="004A0E4C">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34CFB" w:rsidRPr="004A0E4C" w:rsidRDefault="00E34CFB" w:rsidP="004A0E4C">
      <w:pPr>
        <w:spacing w:line="360" w:lineRule="auto"/>
        <w:rPr>
          <w:rFonts w:asciiTheme="minorEastAsia" w:eastAsiaTheme="minorEastAsia" w:hAnsiTheme="minorEastAsia"/>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3" w:name="_Toc124325886"/>
      <w:r w:rsidRPr="004A0E4C">
        <w:rPr>
          <w:rFonts w:asciiTheme="minorEastAsia" w:eastAsiaTheme="minorEastAsia" w:hAnsiTheme="minorEastAsia" w:hint="eastAsia"/>
          <w:sz w:val="30"/>
        </w:rPr>
        <w:t>二、基金托管协议的依据、目的和原则</w:t>
      </w:r>
      <w:bookmarkEnd w:id="3"/>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24"/>
          <w:szCs w:val="30"/>
        </w:rPr>
      </w:pPr>
      <w:r w:rsidRPr="004A0E4C">
        <w:rPr>
          <w:rFonts w:asciiTheme="minorEastAsia" w:eastAsiaTheme="minorEastAsia" w:hAnsiTheme="minorEastAsia" w:cs="Arial" w:hint="eastAsia"/>
          <w:sz w:val="24"/>
        </w:rPr>
        <w:t>（一）订立托管协议的依据</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（二）订立托管协议的目的</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24"/>
          <w:szCs w:val="30"/>
        </w:rPr>
      </w:pPr>
      <w:r w:rsidRPr="004A0E4C">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（三）订立托管协议的原则</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E34CFB" w:rsidRPr="004A0E4C" w:rsidRDefault="00E34CFB" w:rsidP="004A0E4C">
      <w:pPr>
        <w:spacing w:line="360" w:lineRule="auto"/>
        <w:rPr>
          <w:rFonts w:asciiTheme="minorEastAsia" w:eastAsiaTheme="minorEastAsia" w:hAnsiTheme="minorEastAsia"/>
          <w:sz w:val="24"/>
        </w:rPr>
      </w:pPr>
    </w:p>
    <w:p w:rsidR="00E34CFB" w:rsidRPr="004A0E4C" w:rsidRDefault="00E34CFB" w:rsidP="004A0E4C">
      <w:pPr>
        <w:pStyle w:val="2"/>
        <w:spacing w:line="360" w:lineRule="auto"/>
        <w:jc w:val="center"/>
        <w:rPr>
          <w:rFonts w:asciiTheme="minorEastAsia" w:eastAsiaTheme="minorEastAsia" w:hAnsiTheme="minorEastAsia"/>
          <w:sz w:val="30"/>
          <w:szCs w:val="24"/>
        </w:rPr>
      </w:pPr>
      <w:bookmarkStart w:id="4" w:name="_Toc124325887"/>
      <w:r w:rsidRPr="004A0E4C">
        <w:rPr>
          <w:rFonts w:asciiTheme="minorEastAsia" w:eastAsiaTheme="minorEastAsia" w:hAnsiTheme="minorEastAsia" w:hint="eastAsia"/>
          <w:sz w:val="30"/>
        </w:rPr>
        <w:lastRenderedPageBreak/>
        <w:t>三、基金托管人对基金管理人的业务监督和核查</w:t>
      </w:r>
      <w:bookmarkEnd w:id="4"/>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F683A" w:rsidRPr="004F683A" w:rsidRDefault="004F683A" w:rsidP="004F683A">
      <w:pPr>
        <w:adjustRightInd w:val="0"/>
        <w:snapToGrid w:val="0"/>
        <w:spacing w:line="360" w:lineRule="auto"/>
        <w:ind w:firstLineChars="200" w:firstLine="480"/>
        <w:rPr>
          <w:rFonts w:asciiTheme="minorEastAsia" w:eastAsiaTheme="minorEastAsia" w:hAnsiTheme="minorEastAsia" w:cs="Arial"/>
          <w:sz w:val="24"/>
        </w:rPr>
      </w:pPr>
      <w:r w:rsidRPr="004F683A">
        <w:rPr>
          <w:rFonts w:asciiTheme="minorEastAsia" w:eastAsiaTheme="minorEastAsia" w:hAnsiTheme="minorEastAsia" w:cs="Arial" w:hint="eastAsia"/>
          <w:sz w:val="24"/>
        </w:rPr>
        <w:t>本基金的投资范围为具有良好流动性的金融工具，包括国内依法发行的股票（包含中小板、创业板及其他经中国证监会核准上市的股票）、债券（含国债、金融债、企业债、公司债、央行票据、中期票据、短期融资券、次级债、可转换债券、可交换债券、中小企业私募债等）、货币市场工具、权证、资产支持证券、股指期货以及法律法规或中国证监会允许基金投资的其他金融工具（但须符合中国证监会相关规定）。</w:t>
      </w:r>
    </w:p>
    <w:p w:rsidR="004F683A" w:rsidRPr="004F683A" w:rsidRDefault="004F683A" w:rsidP="004F683A">
      <w:pPr>
        <w:adjustRightInd w:val="0"/>
        <w:snapToGrid w:val="0"/>
        <w:spacing w:line="360" w:lineRule="auto"/>
        <w:ind w:firstLineChars="200" w:firstLine="480"/>
        <w:rPr>
          <w:rFonts w:asciiTheme="minorEastAsia" w:eastAsiaTheme="minorEastAsia" w:hAnsiTheme="minorEastAsia" w:cs="Arial"/>
          <w:sz w:val="24"/>
        </w:rPr>
      </w:pPr>
      <w:r w:rsidRPr="004F683A">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4F683A" w:rsidRPr="004F683A" w:rsidRDefault="004F683A" w:rsidP="004F683A">
      <w:pPr>
        <w:adjustRightInd w:val="0"/>
        <w:snapToGrid w:val="0"/>
        <w:spacing w:line="360" w:lineRule="auto"/>
        <w:ind w:firstLineChars="200" w:firstLine="480"/>
        <w:rPr>
          <w:rFonts w:asciiTheme="minorEastAsia" w:eastAsiaTheme="minorEastAsia" w:hAnsiTheme="minorEastAsia" w:cs="Arial"/>
          <w:sz w:val="24"/>
        </w:rPr>
      </w:pPr>
      <w:r w:rsidRPr="004F683A">
        <w:rPr>
          <w:rFonts w:asciiTheme="minorEastAsia" w:eastAsiaTheme="minorEastAsia" w:hAnsiTheme="minorEastAsia" w:cs="Arial" w:hint="eastAsia"/>
          <w:sz w:val="24"/>
        </w:rPr>
        <w:t>基金的投资组合比例为：股票资产占基金资产的比例为0%－95%；每个交易日日终在扣除股指期货合约需缴纳的交易保证金后，基金保留的现金以及投资于到期日在一年以内的政府债券的比例合计不低于基金资产净值的5%。</w:t>
      </w:r>
    </w:p>
    <w:p w:rsidR="00E34CFB" w:rsidRPr="004A0E4C" w:rsidRDefault="004F683A" w:rsidP="004F683A">
      <w:pPr>
        <w:adjustRightInd w:val="0"/>
        <w:snapToGrid w:val="0"/>
        <w:spacing w:line="360" w:lineRule="auto"/>
        <w:ind w:firstLineChars="200" w:firstLine="480"/>
        <w:rPr>
          <w:rFonts w:asciiTheme="minorEastAsia" w:eastAsiaTheme="minorEastAsia" w:hAnsiTheme="minorEastAsia"/>
          <w:sz w:val="24"/>
          <w:szCs w:val="30"/>
        </w:rPr>
      </w:pPr>
      <w:r w:rsidRPr="004F683A">
        <w:rPr>
          <w:rFonts w:asciiTheme="minorEastAsia" w:eastAsiaTheme="minorEastAsia" w:hAnsiTheme="minorEastAsia" w:cs="Arial" w:hint="eastAsia"/>
          <w:sz w:val="24"/>
        </w:rPr>
        <w:t>如果法律法规对该比例要求有变更的，以变更后的比例为准，本基金的投资范围会做相应调整。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（1）股票资产占基金资产的比例为0%－95%；</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（2）每个交易日日终在扣除股指期货合约需缴纳的交易保证金后，保持不低于基金资产净值5%的现金或者到期日在一年以内的政府债券；</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（3）本基金持有一家公司发行的证券，其市值不超过基金资产净值的10%；</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（4）本基金管理人管理</w:t>
      </w:r>
      <w:r w:rsidR="0040102A" w:rsidRPr="0040102A">
        <w:rPr>
          <w:rFonts w:asciiTheme="minorEastAsia" w:eastAsiaTheme="minorEastAsia" w:hAnsiTheme="minorEastAsia" w:hint="eastAsia"/>
          <w:sz w:val="24"/>
        </w:rPr>
        <w:t>并由本基金托管人托管</w:t>
      </w:r>
      <w:r w:rsidRPr="0003757E">
        <w:rPr>
          <w:rFonts w:asciiTheme="minorEastAsia" w:eastAsiaTheme="minorEastAsia" w:hAnsiTheme="minorEastAsia" w:hint="eastAsia"/>
          <w:sz w:val="24"/>
        </w:rPr>
        <w:t>的全部基金持有一家公司发行的证券，不超过该证券的10%；</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（5）本基金持有的全部权证，其市值不得超过基金资产净值的3%；</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（6）本基金管理人管理</w:t>
      </w:r>
      <w:r w:rsidR="0040102A" w:rsidRPr="0040102A">
        <w:rPr>
          <w:rFonts w:asciiTheme="minorEastAsia" w:eastAsiaTheme="minorEastAsia" w:hAnsiTheme="minorEastAsia" w:hint="eastAsia"/>
          <w:sz w:val="24"/>
        </w:rPr>
        <w:t>并由本基金托管人托管</w:t>
      </w:r>
      <w:r w:rsidRPr="0003757E">
        <w:rPr>
          <w:rFonts w:asciiTheme="minorEastAsia" w:eastAsiaTheme="minorEastAsia" w:hAnsiTheme="minorEastAsia" w:hint="eastAsia"/>
          <w:sz w:val="24"/>
        </w:rPr>
        <w:t>的全部基金持有的同一权证，</w:t>
      </w:r>
      <w:r w:rsidRPr="0003757E">
        <w:rPr>
          <w:rFonts w:asciiTheme="minorEastAsia" w:eastAsiaTheme="minorEastAsia" w:hAnsiTheme="minorEastAsia" w:hint="eastAsia"/>
          <w:sz w:val="24"/>
        </w:rPr>
        <w:lastRenderedPageBreak/>
        <w:t>不得超过该权证的10%；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（7）本基金在任何交易日买入权证的总金额，不得超过上一交易日基金资产净值的0.5%；</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（8）本基金投资于同一原始权益人的各类资产支持证券的比例，不得超过基金资产净值的10%；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（9）本基金持有的全部资产支持证券，其市值不得超过基金资产净值的20%，中国证监会规定的特殊品种除外；</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（10）本基金持有的同一（指同一信用级别）资产支持证券的比例，不得超过该资产支持证券规模的10%；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（11）本基金管理人管理</w:t>
      </w:r>
      <w:r w:rsidR="0040102A" w:rsidRPr="0040102A">
        <w:rPr>
          <w:rFonts w:asciiTheme="minorEastAsia" w:eastAsiaTheme="minorEastAsia" w:hAnsiTheme="minorEastAsia" w:hint="eastAsia"/>
          <w:sz w:val="24"/>
        </w:rPr>
        <w:t>并由本基金托管人托管</w:t>
      </w:r>
      <w:r w:rsidRPr="0003757E">
        <w:rPr>
          <w:rFonts w:asciiTheme="minorEastAsia" w:eastAsiaTheme="minorEastAsia" w:hAnsiTheme="minorEastAsia" w:hint="eastAsia"/>
          <w:sz w:val="24"/>
        </w:rPr>
        <w:t>的全部基金投资于同一原始权益人的各类资产支持证券，不得超过其各类资产支持证券合计规模的10%；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（13）基金财产参与股票发行申购，本基金所申报的金额不超过本基金的总资产，本基金所申报的股票数量不超过拟发行股票公司本次发行股票的总量；</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（14）本基金进入全国银行间同业市场进行债券回购的资金余额不得超过基金资产净值的40%</w:t>
      </w:r>
      <w:r w:rsidR="00192CB7" w:rsidRPr="00192CB7">
        <w:rPr>
          <w:rFonts w:asciiTheme="minorEastAsia" w:eastAsiaTheme="minorEastAsia" w:hAnsiTheme="minorEastAsia" w:hint="eastAsia"/>
          <w:sz w:val="24"/>
        </w:rPr>
        <w:t>；本基金在全国银行间同业市场中的债券回购最长期限为1年，债券回购到期后不得展期</w:t>
      </w:r>
      <w:r w:rsidRPr="0003757E">
        <w:rPr>
          <w:rFonts w:asciiTheme="minorEastAsia" w:eastAsiaTheme="minorEastAsia" w:hAnsiTheme="minorEastAsia" w:hint="eastAsia"/>
          <w:sz w:val="24"/>
        </w:rPr>
        <w:t>；</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（15）本基金总资产不得超过基金净资产的140%；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（16）本基金持有单只中小企业私募债券，其市值不得超过基金资产净值的10%；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（17）本基金在任何交易日日终，持有的买入股指期货合约价值，不得超过基金资产净值的10%；</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18）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03757E" w:rsidRPr="0003757E" w:rsidRDefault="0003757E" w:rsidP="00B44884">
      <w:pPr>
        <w:adjustRightInd w:val="0"/>
        <w:snapToGrid w:val="0"/>
        <w:spacing w:line="446" w:lineRule="exact"/>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（19）本基金在任何交易日日终，持有的卖出期货合约价值不得超过基金持有的股票总市值的20%；</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（20）本基金所持有的股票市值和买入、卖出股指期货合约价值，合计（轧</w:t>
      </w:r>
      <w:r w:rsidRPr="0003757E">
        <w:rPr>
          <w:rFonts w:asciiTheme="minorEastAsia" w:eastAsiaTheme="minorEastAsia" w:hAnsiTheme="minorEastAsia" w:hint="eastAsia"/>
          <w:sz w:val="24"/>
        </w:rPr>
        <w:lastRenderedPageBreak/>
        <w:t>差计算）应当符合基金合同关于股票投资比例的有关约定；</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（21）本基金在任何交易日内交易（不包括平仓）的股指期货合约的成交金额不得超过上一交易日基金资产净值的20%；</w:t>
      </w:r>
    </w:p>
    <w:p w:rsidR="00AC08DA" w:rsidRPr="00AC08DA" w:rsidRDefault="0003757E" w:rsidP="00AC08DA">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（22）</w:t>
      </w:r>
      <w:r w:rsidR="00AC08DA" w:rsidRPr="00AC08DA">
        <w:rPr>
          <w:rFonts w:asciiTheme="minorEastAsia" w:eastAsiaTheme="minorEastAsia" w:hAnsiTheme="minorEastAsia" w:hint="eastAsia"/>
          <w:sz w:val="24"/>
        </w:rPr>
        <w:t>本基金参与融资的，每个交易日日终，本基金持有的融资买入股票与其他有价证券市值之和，不得超过基金资产净值的95%；</w:t>
      </w:r>
    </w:p>
    <w:p w:rsidR="00545AC9" w:rsidRPr="00545AC9" w:rsidRDefault="00AC08DA" w:rsidP="00545AC9">
      <w:pPr>
        <w:adjustRightInd w:val="0"/>
        <w:snapToGrid w:val="0"/>
        <w:spacing w:line="360" w:lineRule="auto"/>
        <w:ind w:firstLineChars="200" w:firstLine="480"/>
        <w:rPr>
          <w:rFonts w:asciiTheme="minorEastAsia" w:eastAsiaTheme="minorEastAsia" w:hAnsiTheme="minorEastAsia"/>
          <w:sz w:val="24"/>
        </w:rPr>
      </w:pPr>
      <w:r w:rsidRPr="00AC08DA">
        <w:rPr>
          <w:rFonts w:asciiTheme="minorEastAsia" w:eastAsiaTheme="minorEastAsia" w:hAnsiTheme="minorEastAsia" w:hint="eastAsia"/>
          <w:sz w:val="24"/>
        </w:rPr>
        <w:t>（23）</w:t>
      </w:r>
      <w:r w:rsidR="00545AC9" w:rsidRPr="00545AC9">
        <w:rPr>
          <w:rFonts w:asciiTheme="minorEastAsia" w:eastAsiaTheme="minorEastAsia" w:hAnsiTheme="minorEastAsia" w:hint="eastAsia"/>
          <w:sz w:val="24"/>
        </w:rPr>
        <w:t>本基金投资流通受限证券，基金管理人应根据中国证监会相关规定进行投资。基金管理人应制订严格的投资决策流程和风险控制制度，防范流动性风险、法律风险和操作风险等各种风险；</w:t>
      </w:r>
    </w:p>
    <w:p w:rsidR="0003757E" w:rsidRPr="0003757E" w:rsidRDefault="00545AC9" w:rsidP="00545AC9">
      <w:pPr>
        <w:adjustRightInd w:val="0"/>
        <w:snapToGrid w:val="0"/>
        <w:spacing w:line="360" w:lineRule="auto"/>
        <w:ind w:firstLineChars="200" w:firstLine="480"/>
        <w:rPr>
          <w:rFonts w:asciiTheme="minorEastAsia" w:eastAsiaTheme="minorEastAsia" w:hAnsiTheme="minorEastAsia"/>
          <w:sz w:val="24"/>
        </w:rPr>
      </w:pPr>
      <w:r w:rsidRPr="00545AC9">
        <w:rPr>
          <w:rFonts w:asciiTheme="minorEastAsia" w:eastAsiaTheme="minorEastAsia" w:hAnsiTheme="minorEastAsia" w:hint="eastAsia"/>
          <w:sz w:val="24"/>
        </w:rPr>
        <w:t>（24）</w:t>
      </w:r>
      <w:r w:rsidR="0003757E" w:rsidRPr="0003757E">
        <w:rPr>
          <w:rFonts w:asciiTheme="minorEastAsia" w:eastAsiaTheme="minorEastAsia" w:hAnsiTheme="minorEastAsia" w:hint="eastAsia"/>
          <w:sz w:val="24"/>
        </w:rPr>
        <w:t>法律法规及中国证监会规定的和《基金合同》约定的其他投资限制。</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03757E" w:rsidRPr="0003757E" w:rsidRDefault="0003757E" w:rsidP="0003757E">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本基金合同生效之日起开始。</w:t>
      </w:r>
    </w:p>
    <w:p w:rsidR="004E5CE5" w:rsidRDefault="004E5CE5" w:rsidP="004A0E4C">
      <w:pPr>
        <w:adjustRightInd w:val="0"/>
        <w:snapToGrid w:val="0"/>
        <w:spacing w:line="360" w:lineRule="auto"/>
        <w:ind w:firstLineChars="200" w:firstLine="480"/>
        <w:rPr>
          <w:rFonts w:asciiTheme="minorEastAsia" w:eastAsiaTheme="minorEastAsia" w:hAnsiTheme="minorEastAsia"/>
          <w:sz w:val="24"/>
        </w:rPr>
      </w:pPr>
      <w:r w:rsidRPr="004E5CE5">
        <w:rPr>
          <w:rFonts w:asciiTheme="minorEastAsia" w:eastAsiaTheme="minorEastAsia" w:hAnsiTheme="minorEastAsia" w:hint="eastAsia"/>
          <w:sz w:val="24"/>
        </w:rPr>
        <w:t>本基金在开始进行股指期货投资之前，应与基金托管人、期货公司三方一同就股指期货开户、清算、估值、交收等事宜另行签署《期货投资托管操作三方备忘录》。</w:t>
      </w:r>
    </w:p>
    <w:p w:rsidR="00E34CFB" w:rsidRPr="0003757E" w:rsidRDefault="0003757E" w:rsidP="004A0E4C">
      <w:pPr>
        <w:adjustRightInd w:val="0"/>
        <w:snapToGrid w:val="0"/>
        <w:spacing w:line="360" w:lineRule="auto"/>
        <w:ind w:firstLineChars="200" w:firstLine="480"/>
        <w:rPr>
          <w:rFonts w:asciiTheme="minorEastAsia" w:eastAsiaTheme="minorEastAsia" w:hAnsiTheme="minorEastAsia"/>
          <w:sz w:val="24"/>
        </w:rPr>
      </w:pPr>
      <w:r w:rsidRPr="0003757E">
        <w:rPr>
          <w:rFonts w:asciiTheme="minorEastAsia" w:eastAsiaTheme="minorEastAsia" w:hAnsiTheme="minorEastAsia" w:hint="eastAsia"/>
          <w:sz w:val="24"/>
        </w:rPr>
        <w:t>法律法规或监管部门取消上述限制，如适用于本基金，基金管理人在履行适当程序后，则本基金投资不再受相关限制。</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（三）基金托管人</w:t>
      </w:r>
      <w:bookmarkStart w:id="5" w:name="OLE_LINK1"/>
      <w:r w:rsidRPr="004A0E4C">
        <w:rPr>
          <w:rFonts w:asciiTheme="minorEastAsia" w:eastAsiaTheme="minorEastAsia" w:hAnsiTheme="minorEastAsia" w:cs="Arial" w:hint="eastAsia"/>
          <w:sz w:val="24"/>
        </w:rPr>
        <w:t>根据有关法律法规的规定及《基金合同》的约定，</w:t>
      </w:r>
      <w:bookmarkEnd w:id="5"/>
      <w:r w:rsidRPr="004A0E4C">
        <w:rPr>
          <w:rFonts w:asciiTheme="minorEastAsia" w:eastAsiaTheme="minorEastAsia" w:hAnsiTheme="minorEastAsia" w:cs="Arial" w:hint="eastAsia"/>
          <w:sz w:val="24"/>
        </w:rPr>
        <w:t>对本托管协议第十五条第九款基金投资禁止行为通过事后监督方式进行监督。</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rPr>
      </w:pPr>
      <w:r w:rsidRPr="004A0E4C">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4A0E4C">
        <w:rPr>
          <w:rFonts w:asciiTheme="minorEastAsia" w:eastAsiaTheme="minorEastAsia" w:hAnsiTheme="minorEastAsia"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rPr>
      </w:pPr>
      <w:r w:rsidRPr="004A0E4C">
        <w:rPr>
          <w:rFonts w:asciiTheme="minorEastAsia" w:eastAsiaTheme="minorEastAsia" w:hAnsiTheme="minorEastAsia" w:cs="Arial" w:hint="eastAsia"/>
          <w:color w:val="000000"/>
          <w:sz w:val="24"/>
        </w:rPr>
        <w:t>基金管理人负责对交易对手的资信控制，按银行间债券市场的交易规则进行交易，并</w:t>
      </w:r>
      <w:r w:rsidRPr="004A0E4C">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A0E4C">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34CFB" w:rsidRPr="004A0E4C" w:rsidRDefault="00E34CFB" w:rsidP="00BF629A">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（五）基金托管人根据有关法律法规的规定及《基金合同》的约定，对基金管理人投资流通受限证券进行监督。</w:t>
      </w:r>
    </w:p>
    <w:p w:rsidR="00E34CFB" w:rsidRPr="004A0E4C" w:rsidRDefault="00E34CFB" w:rsidP="00BF629A">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hint="eastAsia"/>
          <w:sz w:val="24"/>
        </w:rPr>
        <w:t>基金管理人投资流通受限证券，应事先根据中国证监会相关规定，明确基金投资流通受限证券的比例，</w:t>
      </w:r>
      <w:r w:rsidRPr="004A0E4C">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1.本基金</w:t>
      </w:r>
      <w:r w:rsidRPr="004A0E4C">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本基金</w:t>
      </w:r>
      <w:r w:rsidRPr="004A0E4C">
        <w:rPr>
          <w:rFonts w:asciiTheme="minorEastAsia" w:eastAsiaTheme="minorEastAsia" w:hAnsiTheme="minorEastAsia" w:hint="eastAsia"/>
          <w:sz w:val="24"/>
        </w:rPr>
        <w:t>投资的流通受限证券限于可由中国证券登记结算有限责任公司或中央国债登记结算有限责任公司负责登记和存管，并可在证券交易所或全国银行间债券市场交易的证券。</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本基金</w:t>
      </w:r>
      <w:r w:rsidRPr="004A0E4C">
        <w:rPr>
          <w:rFonts w:asciiTheme="minorEastAsia" w:eastAsiaTheme="minorEastAsia" w:hAnsiTheme="minorEastAsia" w:hint="eastAsia"/>
          <w:sz w:val="24"/>
        </w:rPr>
        <w:t>投资的流通受限证券应保证登记存管在本基金名下，基金管理人负责</w:t>
      </w:r>
      <w:r w:rsidRPr="004A0E4C">
        <w:rPr>
          <w:rFonts w:asciiTheme="minorEastAsia" w:eastAsiaTheme="minorEastAsia" w:hAnsiTheme="minorEastAsia" w:hint="eastAsia"/>
          <w:sz w:val="24"/>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本基金</w:t>
      </w:r>
      <w:r w:rsidRPr="004A0E4C">
        <w:rPr>
          <w:rFonts w:asciiTheme="minorEastAsia" w:eastAsiaTheme="minorEastAsia" w:hAnsiTheme="minorEastAsia" w:hint="eastAsia"/>
          <w:sz w:val="24"/>
        </w:rPr>
        <w:t>投资流通受限证券，不得预付任何形式的保证金。</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2.</w:t>
      </w:r>
      <w:r w:rsidRPr="004A0E4C">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A0E4C">
        <w:rPr>
          <w:rFonts w:asciiTheme="minorEastAsia" w:eastAsiaTheme="minorEastAsia" w:hAnsiTheme="minorEastAsia" w:cs="Arial" w:hint="eastAsia"/>
          <w:sz w:val="24"/>
        </w:rPr>
        <w:t>基金管理人应在首次投资流通受限证券前向基金托管人提供</w:t>
      </w:r>
      <w:r w:rsidRPr="004A0E4C">
        <w:rPr>
          <w:rFonts w:asciiTheme="minorEastAsia" w:eastAsiaTheme="minorEastAsia" w:hAnsiTheme="minorEastAsia" w:hint="eastAsia"/>
          <w:sz w:val="24"/>
        </w:rPr>
        <w:t>基金投资非公开发行股票相关流动性风险处置预案。</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3.</w:t>
      </w:r>
      <w:r w:rsidRPr="004A0E4C">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（1）中国证监会批准发行非公开发行股票的批准文件。</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（2）非公开发行股票有关发行数量、发行价格、锁定期等发行资料。</w:t>
      </w:r>
    </w:p>
    <w:p w:rsidR="00E34CFB" w:rsidRPr="004A0E4C" w:rsidRDefault="00E34CFB" w:rsidP="00BF629A">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E34CFB" w:rsidRPr="004A0E4C" w:rsidRDefault="00E34CFB" w:rsidP="00C942CC">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hint="eastAsia"/>
          <w:sz w:val="24"/>
        </w:rPr>
        <w:t>（4）基金拟认购的数量、价格、总成本、账面价值。</w:t>
      </w:r>
    </w:p>
    <w:p w:rsidR="00E34CFB" w:rsidRPr="004A0E4C" w:rsidRDefault="00E34CFB" w:rsidP="00C942C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4.</w:t>
      </w:r>
      <w:r w:rsidRPr="004A0E4C">
        <w:rPr>
          <w:rFonts w:asciiTheme="minorEastAsia" w:eastAsiaTheme="minorEastAsia" w:hAnsiTheme="minorEastAsia" w:hint="eastAsia"/>
          <w:sz w:val="24"/>
        </w:rPr>
        <w:t>基金管理人应在本基金投资非公开发行股票后两个交易日内，在中国证监会指定</w:t>
      </w:r>
      <w:r w:rsidR="002F6223">
        <w:rPr>
          <w:rFonts w:asciiTheme="minorEastAsia" w:eastAsiaTheme="minorEastAsia" w:hAnsiTheme="minorEastAsia" w:hint="eastAsia"/>
          <w:sz w:val="24"/>
        </w:rPr>
        <w:t>媒介</w:t>
      </w:r>
      <w:r w:rsidRPr="004A0E4C">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本基金有关投资流通受限证券比例如违反有关限制规定，在合理期限内未能</w:t>
      </w:r>
      <w:r w:rsidRPr="004A0E4C">
        <w:rPr>
          <w:rFonts w:asciiTheme="minorEastAsia" w:eastAsiaTheme="minorEastAsia" w:hAnsiTheme="minorEastAsia" w:hint="eastAsia"/>
          <w:sz w:val="24"/>
        </w:rPr>
        <w:lastRenderedPageBreak/>
        <w:t>进行及时调整，基金管理人应在两个工作日内编制临时报告书，予以公告。</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5.</w:t>
      </w:r>
      <w:r w:rsidRPr="004A0E4C">
        <w:rPr>
          <w:rFonts w:asciiTheme="minorEastAsia" w:eastAsiaTheme="minorEastAsia" w:hAnsiTheme="minorEastAsia" w:hint="eastAsia"/>
          <w:sz w:val="24"/>
        </w:rPr>
        <w:t>基金托管人根据有关规定有权对基金管理人进行以下事项监督：</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（1）本基金投资流通受限证券时的法律法规遵守情况。</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（2）在基金投资流通受限证券管理工作方面有关制度、流动性风险处置预案的建立与完善情况。</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（3）有关比例限制的执行情况。</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（4）信息披露情况。</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cs="Arial" w:hint="eastAsia"/>
          <w:sz w:val="24"/>
        </w:rPr>
        <w:t>6.</w:t>
      </w:r>
      <w:r w:rsidRPr="004A0E4C">
        <w:rPr>
          <w:rFonts w:asciiTheme="minorEastAsia" w:eastAsiaTheme="minorEastAsia" w:hAnsiTheme="minorEastAsia" w:hint="eastAsia"/>
          <w:sz w:val="24"/>
        </w:rPr>
        <w:t>相关法律法规对基金投资流通受限证券有新规定的，从其规定。</w:t>
      </w:r>
    </w:p>
    <w:p w:rsidR="00E34CFB" w:rsidRPr="00C50964"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C50964">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i/>
          <w:sz w:val="24"/>
        </w:rPr>
      </w:pPr>
      <w:r w:rsidRPr="00C50964">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w:t>
      </w:r>
      <w:r w:rsidRPr="004A0E4C">
        <w:rPr>
          <w:rFonts w:asciiTheme="minorEastAsia" w:eastAsiaTheme="minorEastAsia" w:hAnsiTheme="minorEastAsia"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34CFB" w:rsidRPr="004A0E4C" w:rsidRDefault="00E34CFB" w:rsidP="004A0E4C">
      <w:pPr>
        <w:spacing w:line="360" w:lineRule="auto"/>
        <w:rPr>
          <w:rFonts w:asciiTheme="minorEastAsia" w:eastAsiaTheme="minorEastAsia" w:hAnsiTheme="minorEastAsia"/>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A0E4C">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w:t>
      </w:r>
      <w:r w:rsidRPr="004A0E4C">
        <w:rPr>
          <w:rFonts w:asciiTheme="minorEastAsia" w:eastAsiaTheme="minorEastAsia" w:hAnsiTheme="minorEastAsia"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E34CFB" w:rsidRPr="004A0E4C" w:rsidRDefault="00E34CFB" w:rsidP="004A0E4C">
      <w:pPr>
        <w:spacing w:line="360" w:lineRule="auto"/>
        <w:rPr>
          <w:rFonts w:asciiTheme="minorEastAsia" w:eastAsiaTheme="minorEastAsia" w:hAnsiTheme="minorEastAsia"/>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A0E4C">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（一）基金财产保管的原则</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1.基金财产应独立于基金管理人、基金托管人的固有财产。</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2.基金托管人应安全保管基金财产。</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3.基金托管人按照规定开设基金财产的资金账户和证券账户。</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4.基金托管人对所托管的不同基金财产分别设置账户，确保基金财产的完整与独立。</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5.基金托管人按照《基金合同》和本协议的约定保管基金财产，如有特殊情况双方可另行协商解决。基金</w:t>
      </w:r>
      <w:r w:rsidRPr="004A0E4C">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7.除依据法律法规和《基金合同》的规定外，基金托管人不得委托第三人托管基金财产。</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（二）基金募集期间及募集资金的验资</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w:t>
      </w:r>
      <w:r w:rsidRPr="004A0E4C">
        <w:rPr>
          <w:rFonts w:asciiTheme="minorEastAsia" w:eastAsiaTheme="minorEastAsia" w:hAnsiTheme="minorEastAsia" w:cs="Arial" w:hint="eastAsia"/>
          <w:sz w:val="24"/>
        </w:rPr>
        <w:lastRenderedPageBreak/>
        <w:t>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3.若基金募集期限届满，未能达到《基金合同》生效的条件，由基金管理人按规定办理退款等事宜。</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（三）基金银行账户的开立和管理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3.基金银行账户的开立和管理应符合银行业监督管理机构的有关规定。</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4.在符合法律法规规定的条件下，基金托管人可以通过基金托管人专用账户办理基金资产的支付。</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（四）基金证券账户和结算备付金账户的开立和管理</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1.基金托管人在中国证券登记结算有限责任公司为基金开立基金托管人与基金联名的证券账户。</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w:t>
      </w:r>
      <w:r w:rsidRPr="004A0E4C">
        <w:rPr>
          <w:rFonts w:asciiTheme="minorEastAsia" w:eastAsiaTheme="minorEastAsia" w:hAnsiTheme="minorEastAsia" w:cs="Arial" w:hint="eastAsia"/>
          <w:sz w:val="24"/>
        </w:rPr>
        <w:lastRenderedPageBreak/>
        <w:t>级法人清算工作，基金管理人应予以积极协助。结算备付金、结算保证金、交收资金等的收取按照中国证券登记结算有限责任公司的规定以及基金管理人与基金托管人签署的《托管银行证券资金结算协议》执行。</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（五）债券托管专户的开设和管理</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（六）其他账户的开立和管理</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2.法律法规等有关规定对相关账户的开立和管理另有规定的，从其规定办理。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（七）基金财产投资的有关有价凭证等的保管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rPr>
      </w:pPr>
      <w:r w:rsidRPr="004A0E4C">
        <w:rPr>
          <w:rFonts w:asciiTheme="minorEastAsia" w:eastAsiaTheme="minorEastAsia" w:hAnsiTheme="minorEastAsia" w:cs="Arial" w:hint="eastAsia"/>
          <w:sz w:val="24"/>
        </w:rPr>
        <w:t>基金财产投资的有关实物证券、银行</w:t>
      </w:r>
      <w:r w:rsidRPr="004A0E4C">
        <w:rPr>
          <w:rFonts w:asciiTheme="minorEastAsia" w:eastAsiaTheme="minorEastAsia" w:hAnsiTheme="minorEastAsia" w:hint="eastAsia"/>
          <w:sz w:val="24"/>
        </w:rPr>
        <w:t>存款开户证实书</w:t>
      </w:r>
      <w:r w:rsidRPr="004A0E4C">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（八）与基金财产有关的重大合同的保管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30"/>
          <w:szCs w:val="30"/>
        </w:rPr>
      </w:pPr>
      <w:r w:rsidRPr="004A0E4C">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4A0E4C">
        <w:rPr>
          <w:rFonts w:asciiTheme="minorEastAsia" w:eastAsiaTheme="minorEastAsia" w:hAnsiTheme="minorEastAsia"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34CFB" w:rsidRPr="004A0E4C" w:rsidRDefault="00E34CFB" w:rsidP="004A0E4C">
      <w:pPr>
        <w:spacing w:line="360" w:lineRule="auto"/>
        <w:rPr>
          <w:rFonts w:asciiTheme="minorEastAsia" w:eastAsiaTheme="minorEastAsia" w:hAnsiTheme="minorEastAsia"/>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A0E4C">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（一）基金管理人对发送指令人员的书面授权</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1.基金管理人应指定专人向基金托管人发送指令。</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（二）指令的内容</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1.指令包括付款指令以及其他资金划拨指令等。</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（三）指令的发送、确认及执行的时间和程序</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1.指令的发送</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基金管理人发送指令应采用加密传真方式或双方协商一致的其他方式。</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w:t>
      </w:r>
      <w:r w:rsidRPr="004A0E4C">
        <w:rPr>
          <w:rFonts w:asciiTheme="minorEastAsia" w:eastAsiaTheme="minorEastAsia" w:hAnsiTheme="minorEastAsia"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指令发出后，基金管理人应及时以电话方式向基金托管人确认。</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2.指令的确认</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3.指令的时间和执行</w:t>
      </w:r>
    </w:p>
    <w:p w:rsidR="00E34CFB" w:rsidRPr="004A0E4C" w:rsidRDefault="00E34CFB" w:rsidP="004A0E4C">
      <w:pPr>
        <w:pStyle w:val="ab"/>
        <w:spacing w:line="360" w:lineRule="auto"/>
        <w:ind w:firstLineChars="0"/>
        <w:rPr>
          <w:rFonts w:asciiTheme="minorEastAsia" w:eastAsiaTheme="minorEastAsia" w:hAnsiTheme="minorEastAsia" w:cs="Arial"/>
          <w:szCs w:val="24"/>
          <w:shd w:val="pct15" w:color="auto" w:fill="FFFFFF"/>
        </w:rPr>
      </w:pPr>
      <w:r w:rsidRPr="004A0E4C">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A0E4C">
        <w:rPr>
          <w:rFonts w:asciiTheme="minorEastAsia" w:eastAsiaTheme="minorEastAsia" w:hAnsiTheme="minorEastAsia" w:cs="Arial" w:hint="eastAsia"/>
          <w:szCs w:val="24"/>
        </w:rPr>
        <w:t>对于中国证券登记结算有限责任公司实行T+0非担保交收的业务，基金管理人应在交易日14：00</w:t>
      </w:r>
      <w:r w:rsidRPr="004A0E4C">
        <w:rPr>
          <w:rFonts w:asciiTheme="minorEastAsia" w:eastAsiaTheme="minorEastAsia" w:hAnsiTheme="minorEastAsia" w:cs="Arial" w:hint="eastAsia"/>
        </w:rPr>
        <w:t>前</w:t>
      </w:r>
      <w:r w:rsidRPr="004A0E4C">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A0E4C">
        <w:rPr>
          <w:rFonts w:asciiTheme="minorEastAsia" w:eastAsiaTheme="minorEastAsia" w:hAnsiTheme="minorEastAsia" w:cs="Arial" w:hint="eastAsia"/>
        </w:rPr>
        <w:t>结算参与人</w:t>
      </w:r>
      <w:r w:rsidRPr="004A0E4C">
        <w:rPr>
          <w:rFonts w:asciiTheme="minorEastAsia" w:eastAsiaTheme="minorEastAsia" w:hAnsiTheme="minorEastAsia" w:cs="Arial" w:hint="eastAsia"/>
          <w:szCs w:val="24"/>
        </w:rPr>
        <w:t>最低备付金带来的利息损失</w:t>
      </w:r>
      <w:r w:rsidRPr="004A0E4C">
        <w:rPr>
          <w:rFonts w:asciiTheme="minorEastAsia" w:eastAsiaTheme="minorEastAsia" w:hAnsiTheme="minorEastAsia" w:cs="Arial" w:hint="eastAsia"/>
        </w:rPr>
        <w:t>。</w:t>
      </w:r>
      <w:r w:rsidRPr="004A0E4C">
        <w:rPr>
          <w:rFonts w:asciiTheme="minorEastAsia" w:eastAsiaTheme="minorEastAsia" w:hAnsiTheme="minorEastAsia" w:cs="Arial" w:hint="eastAsia"/>
          <w:szCs w:val="24"/>
        </w:rPr>
        <w:t>基金管理人应确保基金托管人在执行指令时，基金资金账户有足够的资金余额，</w:t>
      </w:r>
      <w:r w:rsidRPr="004A0E4C">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E34CFB" w:rsidRPr="004A0E4C" w:rsidRDefault="00E34CFB" w:rsidP="004A0E4C">
      <w:pPr>
        <w:pStyle w:val="ab"/>
        <w:spacing w:line="360" w:lineRule="auto"/>
        <w:ind w:firstLineChars="0"/>
        <w:rPr>
          <w:rFonts w:asciiTheme="minorEastAsia" w:eastAsiaTheme="minorEastAsia" w:hAnsiTheme="minorEastAsia" w:cs="Arial"/>
        </w:rPr>
      </w:pPr>
      <w:r w:rsidRPr="004A0E4C">
        <w:rPr>
          <w:rFonts w:asciiTheme="minorEastAsia" w:eastAsiaTheme="minorEastAsia" w:hAnsiTheme="minorEastAsia" w:cs="Arial" w:hint="eastAsia"/>
        </w:rPr>
        <w:t>（四）基金管理人发送错误指令的情形和处理程序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基金管理人发送错误指令的情形包括指令违反法律法规和《基金合同》，指令发送人员无权或超越权限发送指令。</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（五）基金托管人依照法律法规暂缓、拒绝执行指令的情形和处理程序</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（六）基金托管人未按照基金管理人指令执行的处理方法</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4A0E4C">
        <w:rPr>
          <w:rFonts w:asciiTheme="minorEastAsia" w:eastAsiaTheme="minorEastAsia" w:hAnsiTheme="minorEastAsia" w:hint="eastAsia"/>
          <w:sz w:val="24"/>
        </w:rPr>
        <w:t>赔偿由此造成的直接损失。</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（七）更换被授权人员的程序</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A0E4C">
        <w:rPr>
          <w:rFonts w:asciiTheme="minorEastAsia" w:eastAsiaTheme="minorEastAsia" w:hAnsiTheme="minorEastAsia" w:hint="eastAsia"/>
          <w:sz w:val="24"/>
        </w:rPr>
        <w:t>。</w:t>
      </w:r>
      <w:r w:rsidRPr="004A0E4C">
        <w:rPr>
          <w:rFonts w:asciiTheme="minorEastAsia" w:eastAsiaTheme="minorEastAsia" w:hAnsiTheme="minorEastAsia" w:cs="Arial" w:hint="eastAsia"/>
          <w:sz w:val="24"/>
        </w:rPr>
        <w:t>基金托管人更换接受基金管理人指令的人员，应提前通过录音电话通知基金管理人。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（八）其他事项</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A0E4C">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（一）选择证券买卖的证券经营机构</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（二）基金投资证券后的清算交收安排</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1.清算与交割</w:t>
      </w:r>
    </w:p>
    <w:p w:rsidR="00E34CFB" w:rsidRPr="004A0E4C" w:rsidRDefault="00E34CFB" w:rsidP="008B1404">
      <w:pPr>
        <w:adjustRightInd w:val="0"/>
        <w:snapToGrid w:val="0"/>
        <w:spacing w:line="360" w:lineRule="auto"/>
        <w:ind w:firstLine="420"/>
        <w:rPr>
          <w:rFonts w:asciiTheme="minorEastAsia" w:eastAsiaTheme="minorEastAsia" w:hAnsiTheme="minorEastAsia"/>
          <w:sz w:val="24"/>
        </w:rPr>
      </w:pPr>
      <w:r w:rsidRPr="004A0E4C">
        <w:rPr>
          <w:rFonts w:asciiTheme="minorEastAsia" w:eastAsiaTheme="minorEastAsia" w:hAnsiTheme="minorEastAsia"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34CFB" w:rsidRPr="004A0E4C" w:rsidRDefault="00E34CFB" w:rsidP="004A0E4C">
      <w:pPr>
        <w:adjustRightInd w:val="0"/>
        <w:snapToGrid w:val="0"/>
        <w:spacing w:line="360" w:lineRule="auto"/>
        <w:ind w:firstLine="480"/>
        <w:rPr>
          <w:rFonts w:asciiTheme="minorEastAsia" w:eastAsiaTheme="minorEastAsia" w:hAnsiTheme="minorEastAsia" w:cs="宋体"/>
          <w:color w:val="000000"/>
          <w:kern w:val="0"/>
          <w:sz w:val="24"/>
        </w:rPr>
      </w:pPr>
      <w:r w:rsidRPr="004A0E4C">
        <w:rPr>
          <w:rFonts w:asciiTheme="minorEastAsia" w:eastAsiaTheme="minorEastAsia" w:hAnsiTheme="minorEastAsia" w:cs="宋体" w:hint="eastAsia"/>
          <w:color w:val="000000"/>
          <w:kern w:val="0"/>
          <w:sz w:val="24"/>
        </w:rPr>
        <w:lastRenderedPageBreak/>
        <w:t>基金管理人应采取合理、必要措施，确保T日日终有足够的资金头寸完成 T+1日</w:t>
      </w:r>
      <w:r w:rsidRPr="004A0E4C">
        <w:rPr>
          <w:rFonts w:asciiTheme="minorEastAsia" w:eastAsiaTheme="minorEastAsia" w:hAnsiTheme="minorEastAsia" w:hint="eastAsia"/>
          <w:sz w:val="24"/>
        </w:rPr>
        <w:t>中国证券登记结算有限责任公司的资金</w:t>
      </w:r>
      <w:r w:rsidRPr="004A0E4C">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实行场内T+0交收的资金清算按照基金托管人的相关规定流程执行。</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2.交易记录、资金和证券账目核对的时间和方式</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（1）交易记录的核对</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（2）资金账目的核对</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资金账目按日核实。</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（3）证券账目的核对</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E34CFB" w:rsidRPr="004A0E4C" w:rsidRDefault="00E34CFB" w:rsidP="004A0E4C">
      <w:pPr>
        <w:adjustRightInd w:val="0"/>
        <w:snapToGrid w:val="0"/>
        <w:spacing w:line="360" w:lineRule="auto"/>
        <w:ind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（三）基金申购和赎回业务处理的基本规定</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1.基金份额申购、赎回的确认、清算由基金管理人或其委托的注册登记机构负责。</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w:t>
      </w:r>
      <w:r w:rsidRPr="004A0E4C">
        <w:rPr>
          <w:rFonts w:asciiTheme="minorEastAsia" w:eastAsiaTheme="minorEastAsia" w:hAnsiTheme="minorEastAsia" w:cs="Arial" w:hint="eastAsia"/>
          <w:sz w:val="24"/>
        </w:rPr>
        <w:lastRenderedPageBreak/>
        <w:t>及时划付赎回及转出款项。</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6.关于清算专用账户的设立和管理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为满足申购、赎回及分红资金汇划的需要，由基金管理人开立资金清算的专用账户，该账户由注册登记机构管理。</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8.赎回和分红资金划拨规定</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9.资金指令</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资金指令的格式、内容、发送、接收和确认方式等与投资指令相同。</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（四）申赎净额结算</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w:t>
      </w:r>
      <w:r w:rsidR="00602F0D">
        <w:rPr>
          <w:rFonts w:asciiTheme="minorEastAsia" w:eastAsiaTheme="minorEastAsia" w:hAnsiTheme="minorEastAsia" w:cs="Arial" w:hint="eastAsia"/>
          <w:sz w:val="24"/>
        </w:rPr>
        <w:t>2</w:t>
      </w:r>
      <w:r w:rsidRPr="004A0E4C">
        <w:rPr>
          <w:rFonts w:asciiTheme="minorEastAsia" w:eastAsiaTheme="minorEastAsia" w:hAnsiTheme="minorEastAsia" w:cs="Arial" w:hint="eastAsia"/>
          <w:sz w:val="24"/>
        </w:rPr>
        <w:t>日基金转换入申请对应金额之和)与应付资金(T-3日赎回申请</w:t>
      </w:r>
      <w:r w:rsidRPr="004A0E4C">
        <w:rPr>
          <w:rFonts w:asciiTheme="minorEastAsia" w:eastAsiaTheme="minorEastAsia" w:hAnsiTheme="minorEastAsia" w:cs="Arial" w:hint="eastAsia"/>
          <w:sz w:val="24"/>
        </w:rPr>
        <w:lastRenderedPageBreak/>
        <w:t>对应赎回金额与T-</w:t>
      </w:r>
      <w:r w:rsidR="00602F0D">
        <w:rPr>
          <w:rFonts w:asciiTheme="minorEastAsia" w:eastAsiaTheme="minorEastAsia" w:hAnsiTheme="minorEastAsia" w:cs="Arial" w:hint="eastAsia"/>
          <w:sz w:val="24"/>
        </w:rPr>
        <w:t>2</w:t>
      </w:r>
      <w:r w:rsidRPr="004A0E4C">
        <w:rPr>
          <w:rFonts w:asciiTheme="minorEastAsia" w:eastAsiaTheme="minorEastAsia" w:hAnsiTheme="minorEastAsia"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34CFB" w:rsidRPr="004A0E4C" w:rsidRDefault="00E34CFB" w:rsidP="004A0E4C">
      <w:pPr>
        <w:adjustRightInd w:val="0"/>
        <w:snapToGrid w:val="0"/>
        <w:spacing w:line="360" w:lineRule="auto"/>
        <w:ind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（五）基金转换</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E34CFB" w:rsidRPr="004A0E4C" w:rsidRDefault="00E34CFB" w:rsidP="004A0E4C">
      <w:pPr>
        <w:adjustRightInd w:val="0"/>
        <w:snapToGrid w:val="0"/>
        <w:spacing w:line="360" w:lineRule="auto"/>
        <w:ind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rsidR="00E34CFB" w:rsidRPr="004A0E4C" w:rsidRDefault="00E34CFB" w:rsidP="004A0E4C">
      <w:pPr>
        <w:adjustRightInd w:val="0"/>
        <w:snapToGrid w:val="0"/>
        <w:spacing w:line="360" w:lineRule="auto"/>
        <w:ind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3.本基金开展基金转换业务应按相关法律法规规定及《基金合同》的约定进行公告。</w:t>
      </w:r>
    </w:p>
    <w:p w:rsidR="00E34CFB" w:rsidRPr="004A0E4C" w:rsidRDefault="00E34CFB" w:rsidP="004A0E4C">
      <w:pPr>
        <w:adjustRightInd w:val="0"/>
        <w:snapToGrid w:val="0"/>
        <w:spacing w:line="360" w:lineRule="auto"/>
        <w:ind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（六）基金现金分红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1.基金管理人确定分红方案通知基金托管人，双方核定后</w:t>
      </w:r>
      <w:r w:rsidRPr="004A0E4C">
        <w:rPr>
          <w:rFonts w:asciiTheme="minorEastAsia" w:eastAsiaTheme="minorEastAsia" w:hAnsiTheme="minorEastAsia" w:hint="eastAsia"/>
          <w:sz w:val="24"/>
          <w:szCs w:val="18"/>
        </w:rPr>
        <w:t>依照《信息披露办法》的有关规定在中国证监会指定</w:t>
      </w:r>
      <w:r w:rsidR="00602F0D">
        <w:rPr>
          <w:rFonts w:asciiTheme="minorEastAsia" w:eastAsiaTheme="minorEastAsia" w:hAnsiTheme="minorEastAsia" w:hint="eastAsia"/>
          <w:sz w:val="24"/>
          <w:szCs w:val="18"/>
        </w:rPr>
        <w:t>媒介</w:t>
      </w:r>
      <w:r w:rsidRPr="004A0E4C">
        <w:rPr>
          <w:rFonts w:asciiTheme="minorEastAsia" w:eastAsiaTheme="minorEastAsia" w:hAnsiTheme="minorEastAsia" w:hint="eastAsia"/>
          <w:sz w:val="24"/>
          <w:szCs w:val="18"/>
        </w:rPr>
        <w:t>上公告并</w:t>
      </w:r>
      <w:r w:rsidRPr="004A0E4C">
        <w:rPr>
          <w:rFonts w:asciiTheme="minorEastAsia" w:eastAsiaTheme="minorEastAsia" w:hAnsiTheme="minorEastAsia" w:hint="eastAsia"/>
          <w:sz w:val="24"/>
        </w:rPr>
        <w:t>报中国证监会备案</w:t>
      </w:r>
      <w:r w:rsidRPr="004A0E4C">
        <w:rPr>
          <w:rFonts w:asciiTheme="minorEastAsia" w:eastAsiaTheme="minorEastAsia" w:hAnsiTheme="minorEastAsia" w:cs="Arial" w:hint="eastAsia"/>
          <w:sz w:val="24"/>
        </w:rPr>
        <w:t>。</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E34CFB" w:rsidRPr="004A0E4C" w:rsidRDefault="00E34CFB" w:rsidP="004A0E4C">
      <w:pPr>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3.基金管理人在下达指令时，应给基金托管人留出必需的划款时间。</w:t>
      </w:r>
    </w:p>
    <w:p w:rsidR="00E34CFB" w:rsidRPr="004A0E4C" w:rsidRDefault="00E34CFB" w:rsidP="004A0E4C">
      <w:pPr>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（七）投资银行存款的特别约定</w:t>
      </w:r>
    </w:p>
    <w:p w:rsidR="00E34CFB" w:rsidRPr="004A0E4C" w:rsidRDefault="00E34CFB" w:rsidP="004A0E4C">
      <w:pPr>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1.本基金投资银行存款前，应与基金托管人签署《证券投资基金投资银行定期存款风险控制补充协议》。</w:t>
      </w:r>
    </w:p>
    <w:p w:rsidR="00E34CFB" w:rsidRPr="004A0E4C" w:rsidRDefault="00E34CFB" w:rsidP="004A0E4C">
      <w:pPr>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2.本基金投资银行存款，必须采用双方认可的方式办理。</w:t>
      </w:r>
    </w:p>
    <w:p w:rsidR="00E34CFB" w:rsidRPr="004A0E4C" w:rsidRDefault="00E34CFB" w:rsidP="004A0E4C">
      <w:pPr>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3.基金管理人投资银行存款或办理存款支取时，应提前书面通知基金托管人，以便基金托管人有足够的时间履行相应的业务操作程序。</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86" w:name="_Toc124325892"/>
      <w:r w:rsidRPr="004A0E4C">
        <w:rPr>
          <w:rFonts w:asciiTheme="minorEastAsia" w:eastAsiaTheme="minorEastAsia" w:hAnsiTheme="minorEastAsia" w:hint="eastAsia"/>
          <w:sz w:val="30"/>
        </w:rPr>
        <w:t xml:space="preserve"> 八、基金资产净值计算和会计核算</w:t>
      </w:r>
      <w:bookmarkEnd w:id="86"/>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（一）基金资产净值的计算、复核与完成的时间及程序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每个交易日计算基金资产净值及基金份额净值，并按规定公告。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34CFB" w:rsidRPr="004A0E4C" w:rsidRDefault="00E34CFB" w:rsidP="004A0E4C">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（二）基金资产估值方法和特殊情形的处理</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1.估值对象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基金所拥有的股票、权证、债券</w:t>
      </w:r>
      <w:r w:rsidR="00BF2452" w:rsidRPr="0094352D">
        <w:rPr>
          <w:rFonts w:asciiTheme="minorEastAsia" w:eastAsiaTheme="minorEastAsia" w:hAnsiTheme="minorEastAsia" w:cs="Arial" w:hint="eastAsia"/>
          <w:sz w:val="24"/>
        </w:rPr>
        <w:t>、股指期货合约</w:t>
      </w:r>
      <w:r w:rsidRPr="004A0E4C">
        <w:rPr>
          <w:rFonts w:asciiTheme="minorEastAsia" w:eastAsiaTheme="minorEastAsia" w:hAnsiTheme="minorEastAsia" w:cs="Arial" w:hint="eastAsia"/>
          <w:sz w:val="24"/>
        </w:rPr>
        <w:t>和银行存款本息、应收款项、其它投资等资产及负债。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2.估值方法</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本基金所持有的投资品种，按如下原则进行估值：</w:t>
      </w:r>
    </w:p>
    <w:p w:rsidR="00A77E91" w:rsidRPr="00A77E91" w:rsidRDefault="00E34CFB" w:rsidP="00A77E91">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w:t>
      </w:r>
      <w:r w:rsidR="00A77E91" w:rsidRPr="00A77E91">
        <w:rPr>
          <w:rFonts w:asciiTheme="minorEastAsia" w:eastAsiaTheme="minorEastAsia" w:hAnsiTheme="minorEastAsia"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Pr="00A77E91">
        <w:rPr>
          <w:rFonts w:asciiTheme="minorEastAsia" w:eastAsiaTheme="minorEastAsia" w:hAnsiTheme="minorEastAsia" w:cs="Arial" w:hint="eastAsia"/>
          <w:sz w:val="24"/>
        </w:rPr>
        <w:t>交易所市场交易的固定收益品种的估值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1）对在交易所市场上市交易或挂牌转让的固定收益品种（另有规定的除外），选取第三方估值机构提供的相应品种当日的估值净价进行估值；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2）对在交易所市场上市交易的可转换债券，按估值日收盘价减去可转换债券收盘价中所含债券应收利息后得到的净价进行估值；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3）对在交易所市场挂牌转让的资产支持证券和私募债券</w:t>
      </w:r>
      <w:r w:rsidR="00182BF2" w:rsidRPr="00182BF2">
        <w:rPr>
          <w:rFonts w:asciiTheme="minorEastAsia" w:eastAsiaTheme="minorEastAsia" w:hAnsiTheme="minorEastAsia" w:cs="Arial" w:hint="eastAsia"/>
          <w:sz w:val="24"/>
        </w:rPr>
        <w:t>（包括中小企业私募债等）</w:t>
      </w:r>
      <w:r w:rsidRPr="00A77E91">
        <w:rPr>
          <w:rFonts w:asciiTheme="minorEastAsia" w:eastAsiaTheme="minorEastAsia" w:hAnsiTheme="minorEastAsia" w:cs="Arial" w:hint="eastAsia"/>
          <w:sz w:val="24"/>
        </w:rPr>
        <w:t>，采用估值技术确定公允价值，在估值技术难以可靠计量公允价值的情况下，按成本估值；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4）对在交易所市场发行未上市或未挂牌转让的固定收益品种，采用估值技术确定公允价值，在估值技术难以可靠计量公允价值的情况下，按成本估值。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（3）</w:t>
      </w:r>
      <w:r w:rsidRPr="00A77E91">
        <w:rPr>
          <w:rFonts w:asciiTheme="minorEastAsia" w:eastAsiaTheme="minorEastAsia" w:hAnsiTheme="minorEastAsia" w:cs="Arial" w:hint="eastAsia"/>
          <w:sz w:val="24"/>
        </w:rPr>
        <w:t>银行间市场交易的固定收益品种的估值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1）银行间市场交易的固定收益品种，选取第三方估值机构提供的相应品种当日的估值净价进行估值。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2）对银行间市场未上市，且第三方估值机构未提供估值价格的固定收益品种，按成本估值。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Pr="00A77E91">
        <w:rPr>
          <w:rFonts w:asciiTheme="minorEastAsia" w:eastAsiaTheme="minorEastAsia" w:hAnsiTheme="minorEastAsia" w:cs="Arial" w:hint="eastAsia"/>
          <w:sz w:val="24"/>
        </w:rPr>
        <w:t>处于未上市期间的有价证券应区分如下情况处理：</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1）送股、转增股、配股和公开增发的新股，按估值日在证券交易所挂牌的同一股票的估值方法估值；该日无交易的，以最近一日的市价（收盘价）估值。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2）首次公开发行未上市的股票、债券和权证，采用估值技术确定公允价值，在估值技术难以可靠计量公允价值的情况下，按成本估值。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sidRPr="00A77E91">
        <w:rPr>
          <w:rFonts w:asciiTheme="minorEastAsia" w:eastAsiaTheme="minorEastAsia" w:hAnsiTheme="minorEastAsia"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Pr="00A77E91">
        <w:rPr>
          <w:rFonts w:asciiTheme="minorEastAsia" w:eastAsiaTheme="minorEastAsia" w:hAnsiTheme="minorEastAsia" w:cs="Arial" w:hint="eastAsia"/>
          <w:sz w:val="24"/>
        </w:rPr>
        <w:t>同一债券同时在两个或两个以上市场交易的，按债券所处的市场分别估值。</w:t>
      </w:r>
    </w:p>
    <w:p w:rsidR="00A77E91" w:rsidRPr="00A77E91"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sidRPr="00A77E91">
        <w:rPr>
          <w:rFonts w:asciiTheme="minorEastAsia" w:eastAsiaTheme="minorEastAsia" w:hAnsiTheme="minorEastAsia" w:cs="Arial" w:hint="eastAsia"/>
          <w:sz w:val="24"/>
        </w:rPr>
        <w:t>中小企业私募债券采用估值技术确定公允价值估值。如使用的估值技术难以确定和计量其公允价值的，按成本估值。</w:t>
      </w:r>
    </w:p>
    <w:p w:rsidR="00E34CFB" w:rsidRPr="004A0E4C" w:rsidRDefault="00A77E91" w:rsidP="00A77E9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sidRPr="00A77E91">
        <w:rPr>
          <w:rFonts w:asciiTheme="minorEastAsia" w:eastAsiaTheme="minorEastAsia" w:hAnsiTheme="minorEastAsia" w:cs="Arial" w:hint="eastAsia"/>
          <w:sz w:val="24"/>
        </w:rPr>
        <w:t>股指期货合约，以估值日结算价估值；估值日无结算价的，且最近交易日后经济环境未发生重大变化的，以最近交易日的结算价估值。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（8）如有确凿证据表明按上述方法进行估值不能客观反映其公允价值的，基金管理人可根据具体情况与基金托管人商定后，按最能反映公允价值的价格估值。</w:t>
      </w:r>
    </w:p>
    <w:p w:rsidR="00E34CFB" w:rsidRPr="004A0E4C" w:rsidRDefault="00E34CFB" w:rsidP="00A77E91">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（9）相关法律法规以及监管部门有强制规定的，从其规定。如有新增事项，按国家最新规定估值。</w:t>
      </w:r>
    </w:p>
    <w:p w:rsidR="00E34CFB" w:rsidRPr="004A0E4C" w:rsidRDefault="00E34CFB" w:rsidP="004A0E4C">
      <w:pPr>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34CFB" w:rsidRPr="004A0E4C" w:rsidRDefault="00E34CFB" w:rsidP="004A0E4C">
      <w:pPr>
        <w:adjustRightInd w:val="0"/>
        <w:snapToGrid w:val="0"/>
        <w:spacing w:line="360" w:lineRule="auto"/>
        <w:ind w:firstLine="480"/>
        <w:rPr>
          <w:rFonts w:asciiTheme="minorEastAsia" w:eastAsiaTheme="minorEastAsia" w:hAnsiTheme="minorEastAsia"/>
          <w:sz w:val="24"/>
          <w:szCs w:val="21"/>
        </w:rPr>
      </w:pPr>
      <w:r w:rsidRPr="004A0E4C">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4A0E4C">
        <w:rPr>
          <w:rFonts w:asciiTheme="minorEastAsia" w:eastAsiaTheme="minorEastAsia" w:hAnsiTheme="minorEastAsia" w:hint="eastAsia"/>
          <w:sz w:val="24"/>
          <w:szCs w:val="21"/>
        </w:rPr>
        <w:lastRenderedPageBreak/>
        <w:t>值的计算结果对外予以公布。</w:t>
      </w:r>
    </w:p>
    <w:p w:rsidR="00E34CFB" w:rsidRPr="004A0E4C" w:rsidRDefault="00E34CFB" w:rsidP="004A0E4C">
      <w:pPr>
        <w:adjustRightInd w:val="0"/>
        <w:snapToGrid w:val="0"/>
        <w:spacing w:line="360" w:lineRule="auto"/>
        <w:ind w:firstLine="480"/>
        <w:rPr>
          <w:rStyle w:val="read"/>
          <w:rFonts w:asciiTheme="minorEastAsia" w:eastAsiaTheme="minorEastAsia" w:hAnsiTheme="minorEastAsia" w:cs="Arial"/>
          <w:sz w:val="24"/>
        </w:rPr>
      </w:pPr>
      <w:r w:rsidRPr="004A0E4C">
        <w:rPr>
          <w:rStyle w:val="read"/>
          <w:rFonts w:asciiTheme="minorEastAsia" w:eastAsiaTheme="minorEastAsia" w:hAnsiTheme="minorEastAsia" w:cs="Arial" w:hint="eastAsia"/>
          <w:sz w:val="24"/>
        </w:rPr>
        <w:t>3.特殊情形的处理</w:t>
      </w:r>
    </w:p>
    <w:p w:rsidR="00E34CFB" w:rsidRPr="004A0E4C" w:rsidRDefault="00E34CFB" w:rsidP="004A0E4C">
      <w:pPr>
        <w:adjustRightInd w:val="0"/>
        <w:snapToGrid w:val="0"/>
        <w:spacing w:line="360" w:lineRule="auto"/>
        <w:ind w:firstLineChars="200" w:firstLine="480"/>
        <w:rPr>
          <w:rStyle w:val="read"/>
          <w:rFonts w:asciiTheme="minorEastAsia" w:eastAsiaTheme="minorEastAsia" w:hAnsiTheme="minorEastAsia"/>
          <w:sz w:val="24"/>
        </w:rPr>
      </w:pPr>
      <w:r w:rsidRPr="004A0E4C">
        <w:rPr>
          <w:rStyle w:val="read"/>
          <w:rFonts w:asciiTheme="minorEastAsia" w:eastAsiaTheme="minorEastAsia" w:hAnsiTheme="minorEastAsia" w:cs="Arial" w:hint="eastAsia"/>
          <w:sz w:val="24"/>
        </w:rPr>
        <w:t>基金管理人、基金托管人按估值方法的第(8)项进行估值时，所造成的误差不作为基金份</w:t>
      </w:r>
      <w:r w:rsidRPr="004A0E4C">
        <w:rPr>
          <w:rStyle w:val="read"/>
          <w:rFonts w:asciiTheme="minorEastAsia" w:eastAsiaTheme="minorEastAsia" w:hAnsiTheme="minorEastAsia" w:hint="eastAsia"/>
          <w:sz w:val="24"/>
        </w:rPr>
        <w:t>额净值错误处理。</w:t>
      </w:r>
    </w:p>
    <w:p w:rsidR="00E34CFB" w:rsidRPr="004A0E4C" w:rsidRDefault="00E34CFB" w:rsidP="004A0E4C">
      <w:pPr>
        <w:adjustRightInd w:val="0"/>
        <w:snapToGrid w:val="0"/>
        <w:spacing w:line="360" w:lineRule="auto"/>
        <w:ind w:firstLineChars="200" w:firstLine="480"/>
        <w:rPr>
          <w:rStyle w:val="read"/>
          <w:rFonts w:asciiTheme="minorEastAsia" w:eastAsiaTheme="minorEastAsia" w:hAnsiTheme="minorEastAsia"/>
          <w:sz w:val="24"/>
        </w:rPr>
      </w:pPr>
      <w:r w:rsidRPr="004A0E4C">
        <w:rPr>
          <w:rStyle w:val="read"/>
          <w:rFonts w:asciiTheme="minorEastAsia" w:eastAsiaTheme="minorEastAsia" w:hAnsiTheme="minorEastAsia" w:hint="eastAsia"/>
          <w:sz w:val="24"/>
        </w:rPr>
        <w:t>（三）基金份额净值错误的处理方式</w:t>
      </w:r>
    </w:p>
    <w:p w:rsidR="00E34CFB" w:rsidRPr="004A0E4C" w:rsidRDefault="00E34CFB" w:rsidP="004A0E4C">
      <w:pPr>
        <w:adjustRightInd w:val="0"/>
        <w:snapToGrid w:val="0"/>
        <w:spacing w:line="360" w:lineRule="auto"/>
        <w:ind w:firstLineChars="200" w:firstLine="480"/>
        <w:rPr>
          <w:rStyle w:val="read"/>
          <w:rFonts w:asciiTheme="minorEastAsia" w:eastAsiaTheme="minorEastAsia" w:hAnsiTheme="minorEastAsia"/>
          <w:sz w:val="24"/>
        </w:rPr>
      </w:pPr>
      <w:r w:rsidRPr="004A0E4C">
        <w:rPr>
          <w:rStyle w:val="read"/>
          <w:rFonts w:asciiTheme="minorEastAsia" w:eastAsiaTheme="minorEastAsia" w:hAnsiTheme="minorEastAsia"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A0E4C">
        <w:rPr>
          <w:rFonts w:asciiTheme="minorEastAsia" w:eastAsiaTheme="minorEastAsia" w:hAnsiTheme="minorEastAsia" w:cs="Arial" w:hint="eastAsia"/>
          <w:sz w:val="24"/>
        </w:rPr>
        <w:t>；错误偏差达到基金份额净值的</w:t>
      </w:r>
      <w:r w:rsidRPr="004A0E4C">
        <w:rPr>
          <w:rFonts w:asciiTheme="minorEastAsia" w:eastAsiaTheme="minorEastAsia" w:hAnsiTheme="minorEastAsia" w:hint="eastAsia"/>
          <w:sz w:val="24"/>
        </w:rPr>
        <w:t>0.5%时，基金管理人应当公告</w:t>
      </w:r>
      <w:r w:rsidRPr="004A0E4C">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E34CFB" w:rsidRPr="004A0E4C" w:rsidRDefault="00E34CFB" w:rsidP="004A0E4C">
      <w:pPr>
        <w:adjustRightInd w:val="0"/>
        <w:snapToGrid w:val="0"/>
        <w:spacing w:line="360" w:lineRule="auto"/>
        <w:ind w:firstLineChars="200" w:firstLine="480"/>
        <w:rPr>
          <w:rStyle w:val="read"/>
          <w:rFonts w:asciiTheme="minorEastAsia" w:eastAsiaTheme="minorEastAsia" w:hAnsiTheme="minorEastAsia"/>
          <w:sz w:val="24"/>
        </w:rPr>
      </w:pPr>
      <w:r w:rsidRPr="004A0E4C">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A0E4C">
        <w:rPr>
          <w:rFonts w:asciiTheme="minorEastAsia" w:eastAsiaTheme="minorEastAsia" w:hAnsiTheme="minorEastAsia" w:cs="Arial" w:hint="eastAsia"/>
          <w:sz w:val="24"/>
        </w:rPr>
        <w:t>损失，由基金管理人负责赔付。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w:t>
      </w:r>
      <w:r w:rsidRPr="004A0E4C">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w:t>
      </w:r>
      <w:r w:rsidRPr="004A0E4C">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3.由于证券</w:t>
      </w:r>
      <w:r w:rsidR="000B5B33">
        <w:rPr>
          <w:rFonts w:asciiTheme="minorEastAsia" w:eastAsiaTheme="minorEastAsia" w:hAnsiTheme="minorEastAsia" w:cs="Arial" w:hint="eastAsia"/>
          <w:sz w:val="24"/>
        </w:rPr>
        <w:t>/期货</w:t>
      </w:r>
      <w:r w:rsidRPr="004A0E4C">
        <w:rPr>
          <w:rFonts w:asciiTheme="minorEastAsia" w:eastAsiaTheme="minorEastAsia" w:hAnsiTheme="minorEastAsia"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（四）暂停估值与公告基金份额净值的情形</w:t>
      </w:r>
    </w:p>
    <w:p w:rsidR="009979CB" w:rsidRPr="009979CB" w:rsidRDefault="009979CB" w:rsidP="009979CB">
      <w:pPr>
        <w:adjustRightInd w:val="0"/>
        <w:snapToGrid w:val="0"/>
        <w:spacing w:line="360" w:lineRule="auto"/>
        <w:ind w:firstLineChars="200" w:firstLine="480"/>
        <w:outlineLvl w:val="0"/>
        <w:rPr>
          <w:rFonts w:asciiTheme="minorEastAsia" w:eastAsiaTheme="minorEastAsia" w:hAnsiTheme="minorEastAsia" w:cs="Arial"/>
          <w:sz w:val="24"/>
        </w:rPr>
      </w:pPr>
      <w:r w:rsidRPr="009979CB">
        <w:rPr>
          <w:rFonts w:asciiTheme="minorEastAsia" w:eastAsiaTheme="minorEastAsia" w:hAnsiTheme="minorEastAsia" w:cs="Arial" w:hint="eastAsia"/>
          <w:sz w:val="24"/>
        </w:rPr>
        <w:t>1、基金投资所涉及的证券/期货交易市场遇法定节假日或因其他原因暂停营业时；</w:t>
      </w:r>
    </w:p>
    <w:p w:rsidR="009979CB" w:rsidRPr="009979CB" w:rsidRDefault="009979CB" w:rsidP="009979CB">
      <w:pPr>
        <w:adjustRightInd w:val="0"/>
        <w:snapToGrid w:val="0"/>
        <w:spacing w:line="360" w:lineRule="auto"/>
        <w:ind w:firstLineChars="200" w:firstLine="480"/>
        <w:outlineLvl w:val="0"/>
        <w:rPr>
          <w:rFonts w:asciiTheme="minorEastAsia" w:eastAsiaTheme="minorEastAsia" w:hAnsiTheme="minorEastAsia" w:cs="Arial"/>
          <w:sz w:val="24"/>
        </w:rPr>
      </w:pPr>
      <w:r w:rsidRPr="009979CB">
        <w:rPr>
          <w:rFonts w:asciiTheme="minorEastAsia" w:eastAsiaTheme="minorEastAsia" w:hAnsiTheme="minorEastAsia" w:cs="Arial" w:hint="eastAsia"/>
          <w:sz w:val="24"/>
        </w:rPr>
        <w:t>2、因不可抗力致使基金管理人、基金托管人无法准确评估基金资产价值时；</w:t>
      </w:r>
    </w:p>
    <w:p w:rsidR="00E34CFB" w:rsidRPr="004A0E4C" w:rsidRDefault="009979C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9979CB">
        <w:rPr>
          <w:rFonts w:asciiTheme="minorEastAsia" w:eastAsiaTheme="minorEastAsia" w:hAnsiTheme="minorEastAsia" w:cs="Arial" w:hint="eastAsia"/>
          <w:sz w:val="24"/>
        </w:rPr>
        <w:t>3、中国证监会和基金合同认定的其它情形。</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（五）基金会计制度</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按国家有关部门规定的会计制度执行。</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（六）基金账册的建立</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（七）基金财务报表与报告的编制和复核</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1.财务报表的编制</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基金财务报表由基金管理人编制，基金托管人复核。</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2.报表复核</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3.财务报表的编制与复核时间安排</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(1)报表的编制</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34CFB" w:rsidRPr="004A0E4C" w:rsidRDefault="00E34CFB" w:rsidP="004A0E4C">
      <w:pPr>
        <w:pStyle w:val="a0"/>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(2)报表的复核</w:t>
      </w:r>
    </w:p>
    <w:p w:rsidR="00E34CFB" w:rsidRPr="004A0E4C" w:rsidRDefault="00E34CFB" w:rsidP="004A0E4C">
      <w:pPr>
        <w:pStyle w:val="a0"/>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34CFB" w:rsidRPr="004A0E4C" w:rsidRDefault="00E34CFB" w:rsidP="004A0E4C">
      <w:pPr>
        <w:pStyle w:val="a0"/>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基金管理人应留足充分的时间，便于基金托管人复核相关报表及报告。</w:t>
      </w:r>
    </w:p>
    <w:p w:rsidR="00E34CFB" w:rsidRPr="004A0E4C" w:rsidRDefault="00E34CFB" w:rsidP="004A0E4C">
      <w:pPr>
        <w:pStyle w:val="a0"/>
        <w:adjustRightInd w:val="0"/>
        <w:snapToGrid w:val="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E34CFB" w:rsidRPr="004A0E4C" w:rsidRDefault="00E34CFB" w:rsidP="004A0E4C">
      <w:pPr>
        <w:pStyle w:val="a0"/>
        <w:adjustRightInd w:val="0"/>
        <w:snapToGrid w:val="0"/>
        <w:spacing w:line="360" w:lineRule="auto"/>
        <w:ind w:firstLineChars="0" w:firstLine="0"/>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87" w:name="_Toc124325893"/>
      <w:r w:rsidRPr="004A0E4C">
        <w:rPr>
          <w:rFonts w:asciiTheme="minorEastAsia" w:eastAsiaTheme="minorEastAsia" w:hAnsiTheme="minorEastAsia" w:hint="eastAsia"/>
          <w:sz w:val="30"/>
        </w:rPr>
        <w:t>九、基金收益分配</w:t>
      </w:r>
      <w:bookmarkEnd w:id="87"/>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基金收益分配是指按规定将基金的可分配收益按基金份额进行比例分配。</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（一）基金收益分配的原则</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基金收益分配应遵循下列原则：</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1.每一基金份额享有同等分配权；</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2.在符合有关基金分红条件的前提下，本基金每年收益分配次数最多为</w:t>
      </w:r>
      <w:r w:rsidR="00011E2A">
        <w:rPr>
          <w:rFonts w:asciiTheme="minorEastAsia" w:eastAsiaTheme="minorEastAsia" w:hAnsiTheme="minorEastAsia" w:cs="Arial" w:hint="eastAsia"/>
          <w:sz w:val="24"/>
        </w:rPr>
        <w:t>6</w:t>
      </w:r>
      <w:r w:rsidRPr="004A0E4C">
        <w:rPr>
          <w:rFonts w:asciiTheme="minorEastAsia" w:eastAsiaTheme="minorEastAsia" w:hAnsiTheme="minorEastAsia" w:cs="Arial" w:hint="eastAsia"/>
          <w:sz w:val="24"/>
        </w:rPr>
        <w:t>次，每次收益分配比例不得低于该次可供分配利润的</w:t>
      </w:r>
      <w:r w:rsidR="00011E2A">
        <w:rPr>
          <w:rFonts w:asciiTheme="minorEastAsia" w:eastAsiaTheme="minorEastAsia" w:hAnsiTheme="minorEastAsia" w:cs="Arial" w:hint="eastAsia"/>
          <w:sz w:val="24"/>
        </w:rPr>
        <w:t>20</w:t>
      </w:r>
      <w:r w:rsidRPr="004A0E4C">
        <w:rPr>
          <w:rFonts w:asciiTheme="minorEastAsia" w:eastAsiaTheme="minorEastAsia" w:hAnsiTheme="minorEastAsia" w:cs="Arial" w:hint="eastAsia"/>
          <w:sz w:val="24"/>
        </w:rPr>
        <w:t>%；若《基金合同》生效不满3个月可不进行收益分配；</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4.基金收益分配后基金份额净值不能低于面值；即基金收益分配基准日的基金份额净值减去每单位基金份额收益分配金额后不能低于面值；</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5.法律法规或监管机构另有规定的，从其规定。</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（二）基金收益分配的时间和程序</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本基金收益分配方案由基金管理人拟订，并由基金托管人复核，在2个工作日内在指定</w:t>
      </w:r>
      <w:r w:rsidR="001D1819">
        <w:rPr>
          <w:rFonts w:asciiTheme="minorEastAsia" w:eastAsiaTheme="minorEastAsia" w:hAnsiTheme="minorEastAsia" w:cs="Arial" w:hint="eastAsia"/>
          <w:sz w:val="24"/>
        </w:rPr>
        <w:t>媒介</w:t>
      </w:r>
      <w:r w:rsidRPr="004A0E4C">
        <w:rPr>
          <w:rFonts w:asciiTheme="minorEastAsia" w:eastAsiaTheme="minorEastAsia" w:hAnsiTheme="minorEastAsia" w:cs="Arial" w:hint="eastAsia"/>
          <w:sz w:val="24"/>
        </w:rPr>
        <w:t>公告并报中国证监会备案。</w:t>
      </w:r>
      <w:r w:rsidRPr="004A0E4C">
        <w:rPr>
          <w:rFonts w:asciiTheme="minorEastAsia" w:eastAsiaTheme="minorEastAsia" w:hAnsiTheme="minorEastAsia" w:hint="eastAsia"/>
          <w:sz w:val="24"/>
        </w:rPr>
        <w:t>基金红利发放日距离收益分配基准日（即可供分配利润计算截止日）的时间不得超过15个工作日。</w:t>
      </w:r>
      <w:r w:rsidRPr="004A0E4C">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88" w:name="_Toc124325894"/>
      <w:r w:rsidRPr="004A0E4C">
        <w:rPr>
          <w:rFonts w:asciiTheme="minorEastAsia" w:eastAsiaTheme="minorEastAsia" w:hAnsiTheme="minorEastAsia" w:hint="eastAsia"/>
          <w:sz w:val="30"/>
        </w:rPr>
        <w:t>十、基金信息披露</w:t>
      </w:r>
      <w:bookmarkEnd w:id="88"/>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（一）保密义务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1.非因基金管理人和基金托管人的原因导致保密信息被披露、泄露或公开；</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（二）信息披露的内容</w:t>
      </w:r>
    </w:p>
    <w:p w:rsidR="00E34CFB" w:rsidRPr="004A0E4C" w:rsidRDefault="00E34CFB" w:rsidP="004A0E4C">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（三）基金托管人和基金管理人在信息披露中的职责和信息披露程序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1.职责</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对于不需要基金托管人复核的信息，基金管理人在公告前应告知基金托管人。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基金管理人和基金托管人应积极配合、互相监督，保证其履行按照法定方式和限时披露的义务。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当出现下述情况时，基金管理人和基金托管人可暂停或延迟披露基金相关信息：</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(1)不可抗力；</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(2)基金投资所涉及的证券交易市场遇法定节假日或因其他原因暂停营业时；</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(3)出现基金管理人认为属于会导致基金管理人不能出售或评估基金资产的紧急事故的任何情况；</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(4)法律法规、《基金合同》或中国证监会规定的情况。</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3.信息文本的存放</w:t>
      </w:r>
    </w:p>
    <w:p w:rsidR="00E34CFB" w:rsidRPr="004A0E4C" w:rsidRDefault="00E34CFB" w:rsidP="004A0E4C">
      <w:pPr>
        <w:pStyle w:val="a0"/>
        <w:spacing w:line="360" w:lineRule="auto"/>
        <w:ind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34CFB" w:rsidRPr="004A0E4C" w:rsidRDefault="00E34CFB" w:rsidP="004A0E4C">
      <w:pPr>
        <w:pStyle w:val="a0"/>
        <w:spacing w:line="360" w:lineRule="auto"/>
        <w:ind w:firstLineChars="0" w:firstLine="0"/>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89" w:name="_Toc124325895"/>
      <w:r w:rsidRPr="004A0E4C">
        <w:rPr>
          <w:rFonts w:asciiTheme="minorEastAsia" w:eastAsiaTheme="minorEastAsia" w:hAnsiTheme="minorEastAsia" w:hint="eastAsia"/>
          <w:sz w:val="30"/>
        </w:rPr>
        <w:lastRenderedPageBreak/>
        <w:t>十一、基金费用</w:t>
      </w:r>
      <w:bookmarkEnd w:id="89"/>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（一）基金管理费的计提比例和计提方法</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本基金的管理费按前一日基金资产净值的</w:t>
      </w:r>
      <w:r w:rsidR="001D1819">
        <w:rPr>
          <w:rFonts w:asciiTheme="minorEastAsia" w:eastAsiaTheme="minorEastAsia" w:hAnsiTheme="minorEastAsia" w:cs="Arial" w:hint="eastAsia"/>
          <w:sz w:val="24"/>
        </w:rPr>
        <w:t>1.5</w:t>
      </w:r>
      <w:r w:rsidRPr="004A0E4C">
        <w:rPr>
          <w:rFonts w:asciiTheme="minorEastAsia" w:eastAsiaTheme="minorEastAsia" w:hAnsiTheme="minorEastAsia" w:cs="Arial" w:hint="eastAsia"/>
          <w:sz w:val="24"/>
        </w:rPr>
        <w:t>%年费率计提。管理费的计算方法如下：</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H＝E×年管理费率÷当年天数</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H为每日应计提的基金管理费</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E为前一日的基金资产净值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（二）基金托管费的计提比例和计提方法</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本基金的托管费按前一日基金资产净值的</w:t>
      </w:r>
      <w:r w:rsidR="001D1819">
        <w:rPr>
          <w:rFonts w:asciiTheme="minorEastAsia" w:eastAsiaTheme="minorEastAsia" w:hAnsiTheme="minorEastAsia" w:cs="Arial" w:hint="eastAsia"/>
          <w:sz w:val="24"/>
        </w:rPr>
        <w:t>0.25</w:t>
      </w:r>
      <w:r w:rsidRPr="004A0E4C">
        <w:rPr>
          <w:rFonts w:asciiTheme="minorEastAsia" w:eastAsiaTheme="minorEastAsia" w:hAnsiTheme="minorEastAsia" w:cs="Arial" w:hint="eastAsia"/>
          <w:sz w:val="24"/>
        </w:rPr>
        <w:t>%年费率计提。托管费的计算方法如下：</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H＝E×年托管费率÷当年天数</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H为每日应计提的基金托管费</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E为前一日的基金资产净值</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（四）不列入基金费用的项目</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（五）基金管理费和基金托管费的调整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基金管理人和基金托管人可协商酌情降低基金管理费和基金托管费，此项调整不需要基金份额持有人大会决议通过。基金管理人必须最迟于新的费率实施日2日前在指定</w:t>
      </w:r>
      <w:r w:rsidR="00144996">
        <w:rPr>
          <w:rFonts w:asciiTheme="minorEastAsia" w:eastAsiaTheme="minorEastAsia" w:hAnsiTheme="minorEastAsia" w:cs="Arial" w:hint="eastAsia"/>
          <w:sz w:val="24"/>
        </w:rPr>
        <w:t>媒介</w:t>
      </w:r>
      <w:r w:rsidRPr="004A0E4C">
        <w:rPr>
          <w:rFonts w:asciiTheme="minorEastAsia" w:eastAsiaTheme="minorEastAsia" w:hAnsiTheme="minorEastAsia" w:cs="Arial" w:hint="eastAsia"/>
          <w:sz w:val="24"/>
        </w:rPr>
        <w:t>上刊登公告。</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（六）基金管理费和基金托管费的复核程序、支付方式和时间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1.复核程序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2.支付方式和时间</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（七）违规处理方式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0" w:name="_Toc124325896"/>
      <w:r w:rsidRPr="004A0E4C">
        <w:rPr>
          <w:rFonts w:asciiTheme="minorEastAsia" w:eastAsiaTheme="minorEastAsia" w:hAnsiTheme="minorEastAsia" w:hint="eastAsia"/>
          <w:sz w:val="30"/>
        </w:rPr>
        <w:t>十二、基金份额持有人名册的保管</w:t>
      </w:r>
      <w:bookmarkEnd w:id="90"/>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4A0E4C">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1" w:name="_Toc124325897"/>
      <w:r w:rsidRPr="004A0E4C">
        <w:rPr>
          <w:rFonts w:asciiTheme="minorEastAsia" w:eastAsiaTheme="minorEastAsia" w:hAnsiTheme="minorEastAsia" w:hint="eastAsia"/>
          <w:sz w:val="30"/>
        </w:rPr>
        <w:t>十三、基金有关文件档案的保存</w:t>
      </w:r>
      <w:bookmarkEnd w:id="91"/>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（一）档案保存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基金管理人应保存基金财产管理业务活动的记录、账册、报表和其他相关资</w:t>
      </w:r>
      <w:r w:rsidRPr="004A0E4C">
        <w:rPr>
          <w:rFonts w:asciiTheme="minorEastAsia" w:eastAsiaTheme="minorEastAsia" w:hAnsiTheme="minorEastAsia" w:cs="Arial" w:hint="eastAsia"/>
          <w:sz w:val="24"/>
        </w:rPr>
        <w:lastRenderedPageBreak/>
        <w:t>料。基金托管人应保存基金托管业务活动的记录、账册、报表和其他相关资料。基金管理人和基金托管人都应当按规定的期限保管。保存期限不少于15年。</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（二）合同档案的建立</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1.基金管理人签署重大合同文本后，应及时将合同文本正本送达基金托管人处。</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2.基金管理人应及时将与本基金账务处理、资金划拨等有关的合同、协议传真基金托管人。</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（三）变更与协助</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b/>
          <w:bCs/>
          <w:sz w:val="30"/>
          <w:szCs w:val="30"/>
        </w:rPr>
      </w:pPr>
      <w:r w:rsidRPr="004A0E4C">
        <w:rPr>
          <w:rFonts w:asciiTheme="minorEastAsia" w:eastAsiaTheme="minorEastAsia" w:hAnsiTheme="minorEastAsia" w:cs="Arial" w:hint="eastAsia"/>
          <w:sz w:val="24"/>
        </w:rPr>
        <w:t>若基金管理人/基金托管人发生变更，未变更的一方有义务协助变更后的接任人接收相应文件。</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E34CFB" w:rsidRPr="004A0E4C" w:rsidRDefault="00E34CFB" w:rsidP="004A0E4C">
      <w:pPr>
        <w:adjustRightInd w:val="0"/>
        <w:snapToGrid w:val="0"/>
        <w:spacing w:line="360" w:lineRule="auto"/>
        <w:rPr>
          <w:rFonts w:asciiTheme="minorEastAsia" w:eastAsiaTheme="minorEastAsia" w:hAnsiTheme="minorEastAsia"/>
          <w:sz w:val="30"/>
          <w:szCs w:val="30"/>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2" w:name="_Toc124325898"/>
      <w:r w:rsidRPr="004A0E4C">
        <w:rPr>
          <w:rFonts w:asciiTheme="minorEastAsia" w:eastAsiaTheme="minorEastAsia" w:hAnsiTheme="minorEastAsia" w:hint="eastAsia"/>
          <w:sz w:val="30"/>
        </w:rPr>
        <w:t>十四、基金管理人和基金托管人的更换</w:t>
      </w:r>
      <w:bookmarkEnd w:id="92"/>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（一）基金管理人职责终止的情形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1.基金管理人职责终止的情形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有下列情形之一的，基金管理人职责终止：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(1)被依法取消基金管理资格；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(2)依法解散、被依法撤销或被依法宣告破产；</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(3)被基金份额持有人大会解任；</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(4)法律法规及中国证监会规定的和《基金合同》约定的其他情形。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2.基金管理人的更换程序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更换基金管理人必须依照如下程序进行：</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(1)提名：新任基金管理人由基金托管人</w:t>
      </w:r>
      <w:r w:rsidRPr="004A0E4C">
        <w:rPr>
          <w:rFonts w:asciiTheme="minorEastAsia" w:eastAsiaTheme="minorEastAsia" w:hAnsiTheme="minorEastAsia" w:hint="eastAsia"/>
          <w:sz w:val="24"/>
        </w:rPr>
        <w:t>或由单独或合计持有10%以上(含10%)基金份额的基金份额持有人</w:t>
      </w:r>
      <w:r w:rsidRPr="004A0E4C">
        <w:rPr>
          <w:rFonts w:asciiTheme="minorEastAsia" w:eastAsiaTheme="minorEastAsia" w:hAnsiTheme="minorEastAsia" w:cs="Arial" w:hint="eastAsia"/>
          <w:sz w:val="24"/>
        </w:rPr>
        <w:t>提名；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(3)临时基金管理人：新任基金管理人产生之前，由中国证监会指定临时基金管理人；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(4)备案：基金份额持有人大会选任基金管理人的决议须</w:t>
      </w:r>
      <w:r w:rsidR="00E86EA3">
        <w:rPr>
          <w:rFonts w:asciiTheme="minorEastAsia" w:eastAsiaTheme="minorEastAsia" w:hAnsiTheme="minorEastAsia" w:cs="Arial" w:hint="eastAsia"/>
          <w:sz w:val="24"/>
        </w:rPr>
        <w:t>经</w:t>
      </w:r>
      <w:r w:rsidRPr="004A0E4C">
        <w:rPr>
          <w:rFonts w:asciiTheme="minorEastAsia" w:eastAsiaTheme="minorEastAsia" w:hAnsiTheme="minorEastAsia" w:cs="Arial" w:hint="eastAsia"/>
          <w:sz w:val="24"/>
        </w:rPr>
        <w:t>中国证监会备案；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(5)公告：基金管理人更换后，由基金托管人在更换基金管理人的基金份额持有人大会决议生效后2个工作日内在指定媒介公告；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30"/>
          <w:szCs w:val="30"/>
        </w:rPr>
      </w:pPr>
      <w:r w:rsidRPr="004A0E4C">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（二）基金托管人职责终止的情形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1.基金托管人职责终止的情形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有下列情形之一的，基金托管人职责终止：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(1)被依法取消基金托管资格；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(2)依法解散、被依法撤销或被依法宣告破产；</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(3)被基金份额持有人大会解任；</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(4)法律法规及中国证监会规定的和《基金合同》约定的其他情形。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2.基金托管人的更换程序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(1)提名：新任基金托管人由基金管理人</w:t>
      </w:r>
      <w:r w:rsidRPr="004A0E4C">
        <w:rPr>
          <w:rFonts w:asciiTheme="minorEastAsia" w:eastAsiaTheme="minorEastAsia" w:hAnsiTheme="minorEastAsia" w:hint="eastAsia"/>
          <w:sz w:val="24"/>
        </w:rPr>
        <w:t>或由单独或合计持有10%以上(含10%)基金份额的基金份额持有人</w:t>
      </w:r>
      <w:r w:rsidRPr="004A0E4C">
        <w:rPr>
          <w:rFonts w:asciiTheme="minorEastAsia" w:eastAsiaTheme="minorEastAsia" w:hAnsiTheme="minorEastAsia" w:cs="Arial" w:hint="eastAsia"/>
          <w:sz w:val="24"/>
        </w:rPr>
        <w:t>提名；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(3)临时基金托管人：新任基金托管人产生之前，由中国证监会指定临时基金托管人；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(4)备案：基金份额持有人大会更换基金托管人的决议须</w:t>
      </w:r>
      <w:r w:rsidR="00E86EA3">
        <w:rPr>
          <w:rFonts w:asciiTheme="minorEastAsia" w:eastAsiaTheme="minorEastAsia" w:hAnsiTheme="minorEastAsia" w:cs="Arial" w:hint="eastAsia"/>
          <w:sz w:val="24"/>
        </w:rPr>
        <w:t>经</w:t>
      </w:r>
      <w:r w:rsidRPr="004A0E4C">
        <w:rPr>
          <w:rFonts w:asciiTheme="minorEastAsia" w:eastAsiaTheme="minorEastAsia" w:hAnsiTheme="minorEastAsia" w:cs="Arial" w:hint="eastAsia"/>
          <w:sz w:val="24"/>
        </w:rPr>
        <w:t>中国证监会备案；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(5)公告：基金托管人更换后，由基金管理人在更换基金托管人的基金份额持</w:t>
      </w:r>
      <w:r w:rsidRPr="004A0E4C">
        <w:rPr>
          <w:rFonts w:asciiTheme="minorEastAsia" w:eastAsiaTheme="minorEastAsia" w:hAnsiTheme="minorEastAsia" w:cs="Arial" w:hint="eastAsia"/>
          <w:sz w:val="24"/>
        </w:rPr>
        <w:lastRenderedPageBreak/>
        <w:t>有人大会决议生效后2个工作日内在指定媒介公告；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（三）基金管理人与基金托管人同时更换的条件和程序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2.基金管理人和基金托管人的更换分别按上述程序进行；</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3.公告：新任基金管理人和新任基金托管人应在更换基金管理人和基金托管人的基金份额持有人大会决议生效后2</w:t>
      </w:r>
      <w:r w:rsidR="00E86EA3">
        <w:rPr>
          <w:rFonts w:asciiTheme="minorEastAsia" w:eastAsiaTheme="minorEastAsia" w:hAnsiTheme="minorEastAsia" w:cs="Arial" w:hint="eastAsia"/>
          <w:sz w:val="24"/>
        </w:rPr>
        <w:t>个工作</w:t>
      </w:r>
      <w:r w:rsidRPr="004A0E4C">
        <w:rPr>
          <w:rFonts w:asciiTheme="minorEastAsia" w:eastAsiaTheme="minorEastAsia" w:hAnsiTheme="minorEastAsia" w:cs="Arial" w:hint="eastAsia"/>
          <w:sz w:val="24"/>
        </w:rPr>
        <w:t>日内在指定媒介上联合公告。</w:t>
      </w:r>
    </w:p>
    <w:p w:rsidR="00E34CFB"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B1D85" w:rsidRPr="004A0E4C" w:rsidRDefault="003B1D85" w:rsidP="003B1D85">
      <w:pPr>
        <w:adjustRightInd w:val="0"/>
        <w:snapToGrid w:val="0"/>
        <w:spacing w:line="360" w:lineRule="auto"/>
        <w:ind w:firstLineChars="200" w:firstLine="480"/>
        <w:rPr>
          <w:rFonts w:asciiTheme="minorEastAsia" w:eastAsiaTheme="minorEastAsia" w:hAnsiTheme="minorEastAsia" w:cs="Arial"/>
          <w:sz w:val="24"/>
        </w:rPr>
      </w:pPr>
      <w:r w:rsidRPr="003B1D85">
        <w:rPr>
          <w:rFonts w:asciiTheme="minorEastAsia" w:eastAsiaTheme="minorEastAsia" w:hAnsiTheme="minorEastAsia"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3" w:name="_Toc124325899"/>
      <w:r w:rsidRPr="004A0E4C">
        <w:rPr>
          <w:rFonts w:asciiTheme="minorEastAsia" w:eastAsiaTheme="minorEastAsia" w:hAnsiTheme="minorEastAsia" w:hint="eastAsia"/>
          <w:sz w:val="30"/>
        </w:rPr>
        <w:t>十五、禁止行为</w:t>
      </w:r>
      <w:bookmarkEnd w:id="93"/>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本协议当事人禁止从事的行为，包括但不限于：</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（一）基金管理人、基金托管人将其固有财产或者他人财产混同于基金财产从事证券投资。</w:t>
      </w:r>
    </w:p>
    <w:p w:rsidR="00E34CFB" w:rsidRPr="004A0E4C" w:rsidRDefault="00E34CFB" w:rsidP="004A0E4C">
      <w:pPr>
        <w:spacing w:line="360" w:lineRule="auto"/>
        <w:ind w:firstLineChars="200" w:firstLine="480"/>
        <w:rPr>
          <w:rFonts w:asciiTheme="minorEastAsia" w:eastAsiaTheme="minorEastAsia" w:hAnsiTheme="minorEastAsia"/>
        </w:rPr>
      </w:pPr>
      <w:r w:rsidRPr="004A0E4C">
        <w:rPr>
          <w:rFonts w:asciiTheme="minorEastAsia" w:eastAsiaTheme="minorEastAsia" w:hAnsiTheme="minorEastAsia" w:hint="eastAsia"/>
          <w:sz w:val="24"/>
        </w:rPr>
        <w:t>（二）基金管理人不公平地对待其管理的不同基金财产，基金托管人不公平地对待其托管的不同基金财产。</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（三）基金管理人、基金托管人利用基金财产为基金份额持有人以外的第三</w:t>
      </w:r>
      <w:r w:rsidRPr="004A0E4C">
        <w:rPr>
          <w:rFonts w:asciiTheme="minorEastAsia" w:eastAsiaTheme="minorEastAsia" w:hAnsiTheme="minorEastAsia" w:hint="eastAsia"/>
          <w:sz w:val="24"/>
        </w:rPr>
        <w:lastRenderedPageBreak/>
        <w:t>人牟取利益。</w:t>
      </w:r>
    </w:p>
    <w:p w:rsidR="00E34CFB" w:rsidRPr="004A0E4C" w:rsidRDefault="00E34CFB" w:rsidP="004A0E4C">
      <w:pPr>
        <w:spacing w:line="360" w:lineRule="auto"/>
        <w:ind w:firstLineChars="200" w:firstLine="480"/>
        <w:rPr>
          <w:rFonts w:asciiTheme="minorEastAsia" w:eastAsiaTheme="minorEastAsia" w:hAnsiTheme="minorEastAsia"/>
          <w:sz w:val="24"/>
        </w:rPr>
      </w:pPr>
      <w:r w:rsidRPr="004A0E4C">
        <w:rPr>
          <w:rFonts w:asciiTheme="minorEastAsia" w:eastAsiaTheme="minorEastAsia" w:hAnsiTheme="minorEastAsia" w:hint="eastAsia"/>
          <w:sz w:val="24"/>
        </w:rPr>
        <w:t>（四）基金管理人、基金托管人向基金份额持有人违规承诺收益或者承担损失。</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E34CFB" w:rsidRPr="004A0E4C" w:rsidRDefault="00E34CFB" w:rsidP="004A0E4C">
      <w:pPr>
        <w:pStyle w:val="ab"/>
        <w:spacing w:line="360" w:lineRule="auto"/>
        <w:outlineLvl w:val="0"/>
        <w:rPr>
          <w:rFonts w:asciiTheme="minorEastAsia" w:eastAsiaTheme="minorEastAsia" w:hAnsiTheme="minorEastAsia" w:cs="Arial"/>
          <w:szCs w:val="24"/>
        </w:rPr>
      </w:pPr>
      <w:r w:rsidRPr="004A0E4C">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（七）基金管理人、基金托管人在行政上、财务上不独立</w:t>
      </w:r>
      <w:r w:rsidR="00B66DAD">
        <w:rPr>
          <w:rFonts w:asciiTheme="minorEastAsia" w:eastAsiaTheme="minorEastAsia" w:hAnsiTheme="minorEastAsia" w:cs="Arial" w:hint="eastAsia"/>
          <w:sz w:val="24"/>
        </w:rPr>
        <w:t>，</w:t>
      </w:r>
      <w:r w:rsidRPr="004A0E4C">
        <w:rPr>
          <w:rFonts w:asciiTheme="minorEastAsia" w:eastAsiaTheme="minorEastAsia" w:hAnsiTheme="minorEastAsia" w:cs="Arial" w:hint="eastAsia"/>
          <w:sz w:val="24"/>
        </w:rPr>
        <w:t>其高级管理人员和其他从业人员相互兼职。</w:t>
      </w:r>
    </w:p>
    <w:p w:rsidR="00E34CFB" w:rsidRPr="004A0E4C" w:rsidRDefault="00E34CFB" w:rsidP="004A0E4C">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E34CFB" w:rsidRPr="004A0E4C" w:rsidRDefault="00E34CFB" w:rsidP="004A0E4C">
      <w:pPr>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hint="eastAsia"/>
          <w:sz w:val="24"/>
        </w:rPr>
        <w:t>（九）</w:t>
      </w:r>
      <w:r w:rsidRPr="004A0E4C">
        <w:rPr>
          <w:rFonts w:asciiTheme="minorEastAsia" w:eastAsiaTheme="minorEastAsia" w:hAnsiTheme="minorEastAsia" w:cs="Arial" w:hint="eastAsia"/>
          <w:sz w:val="24"/>
        </w:rPr>
        <w:t>基金财产</w:t>
      </w:r>
      <w:r w:rsidRPr="004A0E4C">
        <w:rPr>
          <w:rFonts w:asciiTheme="minorEastAsia" w:eastAsiaTheme="minorEastAsia" w:hAnsiTheme="minorEastAsia" w:hint="eastAsia"/>
          <w:sz w:val="24"/>
        </w:rPr>
        <w:t>用于下列投资或者活动：1.承销证券；2.违反规定向他人贷款或者提供担保；3.从事承担无限责任的投资；4.买卖其他基金份额，但是</w:t>
      </w:r>
      <w:r w:rsidR="00B66DAD">
        <w:rPr>
          <w:rFonts w:asciiTheme="minorEastAsia" w:eastAsiaTheme="minorEastAsia" w:hAnsiTheme="minorEastAsia" w:hint="eastAsia"/>
          <w:sz w:val="24"/>
        </w:rPr>
        <w:t>中国证监会</w:t>
      </w:r>
      <w:r w:rsidRPr="004A0E4C">
        <w:rPr>
          <w:rFonts w:asciiTheme="minorEastAsia" w:eastAsiaTheme="minorEastAsia" w:hAnsiTheme="minorEastAsia" w:hint="eastAsia"/>
          <w:sz w:val="24"/>
        </w:rPr>
        <w:t>另有规定的除外；5.向其基金管理人、基金托管人出资；6.从事内幕交易、操纵证券交易价格及其他不正当的证券交易活动；7.法律、行政法规和</w:t>
      </w:r>
      <w:r w:rsidR="00B66DAD">
        <w:rPr>
          <w:rFonts w:asciiTheme="minorEastAsia" w:eastAsiaTheme="minorEastAsia" w:hAnsiTheme="minorEastAsia" w:hint="eastAsia"/>
          <w:sz w:val="24"/>
        </w:rPr>
        <w:t>中国证监会</w:t>
      </w:r>
      <w:r w:rsidRPr="004A0E4C">
        <w:rPr>
          <w:rFonts w:asciiTheme="minorEastAsia" w:eastAsiaTheme="minorEastAsia" w:hAnsiTheme="minorEastAsia" w:hint="eastAsia"/>
          <w:sz w:val="24"/>
        </w:rPr>
        <w:t>规定禁止的其他活动。</w:t>
      </w:r>
      <w:r w:rsidRPr="004A0E4C">
        <w:rPr>
          <w:rFonts w:asciiTheme="minorEastAsia" w:eastAsiaTheme="minorEastAsia" w:hAnsiTheme="minorEastAsia" w:cs="Arial" w:hint="eastAsia"/>
          <w:sz w:val="24"/>
        </w:rPr>
        <w:t>法律法规或监管部门取消上述限制，如适用于本基金，则本基金投资不再受相关限制</w:t>
      </w:r>
      <w:r w:rsidRPr="004A0E4C">
        <w:rPr>
          <w:rFonts w:asciiTheme="minorEastAsia" w:eastAsiaTheme="minorEastAsia" w:hAnsiTheme="minorEastAsia" w:hint="eastAsia"/>
          <w:sz w:val="24"/>
        </w:rPr>
        <w:t>。</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（十）法律法规和《基金合同》禁止的其他行为，以及</w:t>
      </w:r>
      <w:r w:rsidRPr="004A0E4C">
        <w:rPr>
          <w:rFonts w:asciiTheme="minorEastAsia" w:eastAsiaTheme="minorEastAsia" w:hAnsiTheme="minorEastAsia" w:hint="eastAsia"/>
          <w:sz w:val="24"/>
        </w:rPr>
        <w:t>依照法律、行政法规有关规定，由</w:t>
      </w:r>
      <w:r w:rsidR="00B66DAD">
        <w:rPr>
          <w:rFonts w:asciiTheme="minorEastAsia" w:eastAsiaTheme="minorEastAsia" w:hAnsiTheme="minorEastAsia" w:hint="eastAsia"/>
          <w:sz w:val="24"/>
        </w:rPr>
        <w:t>中国证监会</w:t>
      </w:r>
      <w:r w:rsidRPr="004A0E4C">
        <w:rPr>
          <w:rFonts w:asciiTheme="minorEastAsia" w:eastAsiaTheme="minorEastAsia" w:hAnsiTheme="minorEastAsia" w:hint="eastAsia"/>
          <w:sz w:val="24"/>
        </w:rPr>
        <w:t>规定禁止基金管理人、基金托管人从事的其他行为。</w:t>
      </w:r>
    </w:p>
    <w:p w:rsidR="00E34CFB" w:rsidRPr="004A0E4C" w:rsidRDefault="00E34CFB" w:rsidP="004A0E4C">
      <w:pPr>
        <w:adjustRightInd w:val="0"/>
        <w:snapToGrid w:val="0"/>
        <w:spacing w:line="360" w:lineRule="auto"/>
        <w:rPr>
          <w:rFonts w:asciiTheme="minorEastAsia" w:eastAsiaTheme="minorEastAsia" w:hAnsiTheme="minorEastAsia"/>
          <w:sz w:val="30"/>
          <w:szCs w:val="30"/>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4" w:name="_Toc124325900"/>
      <w:r w:rsidRPr="004A0E4C">
        <w:rPr>
          <w:rFonts w:asciiTheme="minorEastAsia" w:eastAsiaTheme="minorEastAsia" w:hAnsiTheme="minorEastAsia" w:hint="eastAsia"/>
          <w:sz w:val="30"/>
        </w:rPr>
        <w:t>十六、托管协议的变更、终止与基金财产的清算</w:t>
      </w:r>
      <w:bookmarkEnd w:id="94"/>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（一）托管协议的变更程序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30"/>
          <w:szCs w:val="30"/>
        </w:rPr>
      </w:pPr>
      <w:r w:rsidRPr="004A0E4C">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（二）托管协议终止的情形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1.《基金合同》终止；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2.基金托管人解散、依法被撤销、破产或由其他基金托管人接管基金资产；</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lastRenderedPageBreak/>
        <w:t>3.基金管理人解散、依法被撤销、破产或由其他基金管理人接管基金管理权；</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4.发生法律法规或《基金合同》规定的终止事项。</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（三）基金财产的清算</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4.基金财产清算程序：</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(1)《基金合同》终止情形出现时，由基金财产清算小组统一接管基金；</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(2)对基金财产和债权债务进行清理和确认；</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(3)对基金财产进行估值和变现；</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(4)制作清算报告；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(5)聘请会计师事务所对清算报告进行外部审计，聘请律师事务所对清算报告出具法律意见书；</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(6)将清算结果报中国证监会备案并公告；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(7)对基金财产进行分配。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5.基金财产清算的期限</w:t>
      </w:r>
      <w:r w:rsidRPr="00C50964">
        <w:rPr>
          <w:rFonts w:asciiTheme="minorEastAsia" w:eastAsiaTheme="minorEastAsia" w:hAnsiTheme="minorEastAsia" w:cs="Arial" w:hint="eastAsia"/>
          <w:sz w:val="24"/>
        </w:rPr>
        <w:t>为</w:t>
      </w:r>
      <w:r w:rsidR="00B66DAD">
        <w:rPr>
          <w:rFonts w:asciiTheme="minorEastAsia" w:eastAsiaTheme="minorEastAsia" w:hAnsiTheme="minorEastAsia" w:cs="Arial" w:hint="eastAsia"/>
          <w:sz w:val="24"/>
        </w:rPr>
        <w:t>6</w:t>
      </w:r>
      <w:r w:rsidRPr="00C50964">
        <w:rPr>
          <w:rFonts w:asciiTheme="minorEastAsia" w:eastAsiaTheme="minorEastAsia" w:hAnsiTheme="minorEastAsia" w:cs="Arial" w:hint="eastAsia"/>
          <w:sz w:val="24"/>
        </w:rPr>
        <w:t>个</w:t>
      </w:r>
      <w:r w:rsidRPr="004A0E4C">
        <w:rPr>
          <w:rFonts w:asciiTheme="minorEastAsia" w:eastAsiaTheme="minorEastAsia" w:hAnsiTheme="minorEastAsia" w:cs="Arial" w:hint="eastAsia"/>
          <w:sz w:val="24"/>
        </w:rPr>
        <w:t>月。</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6.清算费用</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7.基金财产清算剩余资产的分配：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8.基金财产清算的公告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清算过程中的有关重大事项须及时公告；基金财产清算报告经会计师事务所</w:t>
      </w:r>
      <w:r w:rsidRPr="004A0E4C">
        <w:rPr>
          <w:rFonts w:asciiTheme="minorEastAsia" w:eastAsiaTheme="minorEastAsia" w:hAnsiTheme="minorEastAsia" w:cs="Arial" w:hint="eastAsia"/>
          <w:sz w:val="24"/>
        </w:rPr>
        <w:lastRenderedPageBreak/>
        <w:t>审计、并由律师事务所出具法律意见书后，报中国证监会备案并公告。基金财产清算公告于基金财产清算报告报中国证监会备案</w:t>
      </w:r>
      <w:r w:rsidRPr="00C50964">
        <w:rPr>
          <w:rFonts w:asciiTheme="minorEastAsia" w:eastAsiaTheme="minorEastAsia" w:hAnsiTheme="minorEastAsia" w:cs="Arial" w:hint="eastAsia"/>
          <w:sz w:val="24"/>
        </w:rPr>
        <w:t>后</w:t>
      </w:r>
      <w:r w:rsidR="00B66DAD">
        <w:rPr>
          <w:rFonts w:asciiTheme="minorEastAsia" w:eastAsiaTheme="minorEastAsia" w:hAnsiTheme="minorEastAsia" w:cs="Arial" w:hint="eastAsia"/>
          <w:sz w:val="24"/>
        </w:rPr>
        <w:t>5</w:t>
      </w:r>
      <w:r w:rsidRPr="00C50964">
        <w:rPr>
          <w:rFonts w:asciiTheme="minorEastAsia" w:eastAsiaTheme="minorEastAsia" w:hAnsiTheme="minorEastAsia" w:cs="Arial" w:hint="eastAsia"/>
          <w:sz w:val="24"/>
        </w:rPr>
        <w:t>个</w:t>
      </w:r>
      <w:r w:rsidRPr="004A0E4C">
        <w:rPr>
          <w:rFonts w:asciiTheme="minorEastAsia" w:eastAsiaTheme="minorEastAsia" w:hAnsiTheme="minorEastAsia" w:cs="Arial" w:hint="eastAsia"/>
          <w:sz w:val="24"/>
        </w:rPr>
        <w:t>工作日内由基金财产清算小组进行公告。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9.基金财产清算账册及文件的保存</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基金财产清算账册及有关文件由基金托管人保存15年以上。</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5" w:name="_Toc124325901"/>
      <w:r w:rsidRPr="004A0E4C">
        <w:rPr>
          <w:rFonts w:asciiTheme="minorEastAsia" w:eastAsiaTheme="minorEastAsia" w:hAnsiTheme="minorEastAsia" w:hint="eastAsia"/>
          <w:sz w:val="30"/>
        </w:rPr>
        <w:t>十七、违约责任</w:t>
      </w:r>
      <w:bookmarkEnd w:id="95"/>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（一）基金管理人、基金托管人不履行本协议或履行本协议不符合约定的，应当承担违约责任。</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1.不可抗力；</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2.基金管理人、基金托管人按照当时有效的法律法规或中国证监会的规定作为或不作为而造成的损失等；</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（五）违约行为虽已发生，但本托管协议能够继续履行的，在最大限度地保</w:t>
      </w:r>
      <w:r w:rsidRPr="004A0E4C">
        <w:rPr>
          <w:rFonts w:asciiTheme="minorEastAsia" w:eastAsiaTheme="minorEastAsia" w:hAnsiTheme="minorEastAsia" w:cs="Arial" w:hint="eastAsia"/>
          <w:sz w:val="24"/>
        </w:rPr>
        <w:lastRenderedPageBreak/>
        <w:t>护基金份额持有人利益的前提下，基金管理人和基金托管人应当继续履行本协议。</w:t>
      </w:r>
    </w:p>
    <w:p w:rsidR="00E34CFB" w:rsidRPr="004A0E4C" w:rsidRDefault="00E34CFB" w:rsidP="004A0E4C">
      <w:pPr>
        <w:adjustRightInd w:val="0"/>
        <w:snapToGrid w:val="0"/>
        <w:spacing w:line="360" w:lineRule="auto"/>
        <w:ind w:firstLineChars="200" w:firstLine="480"/>
        <w:outlineLvl w:val="0"/>
        <w:rPr>
          <w:rFonts w:asciiTheme="minorEastAsia" w:eastAsiaTheme="minorEastAsia" w:hAnsiTheme="minorEastAsia" w:cs="Arial"/>
          <w:sz w:val="24"/>
        </w:rPr>
      </w:pPr>
      <w:r w:rsidRPr="004A0E4C">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34CFB" w:rsidRPr="004A0E4C" w:rsidRDefault="00E34CFB" w:rsidP="004A0E4C">
      <w:pPr>
        <w:adjustRightInd w:val="0"/>
        <w:snapToGrid w:val="0"/>
        <w:spacing w:line="360" w:lineRule="auto"/>
        <w:outlineLvl w:val="0"/>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6" w:name="_Toc124325902"/>
      <w:r w:rsidRPr="004A0E4C">
        <w:rPr>
          <w:rFonts w:asciiTheme="minorEastAsia" w:eastAsiaTheme="minorEastAsia" w:hAnsiTheme="minorEastAsia" w:hint="eastAsia"/>
          <w:sz w:val="30"/>
        </w:rPr>
        <w:t>十八、争议解决方式</w:t>
      </w:r>
      <w:bookmarkEnd w:id="96"/>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本协议受中国法律管辖。</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7" w:name="_Toc124325903"/>
      <w:r w:rsidRPr="004A0E4C">
        <w:rPr>
          <w:rFonts w:asciiTheme="minorEastAsia" w:eastAsiaTheme="minorEastAsia" w:hAnsiTheme="minorEastAsia" w:hint="eastAsia"/>
          <w:sz w:val="30"/>
        </w:rPr>
        <w:t>十九、托管协议的效力</w:t>
      </w:r>
      <w:bookmarkEnd w:id="97"/>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双方对托管协议的效力约定如下：</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（三）托管协议自生效之日起对托管协议当事人具有同等的法律约束力。</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sz w:val="30"/>
          <w:szCs w:val="30"/>
        </w:rPr>
      </w:pPr>
      <w:r w:rsidRPr="004A0E4C">
        <w:rPr>
          <w:rFonts w:asciiTheme="minorEastAsia" w:eastAsiaTheme="minorEastAsia" w:hAnsiTheme="minorEastAsia" w:cs="Arial" w:hint="eastAsia"/>
          <w:sz w:val="24"/>
        </w:rPr>
        <w:lastRenderedPageBreak/>
        <w:t>（四）本协议一式六份，协议双方各持二份，上报监管机构二份，每份具有同等的法律效力。</w:t>
      </w:r>
    </w:p>
    <w:p w:rsidR="00E34CFB" w:rsidRPr="004A0E4C" w:rsidRDefault="00E34CFB" w:rsidP="004A0E4C">
      <w:pPr>
        <w:adjustRightInd w:val="0"/>
        <w:snapToGrid w:val="0"/>
        <w:spacing w:line="360" w:lineRule="auto"/>
        <w:rPr>
          <w:rFonts w:asciiTheme="minorEastAsia" w:eastAsiaTheme="minorEastAsia" w:hAnsiTheme="minorEastAsia" w:cs="Arial"/>
          <w:sz w:val="24"/>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8" w:name="_Toc124325904"/>
      <w:r w:rsidRPr="004A0E4C">
        <w:rPr>
          <w:rFonts w:asciiTheme="minorEastAsia" w:eastAsiaTheme="minorEastAsia" w:hAnsiTheme="minorEastAsia" w:hint="eastAsia"/>
          <w:sz w:val="30"/>
        </w:rPr>
        <w:t>二十、其他事项</w:t>
      </w:r>
      <w:bookmarkEnd w:id="98"/>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E34CFB" w:rsidRPr="004A0E4C" w:rsidRDefault="00E34CFB" w:rsidP="004A0E4C">
      <w:pPr>
        <w:adjustRightInd w:val="0"/>
        <w:snapToGrid w:val="0"/>
        <w:spacing w:line="360" w:lineRule="auto"/>
        <w:rPr>
          <w:rFonts w:asciiTheme="minorEastAsia" w:eastAsiaTheme="minorEastAsia" w:hAnsiTheme="minorEastAsia"/>
          <w:b/>
          <w:bCs/>
        </w:rPr>
      </w:pPr>
    </w:p>
    <w:p w:rsidR="00E34CFB" w:rsidRPr="004A0E4C" w:rsidRDefault="00E34CFB" w:rsidP="004A0E4C">
      <w:pPr>
        <w:pStyle w:val="2"/>
        <w:spacing w:line="360" w:lineRule="auto"/>
        <w:jc w:val="center"/>
        <w:rPr>
          <w:rFonts w:asciiTheme="minorEastAsia" w:eastAsiaTheme="minorEastAsia" w:hAnsiTheme="minorEastAsia"/>
          <w:sz w:val="30"/>
        </w:rPr>
      </w:pPr>
      <w:bookmarkStart w:id="99" w:name="_Toc124325905"/>
      <w:r w:rsidRPr="004A0E4C">
        <w:rPr>
          <w:rFonts w:asciiTheme="minorEastAsia" w:eastAsiaTheme="minorEastAsia" w:hAnsiTheme="minorEastAsia" w:hint="eastAsia"/>
          <w:sz w:val="30"/>
        </w:rPr>
        <w:t>二十一、托管协议的签订</w:t>
      </w:r>
      <w:bookmarkEnd w:id="99"/>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pPr>
      <w:r w:rsidRPr="004A0E4C">
        <w:rPr>
          <w:rFonts w:asciiTheme="minorEastAsia" w:eastAsiaTheme="minorEastAsia" w:hAnsiTheme="minorEastAsia" w:cs="Arial" w:hint="eastAsia"/>
          <w:sz w:val="24"/>
        </w:rPr>
        <w:t>本协议双方法定代表人或授权代表签章、签订地、签订日</w:t>
      </w:r>
    </w:p>
    <w:p w:rsidR="00E34CFB" w:rsidRPr="004A0E4C" w:rsidRDefault="00E34CFB" w:rsidP="004A0E4C">
      <w:pPr>
        <w:adjustRightInd w:val="0"/>
        <w:snapToGrid w:val="0"/>
        <w:spacing w:line="360" w:lineRule="auto"/>
        <w:ind w:firstLineChars="200" w:firstLine="480"/>
        <w:rPr>
          <w:rFonts w:asciiTheme="minorEastAsia" w:eastAsiaTheme="minorEastAsia" w:hAnsiTheme="minorEastAsia" w:cs="Arial"/>
          <w:sz w:val="24"/>
        </w:rPr>
        <w:sectPr w:rsidR="00E34CFB" w:rsidRPr="004A0E4C">
          <w:headerReference w:type="default" r:id="rId10"/>
          <w:pgSz w:w="11906" w:h="16838" w:code="9"/>
          <w:pgMar w:top="1418" w:right="1701" w:bottom="1418" w:left="1701" w:header="851" w:footer="992" w:gutter="0"/>
          <w:cols w:space="425"/>
          <w:docGrid w:type="lines" w:linePitch="312"/>
        </w:sectPr>
      </w:pPr>
    </w:p>
    <w:p w:rsidR="0046287B" w:rsidRPr="00E34CFB" w:rsidRDefault="0046287B"/>
    <w:sectPr w:rsidR="0046287B" w:rsidRPr="00E34CFB"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1E" w:rsidRDefault="00A9531E" w:rsidP="00E34CFB">
      <w:r>
        <w:separator/>
      </w:r>
    </w:p>
  </w:endnote>
  <w:endnote w:type="continuationSeparator" w:id="0">
    <w:p w:rsidR="00A9531E" w:rsidRDefault="00A9531E" w:rsidP="00E3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彩虹粗仿宋">
    <w:altName w:val="Arial Unicode MS"/>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FB" w:rsidRDefault="00E34C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4CFB" w:rsidRDefault="00E34C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FB" w:rsidRDefault="00E34C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7D0">
      <w:rPr>
        <w:rStyle w:val="a6"/>
        <w:noProof/>
      </w:rPr>
      <w:t>6</w:t>
    </w:r>
    <w:r>
      <w:rPr>
        <w:rStyle w:val="a6"/>
      </w:rPr>
      <w:fldChar w:fldCharType="end"/>
    </w:r>
  </w:p>
  <w:p w:rsidR="00E34CFB" w:rsidRDefault="00E34C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A953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1E" w:rsidRDefault="00A9531E" w:rsidP="00E34CFB">
      <w:r>
        <w:separator/>
      </w:r>
    </w:p>
  </w:footnote>
  <w:footnote w:type="continuationSeparator" w:id="0">
    <w:p w:rsidR="00A9531E" w:rsidRDefault="00A9531E" w:rsidP="00E3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FB" w:rsidRDefault="0057355C" w:rsidP="0057355C">
    <w:pPr>
      <w:pStyle w:val="a4"/>
      <w:ind w:right="720"/>
      <w:jc w:val="both"/>
    </w:pPr>
    <w:r>
      <w:rPr>
        <w:rFonts w:hint="eastAsia"/>
      </w:rPr>
      <w:t xml:space="preserve">                                            </w:t>
    </w:r>
    <w:r w:rsidR="00DF353E">
      <w:rPr>
        <w:rFonts w:hint="eastAsia"/>
      </w:rPr>
      <w:t xml:space="preserve">                                 </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A953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F1"/>
    <w:rsid w:val="0000123D"/>
    <w:rsid w:val="00004383"/>
    <w:rsid w:val="00006848"/>
    <w:rsid w:val="00007B8F"/>
    <w:rsid w:val="00010C2A"/>
    <w:rsid w:val="00011E2A"/>
    <w:rsid w:val="00013E7E"/>
    <w:rsid w:val="00014997"/>
    <w:rsid w:val="00017207"/>
    <w:rsid w:val="0001752F"/>
    <w:rsid w:val="0002054E"/>
    <w:rsid w:val="00024D33"/>
    <w:rsid w:val="000259AD"/>
    <w:rsid w:val="00025AB2"/>
    <w:rsid w:val="000269BB"/>
    <w:rsid w:val="00026FCC"/>
    <w:rsid w:val="00027419"/>
    <w:rsid w:val="00030031"/>
    <w:rsid w:val="0003080F"/>
    <w:rsid w:val="00030F99"/>
    <w:rsid w:val="00035B9D"/>
    <w:rsid w:val="00036805"/>
    <w:rsid w:val="0003757E"/>
    <w:rsid w:val="0004006C"/>
    <w:rsid w:val="00040917"/>
    <w:rsid w:val="00043993"/>
    <w:rsid w:val="00044788"/>
    <w:rsid w:val="000530E4"/>
    <w:rsid w:val="000553BD"/>
    <w:rsid w:val="00056E72"/>
    <w:rsid w:val="00060027"/>
    <w:rsid w:val="000640FC"/>
    <w:rsid w:val="000668EB"/>
    <w:rsid w:val="00067653"/>
    <w:rsid w:val="0007413C"/>
    <w:rsid w:val="00075A7C"/>
    <w:rsid w:val="00085E2B"/>
    <w:rsid w:val="000876CB"/>
    <w:rsid w:val="000911B2"/>
    <w:rsid w:val="00091605"/>
    <w:rsid w:val="00092D64"/>
    <w:rsid w:val="000945DC"/>
    <w:rsid w:val="0009752E"/>
    <w:rsid w:val="000A0485"/>
    <w:rsid w:val="000A0CE2"/>
    <w:rsid w:val="000A199C"/>
    <w:rsid w:val="000A1B4D"/>
    <w:rsid w:val="000A400C"/>
    <w:rsid w:val="000A5F8B"/>
    <w:rsid w:val="000A608B"/>
    <w:rsid w:val="000A76A1"/>
    <w:rsid w:val="000B2DD8"/>
    <w:rsid w:val="000B5B33"/>
    <w:rsid w:val="000B773D"/>
    <w:rsid w:val="000C3F26"/>
    <w:rsid w:val="000D5056"/>
    <w:rsid w:val="000D6046"/>
    <w:rsid w:val="000D7DAE"/>
    <w:rsid w:val="000E56ED"/>
    <w:rsid w:val="000F1110"/>
    <w:rsid w:val="000F315A"/>
    <w:rsid w:val="000F3926"/>
    <w:rsid w:val="000F44FD"/>
    <w:rsid w:val="000F481E"/>
    <w:rsid w:val="000F5893"/>
    <w:rsid w:val="000F7A1A"/>
    <w:rsid w:val="00101D74"/>
    <w:rsid w:val="00104198"/>
    <w:rsid w:val="00111C92"/>
    <w:rsid w:val="00112474"/>
    <w:rsid w:val="00116E9B"/>
    <w:rsid w:val="00117EA3"/>
    <w:rsid w:val="00122454"/>
    <w:rsid w:val="001232D7"/>
    <w:rsid w:val="0012460F"/>
    <w:rsid w:val="00125E29"/>
    <w:rsid w:val="00126F4F"/>
    <w:rsid w:val="001324AC"/>
    <w:rsid w:val="0013254B"/>
    <w:rsid w:val="00132554"/>
    <w:rsid w:val="00132D99"/>
    <w:rsid w:val="00141F6A"/>
    <w:rsid w:val="00144996"/>
    <w:rsid w:val="0014533E"/>
    <w:rsid w:val="0015338C"/>
    <w:rsid w:val="00153D98"/>
    <w:rsid w:val="00155904"/>
    <w:rsid w:val="001572D6"/>
    <w:rsid w:val="00161810"/>
    <w:rsid w:val="0016642D"/>
    <w:rsid w:val="00174379"/>
    <w:rsid w:val="00174E06"/>
    <w:rsid w:val="00174E65"/>
    <w:rsid w:val="00175031"/>
    <w:rsid w:val="001771DA"/>
    <w:rsid w:val="00177712"/>
    <w:rsid w:val="001802CE"/>
    <w:rsid w:val="00182BF2"/>
    <w:rsid w:val="001834E8"/>
    <w:rsid w:val="00184219"/>
    <w:rsid w:val="00186BBB"/>
    <w:rsid w:val="00190827"/>
    <w:rsid w:val="00190E6A"/>
    <w:rsid w:val="00191009"/>
    <w:rsid w:val="001919E2"/>
    <w:rsid w:val="00192CB7"/>
    <w:rsid w:val="00192EB8"/>
    <w:rsid w:val="001A37DE"/>
    <w:rsid w:val="001A6391"/>
    <w:rsid w:val="001A6734"/>
    <w:rsid w:val="001B473E"/>
    <w:rsid w:val="001B5C8B"/>
    <w:rsid w:val="001B61D9"/>
    <w:rsid w:val="001B7DD6"/>
    <w:rsid w:val="001B7F35"/>
    <w:rsid w:val="001C0EE1"/>
    <w:rsid w:val="001C3674"/>
    <w:rsid w:val="001C43AF"/>
    <w:rsid w:val="001C528C"/>
    <w:rsid w:val="001C577C"/>
    <w:rsid w:val="001D0AD3"/>
    <w:rsid w:val="001D1819"/>
    <w:rsid w:val="001D366C"/>
    <w:rsid w:val="001D5D57"/>
    <w:rsid w:val="001D65F5"/>
    <w:rsid w:val="001D73F9"/>
    <w:rsid w:val="001E0A47"/>
    <w:rsid w:val="001E1623"/>
    <w:rsid w:val="001E2972"/>
    <w:rsid w:val="001E2976"/>
    <w:rsid w:val="001E47E9"/>
    <w:rsid w:val="001E49B9"/>
    <w:rsid w:val="001E6E4B"/>
    <w:rsid w:val="001F0C8F"/>
    <w:rsid w:val="001F134A"/>
    <w:rsid w:val="001F4207"/>
    <w:rsid w:val="001F7141"/>
    <w:rsid w:val="00202170"/>
    <w:rsid w:val="00204A59"/>
    <w:rsid w:val="00206A65"/>
    <w:rsid w:val="00207ED4"/>
    <w:rsid w:val="002116E6"/>
    <w:rsid w:val="002155E6"/>
    <w:rsid w:val="002173F4"/>
    <w:rsid w:val="00221A35"/>
    <w:rsid w:val="00224668"/>
    <w:rsid w:val="00227493"/>
    <w:rsid w:val="00231E4F"/>
    <w:rsid w:val="00232989"/>
    <w:rsid w:val="00233265"/>
    <w:rsid w:val="002336C6"/>
    <w:rsid w:val="00235CDD"/>
    <w:rsid w:val="00240485"/>
    <w:rsid w:val="002412A8"/>
    <w:rsid w:val="002423FE"/>
    <w:rsid w:val="00243C82"/>
    <w:rsid w:val="00244B30"/>
    <w:rsid w:val="00245CB3"/>
    <w:rsid w:val="00245EA8"/>
    <w:rsid w:val="0024663E"/>
    <w:rsid w:val="00246B02"/>
    <w:rsid w:val="00251634"/>
    <w:rsid w:val="00251B60"/>
    <w:rsid w:val="00251F56"/>
    <w:rsid w:val="002558C7"/>
    <w:rsid w:val="00261F29"/>
    <w:rsid w:val="00265919"/>
    <w:rsid w:val="00271188"/>
    <w:rsid w:val="002735F2"/>
    <w:rsid w:val="0027457C"/>
    <w:rsid w:val="00274C42"/>
    <w:rsid w:val="00275209"/>
    <w:rsid w:val="0028068C"/>
    <w:rsid w:val="002806E0"/>
    <w:rsid w:val="00280924"/>
    <w:rsid w:val="002815C5"/>
    <w:rsid w:val="002824B9"/>
    <w:rsid w:val="00283360"/>
    <w:rsid w:val="00284805"/>
    <w:rsid w:val="00285B66"/>
    <w:rsid w:val="00290380"/>
    <w:rsid w:val="00291328"/>
    <w:rsid w:val="00291B42"/>
    <w:rsid w:val="00293162"/>
    <w:rsid w:val="002A1CEC"/>
    <w:rsid w:val="002B5041"/>
    <w:rsid w:val="002B76D8"/>
    <w:rsid w:val="002C12FB"/>
    <w:rsid w:val="002C2454"/>
    <w:rsid w:val="002C3CA4"/>
    <w:rsid w:val="002C5939"/>
    <w:rsid w:val="002C680F"/>
    <w:rsid w:val="002D53E9"/>
    <w:rsid w:val="002D5F72"/>
    <w:rsid w:val="002D69E3"/>
    <w:rsid w:val="002E0CA7"/>
    <w:rsid w:val="002E0DB2"/>
    <w:rsid w:val="002E0DEE"/>
    <w:rsid w:val="002E2D5A"/>
    <w:rsid w:val="002E3008"/>
    <w:rsid w:val="002E39CE"/>
    <w:rsid w:val="002E63F0"/>
    <w:rsid w:val="002E6E78"/>
    <w:rsid w:val="002E79C9"/>
    <w:rsid w:val="002E79D4"/>
    <w:rsid w:val="002F2B85"/>
    <w:rsid w:val="002F3F8A"/>
    <w:rsid w:val="002F42BB"/>
    <w:rsid w:val="002F5B75"/>
    <w:rsid w:val="002F6223"/>
    <w:rsid w:val="002F78A9"/>
    <w:rsid w:val="00307231"/>
    <w:rsid w:val="00307F14"/>
    <w:rsid w:val="00307FDD"/>
    <w:rsid w:val="0031640B"/>
    <w:rsid w:val="00316C10"/>
    <w:rsid w:val="0031733F"/>
    <w:rsid w:val="003216EF"/>
    <w:rsid w:val="00323199"/>
    <w:rsid w:val="00325648"/>
    <w:rsid w:val="00330A08"/>
    <w:rsid w:val="0033243F"/>
    <w:rsid w:val="00333900"/>
    <w:rsid w:val="0033425D"/>
    <w:rsid w:val="0033514B"/>
    <w:rsid w:val="00335A65"/>
    <w:rsid w:val="00335FB0"/>
    <w:rsid w:val="00337069"/>
    <w:rsid w:val="003372AD"/>
    <w:rsid w:val="003374AF"/>
    <w:rsid w:val="00340800"/>
    <w:rsid w:val="0034109C"/>
    <w:rsid w:val="003520F7"/>
    <w:rsid w:val="00352717"/>
    <w:rsid w:val="003530FD"/>
    <w:rsid w:val="003542B2"/>
    <w:rsid w:val="0035507B"/>
    <w:rsid w:val="00357491"/>
    <w:rsid w:val="0036275F"/>
    <w:rsid w:val="00362C4C"/>
    <w:rsid w:val="00363D12"/>
    <w:rsid w:val="0036699F"/>
    <w:rsid w:val="0037191A"/>
    <w:rsid w:val="003734FC"/>
    <w:rsid w:val="00374165"/>
    <w:rsid w:val="003758C3"/>
    <w:rsid w:val="003762D4"/>
    <w:rsid w:val="003777A2"/>
    <w:rsid w:val="003826BB"/>
    <w:rsid w:val="00383969"/>
    <w:rsid w:val="00383A3C"/>
    <w:rsid w:val="00384DA7"/>
    <w:rsid w:val="003861A9"/>
    <w:rsid w:val="003869BC"/>
    <w:rsid w:val="00387583"/>
    <w:rsid w:val="003908CD"/>
    <w:rsid w:val="003909AC"/>
    <w:rsid w:val="003910A4"/>
    <w:rsid w:val="00395CBF"/>
    <w:rsid w:val="00397B7D"/>
    <w:rsid w:val="003A2841"/>
    <w:rsid w:val="003A5E9C"/>
    <w:rsid w:val="003A6B5C"/>
    <w:rsid w:val="003A70A8"/>
    <w:rsid w:val="003B11A7"/>
    <w:rsid w:val="003B1D85"/>
    <w:rsid w:val="003B240E"/>
    <w:rsid w:val="003B462C"/>
    <w:rsid w:val="003B60AA"/>
    <w:rsid w:val="003B6C80"/>
    <w:rsid w:val="003C1437"/>
    <w:rsid w:val="003D0DE0"/>
    <w:rsid w:val="003D2182"/>
    <w:rsid w:val="003D2273"/>
    <w:rsid w:val="003D34ED"/>
    <w:rsid w:val="003D3522"/>
    <w:rsid w:val="003D570A"/>
    <w:rsid w:val="003D5F2A"/>
    <w:rsid w:val="003E456C"/>
    <w:rsid w:val="003E513D"/>
    <w:rsid w:val="003E53B9"/>
    <w:rsid w:val="003E562C"/>
    <w:rsid w:val="003E5C75"/>
    <w:rsid w:val="003F1060"/>
    <w:rsid w:val="003F238E"/>
    <w:rsid w:val="003F262C"/>
    <w:rsid w:val="003F4B3A"/>
    <w:rsid w:val="003F4EFF"/>
    <w:rsid w:val="003F663A"/>
    <w:rsid w:val="003F6AEE"/>
    <w:rsid w:val="00400D60"/>
    <w:rsid w:val="0040102A"/>
    <w:rsid w:val="00403847"/>
    <w:rsid w:val="00403FAC"/>
    <w:rsid w:val="00411629"/>
    <w:rsid w:val="004129DF"/>
    <w:rsid w:val="00413669"/>
    <w:rsid w:val="00414B45"/>
    <w:rsid w:val="00421472"/>
    <w:rsid w:val="004223B2"/>
    <w:rsid w:val="00422507"/>
    <w:rsid w:val="00426D9F"/>
    <w:rsid w:val="004374A5"/>
    <w:rsid w:val="00440BDB"/>
    <w:rsid w:val="00441597"/>
    <w:rsid w:val="00442EFD"/>
    <w:rsid w:val="004440F2"/>
    <w:rsid w:val="00452368"/>
    <w:rsid w:val="004572B1"/>
    <w:rsid w:val="0046121B"/>
    <w:rsid w:val="0046287B"/>
    <w:rsid w:val="0046356E"/>
    <w:rsid w:val="00463984"/>
    <w:rsid w:val="004646F0"/>
    <w:rsid w:val="004710A0"/>
    <w:rsid w:val="004712AE"/>
    <w:rsid w:val="00471336"/>
    <w:rsid w:val="004816A6"/>
    <w:rsid w:val="00481846"/>
    <w:rsid w:val="00482FF2"/>
    <w:rsid w:val="00484078"/>
    <w:rsid w:val="00484ED9"/>
    <w:rsid w:val="004857AD"/>
    <w:rsid w:val="004860A8"/>
    <w:rsid w:val="0049014B"/>
    <w:rsid w:val="0049077E"/>
    <w:rsid w:val="004921AE"/>
    <w:rsid w:val="004928E6"/>
    <w:rsid w:val="00492EBD"/>
    <w:rsid w:val="00493887"/>
    <w:rsid w:val="00496708"/>
    <w:rsid w:val="004A09DC"/>
    <w:rsid w:val="004A0E4C"/>
    <w:rsid w:val="004A559A"/>
    <w:rsid w:val="004A5B9A"/>
    <w:rsid w:val="004B0D84"/>
    <w:rsid w:val="004B3AD7"/>
    <w:rsid w:val="004C1076"/>
    <w:rsid w:val="004C3E65"/>
    <w:rsid w:val="004C5D14"/>
    <w:rsid w:val="004C696E"/>
    <w:rsid w:val="004C6EF0"/>
    <w:rsid w:val="004C79FE"/>
    <w:rsid w:val="004D0898"/>
    <w:rsid w:val="004D10B3"/>
    <w:rsid w:val="004D14B0"/>
    <w:rsid w:val="004D6191"/>
    <w:rsid w:val="004D75F4"/>
    <w:rsid w:val="004E3502"/>
    <w:rsid w:val="004E3FF1"/>
    <w:rsid w:val="004E5CE5"/>
    <w:rsid w:val="004E6125"/>
    <w:rsid w:val="004E7B5A"/>
    <w:rsid w:val="004F1759"/>
    <w:rsid w:val="004F1E76"/>
    <w:rsid w:val="004F306D"/>
    <w:rsid w:val="004F683A"/>
    <w:rsid w:val="005010AB"/>
    <w:rsid w:val="00501DBC"/>
    <w:rsid w:val="00506633"/>
    <w:rsid w:val="00507A80"/>
    <w:rsid w:val="00507A9D"/>
    <w:rsid w:val="0051111C"/>
    <w:rsid w:val="005135AB"/>
    <w:rsid w:val="005161A0"/>
    <w:rsid w:val="00517369"/>
    <w:rsid w:val="005260B8"/>
    <w:rsid w:val="00527209"/>
    <w:rsid w:val="005273D8"/>
    <w:rsid w:val="0053328B"/>
    <w:rsid w:val="00534948"/>
    <w:rsid w:val="00534DFE"/>
    <w:rsid w:val="00535072"/>
    <w:rsid w:val="005358DC"/>
    <w:rsid w:val="00535A25"/>
    <w:rsid w:val="00535A6A"/>
    <w:rsid w:val="00536C6E"/>
    <w:rsid w:val="00540848"/>
    <w:rsid w:val="00540DBB"/>
    <w:rsid w:val="00542EEC"/>
    <w:rsid w:val="00543229"/>
    <w:rsid w:val="00543346"/>
    <w:rsid w:val="00543D49"/>
    <w:rsid w:val="00545AC9"/>
    <w:rsid w:val="0055204B"/>
    <w:rsid w:val="005543D7"/>
    <w:rsid w:val="0055483C"/>
    <w:rsid w:val="00554BC1"/>
    <w:rsid w:val="005576B2"/>
    <w:rsid w:val="00557D87"/>
    <w:rsid w:val="0056103B"/>
    <w:rsid w:val="0056154F"/>
    <w:rsid w:val="0057355C"/>
    <w:rsid w:val="00573D8C"/>
    <w:rsid w:val="005741FD"/>
    <w:rsid w:val="00580439"/>
    <w:rsid w:val="00584363"/>
    <w:rsid w:val="00586A49"/>
    <w:rsid w:val="0059000C"/>
    <w:rsid w:val="005A5B4F"/>
    <w:rsid w:val="005A769B"/>
    <w:rsid w:val="005B04F1"/>
    <w:rsid w:val="005B1F55"/>
    <w:rsid w:val="005B24B2"/>
    <w:rsid w:val="005B2BCF"/>
    <w:rsid w:val="005B2CC9"/>
    <w:rsid w:val="005C28F5"/>
    <w:rsid w:val="005C5251"/>
    <w:rsid w:val="005C57FB"/>
    <w:rsid w:val="005C5924"/>
    <w:rsid w:val="005D1C96"/>
    <w:rsid w:val="005D232F"/>
    <w:rsid w:val="005D4032"/>
    <w:rsid w:val="005D4E18"/>
    <w:rsid w:val="005D6AF1"/>
    <w:rsid w:val="005E17A1"/>
    <w:rsid w:val="005E51AF"/>
    <w:rsid w:val="005E70C9"/>
    <w:rsid w:val="005E7403"/>
    <w:rsid w:val="005F0FCB"/>
    <w:rsid w:val="005F1157"/>
    <w:rsid w:val="005F162C"/>
    <w:rsid w:val="005F18C0"/>
    <w:rsid w:val="005F6911"/>
    <w:rsid w:val="005F7B68"/>
    <w:rsid w:val="0060201E"/>
    <w:rsid w:val="00602F0D"/>
    <w:rsid w:val="006048F0"/>
    <w:rsid w:val="006107A6"/>
    <w:rsid w:val="00610A23"/>
    <w:rsid w:val="0061309F"/>
    <w:rsid w:val="00613BF2"/>
    <w:rsid w:val="0061565B"/>
    <w:rsid w:val="00616886"/>
    <w:rsid w:val="00617ACA"/>
    <w:rsid w:val="006209E4"/>
    <w:rsid w:val="006264E0"/>
    <w:rsid w:val="00630A57"/>
    <w:rsid w:val="00630EC8"/>
    <w:rsid w:val="00632E9F"/>
    <w:rsid w:val="006348AB"/>
    <w:rsid w:val="00635A5F"/>
    <w:rsid w:val="0063798E"/>
    <w:rsid w:val="00640445"/>
    <w:rsid w:val="00642897"/>
    <w:rsid w:val="006448C7"/>
    <w:rsid w:val="006449CC"/>
    <w:rsid w:val="00645A01"/>
    <w:rsid w:val="006531E1"/>
    <w:rsid w:val="00654607"/>
    <w:rsid w:val="00654BD0"/>
    <w:rsid w:val="0065515C"/>
    <w:rsid w:val="006552F1"/>
    <w:rsid w:val="0065746C"/>
    <w:rsid w:val="00657B84"/>
    <w:rsid w:val="006671CD"/>
    <w:rsid w:val="0066750D"/>
    <w:rsid w:val="00671516"/>
    <w:rsid w:val="00671587"/>
    <w:rsid w:val="00674159"/>
    <w:rsid w:val="006800B9"/>
    <w:rsid w:val="00680B36"/>
    <w:rsid w:val="00680E04"/>
    <w:rsid w:val="00682771"/>
    <w:rsid w:val="0068556B"/>
    <w:rsid w:val="00687B51"/>
    <w:rsid w:val="00692150"/>
    <w:rsid w:val="00693030"/>
    <w:rsid w:val="006934D7"/>
    <w:rsid w:val="0069450B"/>
    <w:rsid w:val="00694AF2"/>
    <w:rsid w:val="00694E08"/>
    <w:rsid w:val="0069526A"/>
    <w:rsid w:val="006973A8"/>
    <w:rsid w:val="006A0295"/>
    <w:rsid w:val="006B088E"/>
    <w:rsid w:val="006B0FEB"/>
    <w:rsid w:val="006B2B49"/>
    <w:rsid w:val="006B6C6A"/>
    <w:rsid w:val="006C0433"/>
    <w:rsid w:val="006C1BE0"/>
    <w:rsid w:val="006C3EC3"/>
    <w:rsid w:val="006C469B"/>
    <w:rsid w:val="006C7134"/>
    <w:rsid w:val="006D0ACC"/>
    <w:rsid w:val="006D4A25"/>
    <w:rsid w:val="006D5BDB"/>
    <w:rsid w:val="006E5758"/>
    <w:rsid w:val="006F0263"/>
    <w:rsid w:val="006F08F6"/>
    <w:rsid w:val="006F2B82"/>
    <w:rsid w:val="006F46C9"/>
    <w:rsid w:val="007009F2"/>
    <w:rsid w:val="00704ECE"/>
    <w:rsid w:val="00705D71"/>
    <w:rsid w:val="00705EEE"/>
    <w:rsid w:val="0070605B"/>
    <w:rsid w:val="00710AF3"/>
    <w:rsid w:val="00712F99"/>
    <w:rsid w:val="00716F5A"/>
    <w:rsid w:val="007175E8"/>
    <w:rsid w:val="00721755"/>
    <w:rsid w:val="007217E7"/>
    <w:rsid w:val="00723723"/>
    <w:rsid w:val="007241B7"/>
    <w:rsid w:val="00724287"/>
    <w:rsid w:val="0072503F"/>
    <w:rsid w:val="00725930"/>
    <w:rsid w:val="0073180C"/>
    <w:rsid w:val="00732167"/>
    <w:rsid w:val="0073542A"/>
    <w:rsid w:val="00740FFA"/>
    <w:rsid w:val="00741C63"/>
    <w:rsid w:val="0074327E"/>
    <w:rsid w:val="00745543"/>
    <w:rsid w:val="00745EEC"/>
    <w:rsid w:val="007524B6"/>
    <w:rsid w:val="007530E5"/>
    <w:rsid w:val="0075323D"/>
    <w:rsid w:val="00755104"/>
    <w:rsid w:val="007565AB"/>
    <w:rsid w:val="00756AC2"/>
    <w:rsid w:val="00764A58"/>
    <w:rsid w:val="00766372"/>
    <w:rsid w:val="007711FE"/>
    <w:rsid w:val="00771E8C"/>
    <w:rsid w:val="00772400"/>
    <w:rsid w:val="0077375A"/>
    <w:rsid w:val="00776170"/>
    <w:rsid w:val="00776ADC"/>
    <w:rsid w:val="0078159A"/>
    <w:rsid w:val="00786EFE"/>
    <w:rsid w:val="00791FFD"/>
    <w:rsid w:val="007974EE"/>
    <w:rsid w:val="007A13B2"/>
    <w:rsid w:val="007A1DF9"/>
    <w:rsid w:val="007A40D7"/>
    <w:rsid w:val="007A763F"/>
    <w:rsid w:val="007B2A9C"/>
    <w:rsid w:val="007B33C2"/>
    <w:rsid w:val="007B42F4"/>
    <w:rsid w:val="007B5342"/>
    <w:rsid w:val="007B5EE0"/>
    <w:rsid w:val="007C374C"/>
    <w:rsid w:val="007C3A25"/>
    <w:rsid w:val="007C61EB"/>
    <w:rsid w:val="007C70C5"/>
    <w:rsid w:val="007D1BE4"/>
    <w:rsid w:val="007D27AE"/>
    <w:rsid w:val="007D4099"/>
    <w:rsid w:val="007D4A05"/>
    <w:rsid w:val="007D5D7D"/>
    <w:rsid w:val="007D648B"/>
    <w:rsid w:val="007D6C7E"/>
    <w:rsid w:val="007D7636"/>
    <w:rsid w:val="007E02CF"/>
    <w:rsid w:val="007E0F6A"/>
    <w:rsid w:val="007E67FF"/>
    <w:rsid w:val="007F01A0"/>
    <w:rsid w:val="007F0903"/>
    <w:rsid w:val="007F22A8"/>
    <w:rsid w:val="007F4C14"/>
    <w:rsid w:val="007F55E9"/>
    <w:rsid w:val="007F679C"/>
    <w:rsid w:val="007F70C8"/>
    <w:rsid w:val="008022BB"/>
    <w:rsid w:val="00802773"/>
    <w:rsid w:val="00803180"/>
    <w:rsid w:val="00803232"/>
    <w:rsid w:val="00803519"/>
    <w:rsid w:val="0080363D"/>
    <w:rsid w:val="00805BC0"/>
    <w:rsid w:val="00805D36"/>
    <w:rsid w:val="00807530"/>
    <w:rsid w:val="00812B42"/>
    <w:rsid w:val="00813472"/>
    <w:rsid w:val="008216CB"/>
    <w:rsid w:val="008219A7"/>
    <w:rsid w:val="0082547A"/>
    <w:rsid w:val="0082567B"/>
    <w:rsid w:val="00831291"/>
    <w:rsid w:val="008324D4"/>
    <w:rsid w:val="008365B5"/>
    <w:rsid w:val="008418BA"/>
    <w:rsid w:val="00842327"/>
    <w:rsid w:val="00842AB5"/>
    <w:rsid w:val="0084655A"/>
    <w:rsid w:val="008474B9"/>
    <w:rsid w:val="00847B9A"/>
    <w:rsid w:val="00850085"/>
    <w:rsid w:val="008515B2"/>
    <w:rsid w:val="00852C01"/>
    <w:rsid w:val="00853563"/>
    <w:rsid w:val="00867A85"/>
    <w:rsid w:val="00872015"/>
    <w:rsid w:val="00872027"/>
    <w:rsid w:val="008766CF"/>
    <w:rsid w:val="008770C1"/>
    <w:rsid w:val="00887646"/>
    <w:rsid w:val="00887683"/>
    <w:rsid w:val="00893C2A"/>
    <w:rsid w:val="00896A49"/>
    <w:rsid w:val="008A03BA"/>
    <w:rsid w:val="008A1C0C"/>
    <w:rsid w:val="008A34B8"/>
    <w:rsid w:val="008A6097"/>
    <w:rsid w:val="008A7F8A"/>
    <w:rsid w:val="008B1404"/>
    <w:rsid w:val="008B4AD1"/>
    <w:rsid w:val="008B6D7B"/>
    <w:rsid w:val="008C05A0"/>
    <w:rsid w:val="008C1D27"/>
    <w:rsid w:val="008C518D"/>
    <w:rsid w:val="008C5338"/>
    <w:rsid w:val="008C5970"/>
    <w:rsid w:val="008D23DA"/>
    <w:rsid w:val="008D2726"/>
    <w:rsid w:val="008D38AB"/>
    <w:rsid w:val="008D3A3E"/>
    <w:rsid w:val="008D65A2"/>
    <w:rsid w:val="008D6B31"/>
    <w:rsid w:val="008D70A3"/>
    <w:rsid w:val="008D7D86"/>
    <w:rsid w:val="008E1C29"/>
    <w:rsid w:val="008E6A30"/>
    <w:rsid w:val="008E79EA"/>
    <w:rsid w:val="008F00A2"/>
    <w:rsid w:val="008F0FCC"/>
    <w:rsid w:val="008F37D0"/>
    <w:rsid w:val="008F4A1E"/>
    <w:rsid w:val="00900C4E"/>
    <w:rsid w:val="009010FC"/>
    <w:rsid w:val="0090323E"/>
    <w:rsid w:val="00904584"/>
    <w:rsid w:val="00906E23"/>
    <w:rsid w:val="00907E7B"/>
    <w:rsid w:val="0091126E"/>
    <w:rsid w:val="0092116E"/>
    <w:rsid w:val="009265FF"/>
    <w:rsid w:val="0092695F"/>
    <w:rsid w:val="009275C4"/>
    <w:rsid w:val="0093054D"/>
    <w:rsid w:val="009316DE"/>
    <w:rsid w:val="009347DF"/>
    <w:rsid w:val="00934B61"/>
    <w:rsid w:val="00936F87"/>
    <w:rsid w:val="00940087"/>
    <w:rsid w:val="009440DB"/>
    <w:rsid w:val="009463F9"/>
    <w:rsid w:val="0094724D"/>
    <w:rsid w:val="00950F71"/>
    <w:rsid w:val="009513D6"/>
    <w:rsid w:val="009542A7"/>
    <w:rsid w:val="00956075"/>
    <w:rsid w:val="0096486F"/>
    <w:rsid w:val="00966371"/>
    <w:rsid w:val="00973EFC"/>
    <w:rsid w:val="009807C1"/>
    <w:rsid w:val="00980B72"/>
    <w:rsid w:val="0098172F"/>
    <w:rsid w:val="00984F7D"/>
    <w:rsid w:val="0098506B"/>
    <w:rsid w:val="009933BB"/>
    <w:rsid w:val="00995DE9"/>
    <w:rsid w:val="00996772"/>
    <w:rsid w:val="009979CB"/>
    <w:rsid w:val="009A08DB"/>
    <w:rsid w:val="009A3159"/>
    <w:rsid w:val="009A3D37"/>
    <w:rsid w:val="009A5094"/>
    <w:rsid w:val="009A57EB"/>
    <w:rsid w:val="009A7ACC"/>
    <w:rsid w:val="009B018B"/>
    <w:rsid w:val="009B219E"/>
    <w:rsid w:val="009B268A"/>
    <w:rsid w:val="009B3D19"/>
    <w:rsid w:val="009B3DC0"/>
    <w:rsid w:val="009B58BC"/>
    <w:rsid w:val="009B5FDC"/>
    <w:rsid w:val="009B7EC5"/>
    <w:rsid w:val="009B7F2F"/>
    <w:rsid w:val="009C106B"/>
    <w:rsid w:val="009C2161"/>
    <w:rsid w:val="009C5C40"/>
    <w:rsid w:val="009D1B63"/>
    <w:rsid w:val="009D2B9B"/>
    <w:rsid w:val="009D3360"/>
    <w:rsid w:val="009D7597"/>
    <w:rsid w:val="009E13F3"/>
    <w:rsid w:val="009E2E0B"/>
    <w:rsid w:val="009E66D2"/>
    <w:rsid w:val="009F0C04"/>
    <w:rsid w:val="009F35EB"/>
    <w:rsid w:val="009F3B8C"/>
    <w:rsid w:val="009F5596"/>
    <w:rsid w:val="009F60C1"/>
    <w:rsid w:val="00A0700A"/>
    <w:rsid w:val="00A0761A"/>
    <w:rsid w:val="00A13377"/>
    <w:rsid w:val="00A20BFC"/>
    <w:rsid w:val="00A30429"/>
    <w:rsid w:val="00A310B2"/>
    <w:rsid w:val="00A359D0"/>
    <w:rsid w:val="00A40BC5"/>
    <w:rsid w:val="00A41AB4"/>
    <w:rsid w:val="00A426E4"/>
    <w:rsid w:val="00A43954"/>
    <w:rsid w:val="00A43AEA"/>
    <w:rsid w:val="00A465E0"/>
    <w:rsid w:val="00A52B1E"/>
    <w:rsid w:val="00A52B48"/>
    <w:rsid w:val="00A52EA3"/>
    <w:rsid w:val="00A54E79"/>
    <w:rsid w:val="00A56CFD"/>
    <w:rsid w:val="00A570E9"/>
    <w:rsid w:val="00A576FA"/>
    <w:rsid w:val="00A62E06"/>
    <w:rsid w:val="00A6670A"/>
    <w:rsid w:val="00A73434"/>
    <w:rsid w:val="00A743F6"/>
    <w:rsid w:val="00A76E75"/>
    <w:rsid w:val="00A77E91"/>
    <w:rsid w:val="00A8126B"/>
    <w:rsid w:val="00A861F6"/>
    <w:rsid w:val="00A86468"/>
    <w:rsid w:val="00A90F4F"/>
    <w:rsid w:val="00A9189B"/>
    <w:rsid w:val="00A93191"/>
    <w:rsid w:val="00A9361D"/>
    <w:rsid w:val="00A9531E"/>
    <w:rsid w:val="00A9758A"/>
    <w:rsid w:val="00AA1581"/>
    <w:rsid w:val="00AA1F60"/>
    <w:rsid w:val="00AA295A"/>
    <w:rsid w:val="00AA364C"/>
    <w:rsid w:val="00AB1452"/>
    <w:rsid w:val="00AB34B0"/>
    <w:rsid w:val="00AB494F"/>
    <w:rsid w:val="00AB5487"/>
    <w:rsid w:val="00AB7664"/>
    <w:rsid w:val="00AC08DA"/>
    <w:rsid w:val="00AC2D8E"/>
    <w:rsid w:val="00AC3EEF"/>
    <w:rsid w:val="00AC5615"/>
    <w:rsid w:val="00AD0603"/>
    <w:rsid w:val="00AD0E6A"/>
    <w:rsid w:val="00AD0FBC"/>
    <w:rsid w:val="00AD4C7A"/>
    <w:rsid w:val="00AD4EC8"/>
    <w:rsid w:val="00AD4EE2"/>
    <w:rsid w:val="00AD6D44"/>
    <w:rsid w:val="00AE19B1"/>
    <w:rsid w:val="00AE24A0"/>
    <w:rsid w:val="00AE264C"/>
    <w:rsid w:val="00AE5614"/>
    <w:rsid w:val="00AF6511"/>
    <w:rsid w:val="00AF7BDE"/>
    <w:rsid w:val="00AF7C54"/>
    <w:rsid w:val="00B03C7C"/>
    <w:rsid w:val="00B05518"/>
    <w:rsid w:val="00B06202"/>
    <w:rsid w:val="00B10379"/>
    <w:rsid w:val="00B11574"/>
    <w:rsid w:val="00B12B57"/>
    <w:rsid w:val="00B12FAC"/>
    <w:rsid w:val="00B136CB"/>
    <w:rsid w:val="00B14344"/>
    <w:rsid w:val="00B1439B"/>
    <w:rsid w:val="00B21CC1"/>
    <w:rsid w:val="00B223B1"/>
    <w:rsid w:val="00B23563"/>
    <w:rsid w:val="00B24FBF"/>
    <w:rsid w:val="00B25721"/>
    <w:rsid w:val="00B27341"/>
    <w:rsid w:val="00B2762D"/>
    <w:rsid w:val="00B300DB"/>
    <w:rsid w:val="00B30FB1"/>
    <w:rsid w:val="00B31D97"/>
    <w:rsid w:val="00B333E1"/>
    <w:rsid w:val="00B339F6"/>
    <w:rsid w:val="00B35424"/>
    <w:rsid w:val="00B36AAD"/>
    <w:rsid w:val="00B4322A"/>
    <w:rsid w:val="00B44884"/>
    <w:rsid w:val="00B50E6F"/>
    <w:rsid w:val="00B5424B"/>
    <w:rsid w:val="00B56605"/>
    <w:rsid w:val="00B567DC"/>
    <w:rsid w:val="00B60B40"/>
    <w:rsid w:val="00B639E4"/>
    <w:rsid w:val="00B63EF5"/>
    <w:rsid w:val="00B66729"/>
    <w:rsid w:val="00B66B3F"/>
    <w:rsid w:val="00B66DAD"/>
    <w:rsid w:val="00B677E4"/>
    <w:rsid w:val="00B70599"/>
    <w:rsid w:val="00B705BD"/>
    <w:rsid w:val="00B7169F"/>
    <w:rsid w:val="00B75E18"/>
    <w:rsid w:val="00B85C88"/>
    <w:rsid w:val="00B86516"/>
    <w:rsid w:val="00B86B01"/>
    <w:rsid w:val="00B87913"/>
    <w:rsid w:val="00B91581"/>
    <w:rsid w:val="00B91BCB"/>
    <w:rsid w:val="00B9538C"/>
    <w:rsid w:val="00B95713"/>
    <w:rsid w:val="00B97F49"/>
    <w:rsid w:val="00BA0618"/>
    <w:rsid w:val="00BA4B31"/>
    <w:rsid w:val="00BB0510"/>
    <w:rsid w:val="00BB2D2C"/>
    <w:rsid w:val="00BB435E"/>
    <w:rsid w:val="00BB6179"/>
    <w:rsid w:val="00BB7E26"/>
    <w:rsid w:val="00BC0FD5"/>
    <w:rsid w:val="00BC1A05"/>
    <w:rsid w:val="00BC3F18"/>
    <w:rsid w:val="00BC4497"/>
    <w:rsid w:val="00BC4745"/>
    <w:rsid w:val="00BC68C1"/>
    <w:rsid w:val="00BC7301"/>
    <w:rsid w:val="00BD09AD"/>
    <w:rsid w:val="00BD2A37"/>
    <w:rsid w:val="00BD535A"/>
    <w:rsid w:val="00BD55BD"/>
    <w:rsid w:val="00BD56DE"/>
    <w:rsid w:val="00BD5753"/>
    <w:rsid w:val="00BD5B87"/>
    <w:rsid w:val="00BE0ABA"/>
    <w:rsid w:val="00BE3A17"/>
    <w:rsid w:val="00BE66E8"/>
    <w:rsid w:val="00BE6FF2"/>
    <w:rsid w:val="00BF0DF1"/>
    <w:rsid w:val="00BF2452"/>
    <w:rsid w:val="00BF4CA4"/>
    <w:rsid w:val="00BF629A"/>
    <w:rsid w:val="00C00B54"/>
    <w:rsid w:val="00C01648"/>
    <w:rsid w:val="00C07791"/>
    <w:rsid w:val="00C13A2F"/>
    <w:rsid w:val="00C14FBC"/>
    <w:rsid w:val="00C153DC"/>
    <w:rsid w:val="00C17E59"/>
    <w:rsid w:val="00C21136"/>
    <w:rsid w:val="00C22341"/>
    <w:rsid w:val="00C225FA"/>
    <w:rsid w:val="00C251FB"/>
    <w:rsid w:val="00C25EB4"/>
    <w:rsid w:val="00C261EB"/>
    <w:rsid w:val="00C2744B"/>
    <w:rsid w:val="00C329A8"/>
    <w:rsid w:val="00C40E04"/>
    <w:rsid w:val="00C412DE"/>
    <w:rsid w:val="00C4344B"/>
    <w:rsid w:val="00C43F43"/>
    <w:rsid w:val="00C45CDA"/>
    <w:rsid w:val="00C476E5"/>
    <w:rsid w:val="00C50964"/>
    <w:rsid w:val="00C52FE9"/>
    <w:rsid w:val="00C5397E"/>
    <w:rsid w:val="00C54A31"/>
    <w:rsid w:val="00C56EAF"/>
    <w:rsid w:val="00C57E52"/>
    <w:rsid w:val="00C60732"/>
    <w:rsid w:val="00C67A42"/>
    <w:rsid w:val="00C72607"/>
    <w:rsid w:val="00C72F4B"/>
    <w:rsid w:val="00C757E9"/>
    <w:rsid w:val="00C76595"/>
    <w:rsid w:val="00C77F21"/>
    <w:rsid w:val="00C81D11"/>
    <w:rsid w:val="00C83D1D"/>
    <w:rsid w:val="00C912AD"/>
    <w:rsid w:val="00C9172B"/>
    <w:rsid w:val="00C942CC"/>
    <w:rsid w:val="00C94566"/>
    <w:rsid w:val="00C957A6"/>
    <w:rsid w:val="00CA0E86"/>
    <w:rsid w:val="00CA128A"/>
    <w:rsid w:val="00CA1300"/>
    <w:rsid w:val="00CA15E8"/>
    <w:rsid w:val="00CA2C1C"/>
    <w:rsid w:val="00CA2E14"/>
    <w:rsid w:val="00CA457E"/>
    <w:rsid w:val="00CA5027"/>
    <w:rsid w:val="00CA5800"/>
    <w:rsid w:val="00CB0E8A"/>
    <w:rsid w:val="00CB30CE"/>
    <w:rsid w:val="00CB41AF"/>
    <w:rsid w:val="00CC1813"/>
    <w:rsid w:val="00CC59B8"/>
    <w:rsid w:val="00CD18F7"/>
    <w:rsid w:val="00CD1B1A"/>
    <w:rsid w:val="00CD4A29"/>
    <w:rsid w:val="00CD535B"/>
    <w:rsid w:val="00CD7B1F"/>
    <w:rsid w:val="00CE1AE8"/>
    <w:rsid w:val="00CE39E1"/>
    <w:rsid w:val="00CE454A"/>
    <w:rsid w:val="00CE455A"/>
    <w:rsid w:val="00CE5EDE"/>
    <w:rsid w:val="00CE5FD8"/>
    <w:rsid w:val="00CE68AE"/>
    <w:rsid w:val="00CE69F2"/>
    <w:rsid w:val="00CF1538"/>
    <w:rsid w:val="00CF3F77"/>
    <w:rsid w:val="00CF4E07"/>
    <w:rsid w:val="00CF6EB1"/>
    <w:rsid w:val="00CF6EDF"/>
    <w:rsid w:val="00CF7392"/>
    <w:rsid w:val="00D00072"/>
    <w:rsid w:val="00D01BFF"/>
    <w:rsid w:val="00D06391"/>
    <w:rsid w:val="00D07118"/>
    <w:rsid w:val="00D11C22"/>
    <w:rsid w:val="00D13D71"/>
    <w:rsid w:val="00D20F30"/>
    <w:rsid w:val="00D213F2"/>
    <w:rsid w:val="00D21B5F"/>
    <w:rsid w:val="00D2443C"/>
    <w:rsid w:val="00D26AB8"/>
    <w:rsid w:val="00D35615"/>
    <w:rsid w:val="00D37767"/>
    <w:rsid w:val="00D37793"/>
    <w:rsid w:val="00D37F84"/>
    <w:rsid w:val="00D4514E"/>
    <w:rsid w:val="00D46A3F"/>
    <w:rsid w:val="00D51524"/>
    <w:rsid w:val="00D5185E"/>
    <w:rsid w:val="00D51BFA"/>
    <w:rsid w:val="00D57F51"/>
    <w:rsid w:val="00D6243E"/>
    <w:rsid w:val="00D625EB"/>
    <w:rsid w:val="00D6539E"/>
    <w:rsid w:val="00D67756"/>
    <w:rsid w:val="00D7147A"/>
    <w:rsid w:val="00D7289E"/>
    <w:rsid w:val="00D74D99"/>
    <w:rsid w:val="00D74E16"/>
    <w:rsid w:val="00D752AF"/>
    <w:rsid w:val="00D77169"/>
    <w:rsid w:val="00D77D77"/>
    <w:rsid w:val="00D83F29"/>
    <w:rsid w:val="00D877B5"/>
    <w:rsid w:val="00D90082"/>
    <w:rsid w:val="00D9230E"/>
    <w:rsid w:val="00DA0698"/>
    <w:rsid w:val="00DA2223"/>
    <w:rsid w:val="00DA2D9C"/>
    <w:rsid w:val="00DA36DD"/>
    <w:rsid w:val="00DA3A9B"/>
    <w:rsid w:val="00DA4FEB"/>
    <w:rsid w:val="00DA59D8"/>
    <w:rsid w:val="00DA6A21"/>
    <w:rsid w:val="00DA7E08"/>
    <w:rsid w:val="00DB11D6"/>
    <w:rsid w:val="00DC1082"/>
    <w:rsid w:val="00DC2802"/>
    <w:rsid w:val="00DC3539"/>
    <w:rsid w:val="00DC358B"/>
    <w:rsid w:val="00DC5548"/>
    <w:rsid w:val="00DC768A"/>
    <w:rsid w:val="00DD023B"/>
    <w:rsid w:val="00DD1019"/>
    <w:rsid w:val="00DD369B"/>
    <w:rsid w:val="00DD6C48"/>
    <w:rsid w:val="00DD6F45"/>
    <w:rsid w:val="00DE49D4"/>
    <w:rsid w:val="00DE5082"/>
    <w:rsid w:val="00DE522C"/>
    <w:rsid w:val="00DE6A45"/>
    <w:rsid w:val="00DE77F1"/>
    <w:rsid w:val="00DF353E"/>
    <w:rsid w:val="00DF5C7E"/>
    <w:rsid w:val="00DF683E"/>
    <w:rsid w:val="00DF6DD6"/>
    <w:rsid w:val="00DF6EF8"/>
    <w:rsid w:val="00E00779"/>
    <w:rsid w:val="00E0587A"/>
    <w:rsid w:val="00E06B4F"/>
    <w:rsid w:val="00E10BA5"/>
    <w:rsid w:val="00E22267"/>
    <w:rsid w:val="00E2464D"/>
    <w:rsid w:val="00E323F1"/>
    <w:rsid w:val="00E34851"/>
    <w:rsid w:val="00E34CFB"/>
    <w:rsid w:val="00E50920"/>
    <w:rsid w:val="00E53493"/>
    <w:rsid w:val="00E56418"/>
    <w:rsid w:val="00E57FD9"/>
    <w:rsid w:val="00E6128D"/>
    <w:rsid w:val="00E65885"/>
    <w:rsid w:val="00E6590A"/>
    <w:rsid w:val="00E65D18"/>
    <w:rsid w:val="00E66593"/>
    <w:rsid w:val="00E728A1"/>
    <w:rsid w:val="00E729F8"/>
    <w:rsid w:val="00E74A7A"/>
    <w:rsid w:val="00E7606C"/>
    <w:rsid w:val="00E83797"/>
    <w:rsid w:val="00E83E34"/>
    <w:rsid w:val="00E84C4D"/>
    <w:rsid w:val="00E84F91"/>
    <w:rsid w:val="00E86064"/>
    <w:rsid w:val="00E86EA3"/>
    <w:rsid w:val="00E870CE"/>
    <w:rsid w:val="00E9374C"/>
    <w:rsid w:val="00E9389A"/>
    <w:rsid w:val="00E95085"/>
    <w:rsid w:val="00EA1EFB"/>
    <w:rsid w:val="00EA2513"/>
    <w:rsid w:val="00EA567F"/>
    <w:rsid w:val="00EA7BB3"/>
    <w:rsid w:val="00EB070F"/>
    <w:rsid w:val="00EB09B9"/>
    <w:rsid w:val="00EB3FBD"/>
    <w:rsid w:val="00EB4500"/>
    <w:rsid w:val="00EB4B54"/>
    <w:rsid w:val="00EB60A1"/>
    <w:rsid w:val="00EB79F4"/>
    <w:rsid w:val="00EC0B92"/>
    <w:rsid w:val="00EC1081"/>
    <w:rsid w:val="00EC35C4"/>
    <w:rsid w:val="00EC37FE"/>
    <w:rsid w:val="00EC429B"/>
    <w:rsid w:val="00EC451A"/>
    <w:rsid w:val="00EC5374"/>
    <w:rsid w:val="00EC65BF"/>
    <w:rsid w:val="00ED0DBE"/>
    <w:rsid w:val="00ED6545"/>
    <w:rsid w:val="00EE0FBE"/>
    <w:rsid w:val="00EE4B47"/>
    <w:rsid w:val="00EF03BF"/>
    <w:rsid w:val="00EF32A7"/>
    <w:rsid w:val="00EF3843"/>
    <w:rsid w:val="00EF42FE"/>
    <w:rsid w:val="00EF5096"/>
    <w:rsid w:val="00EF73D5"/>
    <w:rsid w:val="00F016C6"/>
    <w:rsid w:val="00F03096"/>
    <w:rsid w:val="00F031D6"/>
    <w:rsid w:val="00F03C85"/>
    <w:rsid w:val="00F03DB2"/>
    <w:rsid w:val="00F048D8"/>
    <w:rsid w:val="00F04953"/>
    <w:rsid w:val="00F07F35"/>
    <w:rsid w:val="00F13736"/>
    <w:rsid w:val="00F13976"/>
    <w:rsid w:val="00F16228"/>
    <w:rsid w:val="00F178D2"/>
    <w:rsid w:val="00F22BCF"/>
    <w:rsid w:val="00F26AE7"/>
    <w:rsid w:val="00F315D6"/>
    <w:rsid w:val="00F317EA"/>
    <w:rsid w:val="00F32A49"/>
    <w:rsid w:val="00F361F9"/>
    <w:rsid w:val="00F36CC0"/>
    <w:rsid w:val="00F40740"/>
    <w:rsid w:val="00F43906"/>
    <w:rsid w:val="00F46D61"/>
    <w:rsid w:val="00F4732E"/>
    <w:rsid w:val="00F53A62"/>
    <w:rsid w:val="00F548D1"/>
    <w:rsid w:val="00F54BE3"/>
    <w:rsid w:val="00F57BA4"/>
    <w:rsid w:val="00F64315"/>
    <w:rsid w:val="00F65585"/>
    <w:rsid w:val="00F729F0"/>
    <w:rsid w:val="00F75DCF"/>
    <w:rsid w:val="00F77F7A"/>
    <w:rsid w:val="00F8404F"/>
    <w:rsid w:val="00F84480"/>
    <w:rsid w:val="00F879B7"/>
    <w:rsid w:val="00F90321"/>
    <w:rsid w:val="00F9079F"/>
    <w:rsid w:val="00F92AD1"/>
    <w:rsid w:val="00F93273"/>
    <w:rsid w:val="00F9352C"/>
    <w:rsid w:val="00F970FF"/>
    <w:rsid w:val="00F97188"/>
    <w:rsid w:val="00FA00DC"/>
    <w:rsid w:val="00FA089D"/>
    <w:rsid w:val="00FA0FD0"/>
    <w:rsid w:val="00FA20F7"/>
    <w:rsid w:val="00FA2425"/>
    <w:rsid w:val="00FA3908"/>
    <w:rsid w:val="00FA55A9"/>
    <w:rsid w:val="00FB0F11"/>
    <w:rsid w:val="00FB12DB"/>
    <w:rsid w:val="00FB2938"/>
    <w:rsid w:val="00FB2DDA"/>
    <w:rsid w:val="00FB2E6D"/>
    <w:rsid w:val="00FB2FC2"/>
    <w:rsid w:val="00FB6302"/>
    <w:rsid w:val="00FB7059"/>
    <w:rsid w:val="00FC1520"/>
    <w:rsid w:val="00FC5630"/>
    <w:rsid w:val="00FC638A"/>
    <w:rsid w:val="00FD2C45"/>
    <w:rsid w:val="00FD301F"/>
    <w:rsid w:val="00FD5F66"/>
    <w:rsid w:val="00FD775D"/>
    <w:rsid w:val="00FD7E03"/>
    <w:rsid w:val="00FE1000"/>
    <w:rsid w:val="00FE3083"/>
    <w:rsid w:val="00FE311F"/>
    <w:rsid w:val="00FE4247"/>
    <w:rsid w:val="00FE713F"/>
    <w:rsid w:val="00FE7171"/>
    <w:rsid w:val="00FF5645"/>
    <w:rsid w:val="00FF5A1E"/>
    <w:rsid w:val="00FF5CFE"/>
    <w:rsid w:val="00FF5F4A"/>
    <w:rsid w:val="00FF63BA"/>
    <w:rsid w:val="00F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FB"/>
    <w:pPr>
      <w:widowControl w:val="0"/>
      <w:jc w:val="both"/>
    </w:pPr>
    <w:rPr>
      <w:rFonts w:ascii="Times New Roman" w:eastAsia="宋体" w:hAnsi="Times New Roman" w:cs="Times New Roman"/>
      <w:szCs w:val="24"/>
    </w:rPr>
  </w:style>
  <w:style w:type="paragraph" w:styleId="2">
    <w:name w:val="heading 2"/>
    <w:basedOn w:val="a"/>
    <w:next w:val="a0"/>
    <w:link w:val="2Char"/>
    <w:qFormat/>
    <w:rsid w:val="00E34CF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34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34CFB"/>
    <w:rPr>
      <w:sz w:val="18"/>
      <w:szCs w:val="18"/>
    </w:rPr>
  </w:style>
  <w:style w:type="paragraph" w:styleId="a5">
    <w:name w:val="footer"/>
    <w:basedOn w:val="a"/>
    <w:link w:val="Char0"/>
    <w:unhideWhenUsed/>
    <w:rsid w:val="00E34CFB"/>
    <w:pPr>
      <w:tabs>
        <w:tab w:val="center" w:pos="4153"/>
        <w:tab w:val="right" w:pos="8306"/>
      </w:tabs>
      <w:snapToGrid w:val="0"/>
      <w:jc w:val="left"/>
    </w:pPr>
    <w:rPr>
      <w:sz w:val="18"/>
      <w:szCs w:val="18"/>
    </w:rPr>
  </w:style>
  <w:style w:type="character" w:customStyle="1" w:styleId="Char0">
    <w:name w:val="页脚 Char"/>
    <w:basedOn w:val="a1"/>
    <w:link w:val="a5"/>
    <w:uiPriority w:val="99"/>
    <w:rsid w:val="00E34CFB"/>
    <w:rPr>
      <w:sz w:val="18"/>
      <w:szCs w:val="18"/>
    </w:rPr>
  </w:style>
  <w:style w:type="character" w:customStyle="1" w:styleId="2Char">
    <w:name w:val="标题 2 Char"/>
    <w:basedOn w:val="a1"/>
    <w:link w:val="2"/>
    <w:rsid w:val="00E34CFB"/>
    <w:rPr>
      <w:rFonts w:ascii="Arial" w:eastAsia="黑体" w:hAnsi="Arial" w:cs="Times New Roman"/>
      <w:b/>
      <w:sz w:val="32"/>
      <w:szCs w:val="20"/>
    </w:rPr>
  </w:style>
  <w:style w:type="character" w:styleId="a6">
    <w:name w:val="page number"/>
    <w:basedOn w:val="a1"/>
    <w:rsid w:val="00E34CFB"/>
  </w:style>
  <w:style w:type="paragraph" w:styleId="a7">
    <w:name w:val="Normal (Web)"/>
    <w:basedOn w:val="a"/>
    <w:rsid w:val="00E34CF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34CFB"/>
    <w:rPr>
      <w:b/>
      <w:bCs/>
    </w:rPr>
  </w:style>
  <w:style w:type="character" w:styleId="a9">
    <w:name w:val="Hyperlink"/>
    <w:basedOn w:val="a1"/>
    <w:rsid w:val="00E34CFB"/>
    <w:rPr>
      <w:color w:val="0000FF"/>
      <w:u w:val="single"/>
    </w:rPr>
  </w:style>
  <w:style w:type="paragraph" w:customStyle="1" w:styleId="wz1">
    <w:name w:val="wz1"/>
    <w:basedOn w:val="a"/>
    <w:rsid w:val="00E34CF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34CF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34CFB"/>
    <w:rPr>
      <w:rFonts w:ascii="仿宋_GB2312" w:eastAsia="仿宋_GB2312" w:hAnsi="Times New Roman" w:cs="Times New Roman"/>
      <w:color w:val="000000"/>
      <w:kern w:val="0"/>
      <w:sz w:val="24"/>
      <w:szCs w:val="28"/>
    </w:rPr>
  </w:style>
  <w:style w:type="character" w:customStyle="1" w:styleId="read">
    <w:name w:val="read"/>
    <w:basedOn w:val="a1"/>
    <w:rsid w:val="00E34CFB"/>
  </w:style>
  <w:style w:type="paragraph" w:styleId="a0">
    <w:name w:val="Normal Indent"/>
    <w:basedOn w:val="a"/>
    <w:rsid w:val="00E34CFB"/>
    <w:pPr>
      <w:ind w:firstLineChars="200" w:firstLine="420"/>
    </w:pPr>
  </w:style>
  <w:style w:type="paragraph" w:styleId="ab">
    <w:name w:val="Body Text Indent"/>
    <w:basedOn w:val="a"/>
    <w:link w:val="Char2"/>
    <w:rsid w:val="00E34CF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34CFB"/>
    <w:rPr>
      <w:rFonts w:ascii="Times New Roman" w:eastAsia="方正仿宋简体" w:hAnsi="Times New Roman" w:cs="Times New Roman"/>
      <w:sz w:val="24"/>
      <w:szCs w:val="30"/>
    </w:rPr>
  </w:style>
  <w:style w:type="paragraph" w:styleId="20">
    <w:name w:val="Body Text Indent 2"/>
    <w:basedOn w:val="a"/>
    <w:link w:val="2Char0"/>
    <w:rsid w:val="00E34CFB"/>
    <w:pPr>
      <w:spacing w:line="360" w:lineRule="auto"/>
      <w:ind w:firstLine="525"/>
    </w:pPr>
    <w:rPr>
      <w:rFonts w:ascii="宋体" w:hAnsi="宋体"/>
      <w:sz w:val="28"/>
      <w:szCs w:val="20"/>
    </w:rPr>
  </w:style>
  <w:style w:type="character" w:customStyle="1" w:styleId="2Char0">
    <w:name w:val="正文文本缩进 2 Char"/>
    <w:basedOn w:val="a1"/>
    <w:link w:val="20"/>
    <w:rsid w:val="00E34CFB"/>
    <w:rPr>
      <w:rFonts w:ascii="宋体" w:eastAsia="宋体" w:hAnsi="宋体" w:cs="Times New Roman"/>
      <w:sz w:val="28"/>
      <w:szCs w:val="20"/>
    </w:rPr>
  </w:style>
  <w:style w:type="paragraph" w:styleId="3">
    <w:name w:val="Body Text Indent 3"/>
    <w:basedOn w:val="a"/>
    <w:link w:val="3Char"/>
    <w:rsid w:val="00E34CF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34CFB"/>
    <w:rPr>
      <w:rFonts w:ascii="仿宋_GB2312" w:eastAsia="仿宋_GB2312" w:hAnsi="宋体" w:cs="Arial"/>
      <w:color w:val="000000"/>
      <w:sz w:val="24"/>
      <w:szCs w:val="24"/>
    </w:rPr>
  </w:style>
  <w:style w:type="paragraph" w:styleId="1">
    <w:name w:val="toc 1"/>
    <w:basedOn w:val="a"/>
    <w:next w:val="a"/>
    <w:autoRedefine/>
    <w:semiHidden/>
    <w:rsid w:val="00E34CFB"/>
  </w:style>
  <w:style w:type="paragraph" w:styleId="21">
    <w:name w:val="toc 2"/>
    <w:basedOn w:val="a"/>
    <w:next w:val="a"/>
    <w:autoRedefine/>
    <w:semiHidden/>
    <w:rsid w:val="00E34CFB"/>
    <w:pPr>
      <w:ind w:leftChars="200" w:left="420"/>
    </w:pPr>
  </w:style>
  <w:style w:type="paragraph" w:styleId="30">
    <w:name w:val="toc 3"/>
    <w:basedOn w:val="a"/>
    <w:next w:val="a"/>
    <w:autoRedefine/>
    <w:semiHidden/>
    <w:rsid w:val="00E34CFB"/>
    <w:pPr>
      <w:ind w:leftChars="400" w:left="840"/>
    </w:pPr>
  </w:style>
  <w:style w:type="paragraph" w:styleId="4">
    <w:name w:val="toc 4"/>
    <w:basedOn w:val="a"/>
    <w:next w:val="a"/>
    <w:autoRedefine/>
    <w:semiHidden/>
    <w:rsid w:val="00E34CFB"/>
    <w:pPr>
      <w:ind w:leftChars="600" w:left="1260"/>
    </w:pPr>
  </w:style>
  <w:style w:type="paragraph" w:styleId="5">
    <w:name w:val="toc 5"/>
    <w:basedOn w:val="a"/>
    <w:next w:val="a"/>
    <w:autoRedefine/>
    <w:semiHidden/>
    <w:rsid w:val="00E34CFB"/>
    <w:pPr>
      <w:ind w:leftChars="800" w:left="1680"/>
    </w:pPr>
  </w:style>
  <w:style w:type="paragraph" w:styleId="6">
    <w:name w:val="toc 6"/>
    <w:basedOn w:val="a"/>
    <w:next w:val="a"/>
    <w:autoRedefine/>
    <w:semiHidden/>
    <w:rsid w:val="00E34CFB"/>
    <w:pPr>
      <w:ind w:leftChars="1000" w:left="2100"/>
    </w:pPr>
  </w:style>
  <w:style w:type="paragraph" w:styleId="7">
    <w:name w:val="toc 7"/>
    <w:basedOn w:val="a"/>
    <w:next w:val="a"/>
    <w:autoRedefine/>
    <w:semiHidden/>
    <w:rsid w:val="00E34CFB"/>
    <w:pPr>
      <w:ind w:leftChars="1200" w:left="2520"/>
    </w:pPr>
  </w:style>
  <w:style w:type="paragraph" w:styleId="8">
    <w:name w:val="toc 8"/>
    <w:basedOn w:val="a"/>
    <w:next w:val="a"/>
    <w:autoRedefine/>
    <w:semiHidden/>
    <w:rsid w:val="00E34CFB"/>
    <w:pPr>
      <w:ind w:leftChars="1400" w:left="2940"/>
    </w:pPr>
  </w:style>
  <w:style w:type="paragraph" w:styleId="9">
    <w:name w:val="toc 9"/>
    <w:basedOn w:val="a"/>
    <w:next w:val="a"/>
    <w:autoRedefine/>
    <w:semiHidden/>
    <w:rsid w:val="00E34CFB"/>
    <w:pPr>
      <w:ind w:leftChars="1600" w:left="3360"/>
    </w:pPr>
  </w:style>
  <w:style w:type="paragraph" w:styleId="ac">
    <w:name w:val="Balloon Text"/>
    <w:basedOn w:val="a"/>
    <w:link w:val="Char3"/>
    <w:semiHidden/>
    <w:rsid w:val="00E34CFB"/>
    <w:rPr>
      <w:sz w:val="18"/>
      <w:szCs w:val="18"/>
    </w:rPr>
  </w:style>
  <w:style w:type="character" w:customStyle="1" w:styleId="Char3">
    <w:name w:val="批注框文本 Char"/>
    <w:basedOn w:val="a1"/>
    <w:link w:val="ac"/>
    <w:semiHidden/>
    <w:rsid w:val="00E34CFB"/>
    <w:rPr>
      <w:rFonts w:ascii="Times New Roman" w:eastAsia="宋体" w:hAnsi="Times New Roman" w:cs="Times New Roman"/>
      <w:sz w:val="18"/>
      <w:szCs w:val="18"/>
    </w:rPr>
  </w:style>
  <w:style w:type="paragraph" w:customStyle="1" w:styleId="Char4">
    <w:name w:val="Char"/>
    <w:basedOn w:val="a"/>
    <w:rsid w:val="00E34CFB"/>
  </w:style>
  <w:style w:type="paragraph" w:customStyle="1" w:styleId="Char10">
    <w:name w:val="Char1"/>
    <w:basedOn w:val="a"/>
    <w:autoRedefine/>
    <w:rsid w:val="00E34CF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34CFB"/>
  </w:style>
  <w:style w:type="character" w:styleId="ad">
    <w:name w:val="annotation reference"/>
    <w:basedOn w:val="a1"/>
    <w:semiHidden/>
    <w:rsid w:val="00E34CFB"/>
    <w:rPr>
      <w:sz w:val="21"/>
      <w:szCs w:val="21"/>
    </w:rPr>
  </w:style>
  <w:style w:type="paragraph" w:styleId="ae">
    <w:name w:val="annotation text"/>
    <w:basedOn w:val="a"/>
    <w:link w:val="Char5"/>
    <w:semiHidden/>
    <w:rsid w:val="00E34CFB"/>
    <w:pPr>
      <w:jc w:val="left"/>
    </w:pPr>
  </w:style>
  <w:style w:type="character" w:customStyle="1" w:styleId="Char5">
    <w:name w:val="批注文字 Char"/>
    <w:basedOn w:val="a1"/>
    <w:link w:val="ae"/>
    <w:semiHidden/>
    <w:rsid w:val="00E34CF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34CFB"/>
  </w:style>
  <w:style w:type="paragraph" w:customStyle="1" w:styleId="CharChar">
    <w:name w:val="Char Char"/>
    <w:basedOn w:val="a"/>
    <w:rsid w:val="00E34CFB"/>
    <w:rPr>
      <w:szCs w:val="20"/>
    </w:rPr>
  </w:style>
  <w:style w:type="paragraph" w:styleId="HTML">
    <w:name w:val="HTML Preformatted"/>
    <w:basedOn w:val="a"/>
    <w:link w:val="HTMLChar"/>
    <w:uiPriority w:val="99"/>
    <w:unhideWhenUsed/>
    <w:rsid w:val="00E34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34CFB"/>
    <w:rPr>
      <w:rFonts w:ascii="宋体" w:eastAsia="宋体" w:hAnsi="宋体" w:cs="宋体"/>
      <w:kern w:val="0"/>
      <w:sz w:val="24"/>
      <w:szCs w:val="24"/>
    </w:rPr>
  </w:style>
  <w:style w:type="paragraph" w:styleId="af">
    <w:name w:val="annotation subject"/>
    <w:basedOn w:val="ae"/>
    <w:next w:val="ae"/>
    <w:link w:val="Char6"/>
    <w:rsid w:val="00E34CFB"/>
    <w:rPr>
      <w:b/>
      <w:bCs/>
    </w:rPr>
  </w:style>
  <w:style w:type="character" w:customStyle="1" w:styleId="Char6">
    <w:name w:val="批注主题 Char"/>
    <w:basedOn w:val="Char5"/>
    <w:link w:val="af"/>
    <w:rsid w:val="00E34CFB"/>
    <w:rPr>
      <w:rFonts w:ascii="Times New Roman" w:eastAsia="宋体" w:hAnsi="Times New Roman" w:cs="Times New Roman"/>
      <w:b/>
      <w:bCs/>
      <w:szCs w:val="24"/>
    </w:rPr>
  </w:style>
  <w:style w:type="paragraph" w:customStyle="1" w:styleId="af0">
    <w:uiPriority w:val="99"/>
    <w:unhideWhenUsed/>
    <w:rsid w:val="00E34CFB"/>
  </w:style>
  <w:style w:type="paragraph" w:styleId="af1">
    <w:name w:val="Revision"/>
    <w:hidden/>
    <w:uiPriority w:val="99"/>
    <w:semiHidden/>
    <w:rsid w:val="00E34CFB"/>
    <w:rPr>
      <w:rFonts w:ascii="Times New Roman" w:eastAsia="宋体" w:hAnsi="Times New Roman" w:cs="Times New Roman"/>
      <w:szCs w:val="24"/>
    </w:rPr>
  </w:style>
  <w:style w:type="character" w:styleId="af2">
    <w:name w:val="FollowedHyperlink"/>
    <w:basedOn w:val="a1"/>
    <w:uiPriority w:val="99"/>
    <w:semiHidden/>
    <w:unhideWhenUsed/>
    <w:rsid w:val="00E34C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FB"/>
    <w:pPr>
      <w:widowControl w:val="0"/>
      <w:jc w:val="both"/>
    </w:pPr>
    <w:rPr>
      <w:rFonts w:ascii="Times New Roman" w:eastAsia="宋体" w:hAnsi="Times New Roman" w:cs="Times New Roman"/>
      <w:szCs w:val="24"/>
    </w:rPr>
  </w:style>
  <w:style w:type="paragraph" w:styleId="2">
    <w:name w:val="heading 2"/>
    <w:basedOn w:val="a"/>
    <w:next w:val="a0"/>
    <w:link w:val="2Char"/>
    <w:qFormat/>
    <w:rsid w:val="00E34CF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34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34CFB"/>
    <w:rPr>
      <w:sz w:val="18"/>
      <w:szCs w:val="18"/>
    </w:rPr>
  </w:style>
  <w:style w:type="paragraph" w:styleId="a5">
    <w:name w:val="footer"/>
    <w:basedOn w:val="a"/>
    <w:link w:val="Char0"/>
    <w:unhideWhenUsed/>
    <w:rsid w:val="00E34CFB"/>
    <w:pPr>
      <w:tabs>
        <w:tab w:val="center" w:pos="4153"/>
        <w:tab w:val="right" w:pos="8306"/>
      </w:tabs>
      <w:snapToGrid w:val="0"/>
      <w:jc w:val="left"/>
    </w:pPr>
    <w:rPr>
      <w:sz w:val="18"/>
      <w:szCs w:val="18"/>
    </w:rPr>
  </w:style>
  <w:style w:type="character" w:customStyle="1" w:styleId="Char0">
    <w:name w:val="页脚 Char"/>
    <w:basedOn w:val="a1"/>
    <w:link w:val="a5"/>
    <w:uiPriority w:val="99"/>
    <w:rsid w:val="00E34CFB"/>
    <w:rPr>
      <w:sz w:val="18"/>
      <w:szCs w:val="18"/>
    </w:rPr>
  </w:style>
  <w:style w:type="character" w:customStyle="1" w:styleId="2Char">
    <w:name w:val="标题 2 Char"/>
    <w:basedOn w:val="a1"/>
    <w:link w:val="2"/>
    <w:rsid w:val="00E34CFB"/>
    <w:rPr>
      <w:rFonts w:ascii="Arial" w:eastAsia="黑体" w:hAnsi="Arial" w:cs="Times New Roman"/>
      <w:b/>
      <w:sz w:val="32"/>
      <w:szCs w:val="20"/>
    </w:rPr>
  </w:style>
  <w:style w:type="character" w:styleId="a6">
    <w:name w:val="page number"/>
    <w:basedOn w:val="a1"/>
    <w:rsid w:val="00E34CFB"/>
  </w:style>
  <w:style w:type="paragraph" w:styleId="a7">
    <w:name w:val="Normal (Web)"/>
    <w:basedOn w:val="a"/>
    <w:rsid w:val="00E34CF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34CFB"/>
    <w:rPr>
      <w:b/>
      <w:bCs/>
    </w:rPr>
  </w:style>
  <w:style w:type="character" w:styleId="a9">
    <w:name w:val="Hyperlink"/>
    <w:basedOn w:val="a1"/>
    <w:rsid w:val="00E34CFB"/>
    <w:rPr>
      <w:color w:val="0000FF"/>
      <w:u w:val="single"/>
    </w:rPr>
  </w:style>
  <w:style w:type="paragraph" w:customStyle="1" w:styleId="wz1">
    <w:name w:val="wz1"/>
    <w:basedOn w:val="a"/>
    <w:rsid w:val="00E34CF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34CF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34CFB"/>
    <w:rPr>
      <w:rFonts w:ascii="仿宋_GB2312" w:eastAsia="仿宋_GB2312" w:hAnsi="Times New Roman" w:cs="Times New Roman"/>
      <w:color w:val="000000"/>
      <w:kern w:val="0"/>
      <w:sz w:val="24"/>
      <w:szCs w:val="28"/>
    </w:rPr>
  </w:style>
  <w:style w:type="character" w:customStyle="1" w:styleId="read">
    <w:name w:val="read"/>
    <w:basedOn w:val="a1"/>
    <w:rsid w:val="00E34CFB"/>
  </w:style>
  <w:style w:type="paragraph" w:styleId="a0">
    <w:name w:val="Normal Indent"/>
    <w:basedOn w:val="a"/>
    <w:rsid w:val="00E34CFB"/>
    <w:pPr>
      <w:ind w:firstLineChars="200" w:firstLine="420"/>
    </w:pPr>
  </w:style>
  <w:style w:type="paragraph" w:styleId="ab">
    <w:name w:val="Body Text Indent"/>
    <w:basedOn w:val="a"/>
    <w:link w:val="Char2"/>
    <w:rsid w:val="00E34CF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34CFB"/>
    <w:rPr>
      <w:rFonts w:ascii="Times New Roman" w:eastAsia="方正仿宋简体" w:hAnsi="Times New Roman" w:cs="Times New Roman"/>
      <w:sz w:val="24"/>
      <w:szCs w:val="30"/>
    </w:rPr>
  </w:style>
  <w:style w:type="paragraph" w:styleId="20">
    <w:name w:val="Body Text Indent 2"/>
    <w:basedOn w:val="a"/>
    <w:link w:val="2Char0"/>
    <w:rsid w:val="00E34CFB"/>
    <w:pPr>
      <w:spacing w:line="360" w:lineRule="auto"/>
      <w:ind w:firstLine="525"/>
    </w:pPr>
    <w:rPr>
      <w:rFonts w:ascii="宋体" w:hAnsi="宋体"/>
      <w:sz w:val="28"/>
      <w:szCs w:val="20"/>
    </w:rPr>
  </w:style>
  <w:style w:type="character" w:customStyle="1" w:styleId="2Char0">
    <w:name w:val="正文文本缩进 2 Char"/>
    <w:basedOn w:val="a1"/>
    <w:link w:val="20"/>
    <w:rsid w:val="00E34CFB"/>
    <w:rPr>
      <w:rFonts w:ascii="宋体" w:eastAsia="宋体" w:hAnsi="宋体" w:cs="Times New Roman"/>
      <w:sz w:val="28"/>
      <w:szCs w:val="20"/>
    </w:rPr>
  </w:style>
  <w:style w:type="paragraph" w:styleId="3">
    <w:name w:val="Body Text Indent 3"/>
    <w:basedOn w:val="a"/>
    <w:link w:val="3Char"/>
    <w:rsid w:val="00E34CF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34CFB"/>
    <w:rPr>
      <w:rFonts w:ascii="仿宋_GB2312" w:eastAsia="仿宋_GB2312" w:hAnsi="宋体" w:cs="Arial"/>
      <w:color w:val="000000"/>
      <w:sz w:val="24"/>
      <w:szCs w:val="24"/>
    </w:rPr>
  </w:style>
  <w:style w:type="paragraph" w:styleId="1">
    <w:name w:val="toc 1"/>
    <w:basedOn w:val="a"/>
    <w:next w:val="a"/>
    <w:autoRedefine/>
    <w:semiHidden/>
    <w:rsid w:val="00E34CFB"/>
  </w:style>
  <w:style w:type="paragraph" w:styleId="21">
    <w:name w:val="toc 2"/>
    <w:basedOn w:val="a"/>
    <w:next w:val="a"/>
    <w:autoRedefine/>
    <w:semiHidden/>
    <w:rsid w:val="00E34CFB"/>
    <w:pPr>
      <w:ind w:leftChars="200" w:left="420"/>
    </w:pPr>
  </w:style>
  <w:style w:type="paragraph" w:styleId="30">
    <w:name w:val="toc 3"/>
    <w:basedOn w:val="a"/>
    <w:next w:val="a"/>
    <w:autoRedefine/>
    <w:semiHidden/>
    <w:rsid w:val="00E34CFB"/>
    <w:pPr>
      <w:ind w:leftChars="400" w:left="840"/>
    </w:pPr>
  </w:style>
  <w:style w:type="paragraph" w:styleId="4">
    <w:name w:val="toc 4"/>
    <w:basedOn w:val="a"/>
    <w:next w:val="a"/>
    <w:autoRedefine/>
    <w:semiHidden/>
    <w:rsid w:val="00E34CFB"/>
    <w:pPr>
      <w:ind w:leftChars="600" w:left="1260"/>
    </w:pPr>
  </w:style>
  <w:style w:type="paragraph" w:styleId="5">
    <w:name w:val="toc 5"/>
    <w:basedOn w:val="a"/>
    <w:next w:val="a"/>
    <w:autoRedefine/>
    <w:semiHidden/>
    <w:rsid w:val="00E34CFB"/>
    <w:pPr>
      <w:ind w:leftChars="800" w:left="1680"/>
    </w:pPr>
  </w:style>
  <w:style w:type="paragraph" w:styleId="6">
    <w:name w:val="toc 6"/>
    <w:basedOn w:val="a"/>
    <w:next w:val="a"/>
    <w:autoRedefine/>
    <w:semiHidden/>
    <w:rsid w:val="00E34CFB"/>
    <w:pPr>
      <w:ind w:leftChars="1000" w:left="2100"/>
    </w:pPr>
  </w:style>
  <w:style w:type="paragraph" w:styleId="7">
    <w:name w:val="toc 7"/>
    <w:basedOn w:val="a"/>
    <w:next w:val="a"/>
    <w:autoRedefine/>
    <w:semiHidden/>
    <w:rsid w:val="00E34CFB"/>
    <w:pPr>
      <w:ind w:leftChars="1200" w:left="2520"/>
    </w:pPr>
  </w:style>
  <w:style w:type="paragraph" w:styleId="8">
    <w:name w:val="toc 8"/>
    <w:basedOn w:val="a"/>
    <w:next w:val="a"/>
    <w:autoRedefine/>
    <w:semiHidden/>
    <w:rsid w:val="00E34CFB"/>
    <w:pPr>
      <w:ind w:leftChars="1400" w:left="2940"/>
    </w:pPr>
  </w:style>
  <w:style w:type="paragraph" w:styleId="9">
    <w:name w:val="toc 9"/>
    <w:basedOn w:val="a"/>
    <w:next w:val="a"/>
    <w:autoRedefine/>
    <w:semiHidden/>
    <w:rsid w:val="00E34CFB"/>
    <w:pPr>
      <w:ind w:leftChars="1600" w:left="3360"/>
    </w:pPr>
  </w:style>
  <w:style w:type="paragraph" w:styleId="ac">
    <w:name w:val="Balloon Text"/>
    <w:basedOn w:val="a"/>
    <w:link w:val="Char3"/>
    <w:semiHidden/>
    <w:rsid w:val="00E34CFB"/>
    <w:rPr>
      <w:sz w:val="18"/>
      <w:szCs w:val="18"/>
    </w:rPr>
  </w:style>
  <w:style w:type="character" w:customStyle="1" w:styleId="Char3">
    <w:name w:val="批注框文本 Char"/>
    <w:basedOn w:val="a1"/>
    <w:link w:val="ac"/>
    <w:semiHidden/>
    <w:rsid w:val="00E34CFB"/>
    <w:rPr>
      <w:rFonts w:ascii="Times New Roman" w:eastAsia="宋体" w:hAnsi="Times New Roman" w:cs="Times New Roman"/>
      <w:sz w:val="18"/>
      <w:szCs w:val="18"/>
    </w:rPr>
  </w:style>
  <w:style w:type="paragraph" w:customStyle="1" w:styleId="Char4">
    <w:name w:val="Char"/>
    <w:basedOn w:val="a"/>
    <w:rsid w:val="00E34CFB"/>
  </w:style>
  <w:style w:type="paragraph" w:customStyle="1" w:styleId="Char10">
    <w:name w:val="Char1"/>
    <w:basedOn w:val="a"/>
    <w:autoRedefine/>
    <w:rsid w:val="00E34CF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34CFB"/>
  </w:style>
  <w:style w:type="character" w:styleId="ad">
    <w:name w:val="annotation reference"/>
    <w:basedOn w:val="a1"/>
    <w:semiHidden/>
    <w:rsid w:val="00E34CFB"/>
    <w:rPr>
      <w:sz w:val="21"/>
      <w:szCs w:val="21"/>
    </w:rPr>
  </w:style>
  <w:style w:type="paragraph" w:styleId="ae">
    <w:name w:val="annotation text"/>
    <w:basedOn w:val="a"/>
    <w:link w:val="Char5"/>
    <w:semiHidden/>
    <w:rsid w:val="00E34CFB"/>
    <w:pPr>
      <w:jc w:val="left"/>
    </w:pPr>
  </w:style>
  <w:style w:type="character" w:customStyle="1" w:styleId="Char5">
    <w:name w:val="批注文字 Char"/>
    <w:basedOn w:val="a1"/>
    <w:link w:val="ae"/>
    <w:semiHidden/>
    <w:rsid w:val="00E34CF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34CFB"/>
  </w:style>
  <w:style w:type="paragraph" w:customStyle="1" w:styleId="CharChar">
    <w:name w:val="Char Char"/>
    <w:basedOn w:val="a"/>
    <w:rsid w:val="00E34CFB"/>
    <w:rPr>
      <w:szCs w:val="20"/>
    </w:rPr>
  </w:style>
  <w:style w:type="paragraph" w:styleId="HTML">
    <w:name w:val="HTML Preformatted"/>
    <w:basedOn w:val="a"/>
    <w:link w:val="HTMLChar"/>
    <w:uiPriority w:val="99"/>
    <w:unhideWhenUsed/>
    <w:rsid w:val="00E34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34CFB"/>
    <w:rPr>
      <w:rFonts w:ascii="宋体" w:eastAsia="宋体" w:hAnsi="宋体" w:cs="宋体"/>
      <w:kern w:val="0"/>
      <w:sz w:val="24"/>
      <w:szCs w:val="24"/>
    </w:rPr>
  </w:style>
  <w:style w:type="paragraph" w:styleId="af">
    <w:name w:val="annotation subject"/>
    <w:basedOn w:val="ae"/>
    <w:next w:val="ae"/>
    <w:link w:val="Char6"/>
    <w:rsid w:val="00E34CFB"/>
    <w:rPr>
      <w:b/>
      <w:bCs/>
    </w:rPr>
  </w:style>
  <w:style w:type="character" w:customStyle="1" w:styleId="Char6">
    <w:name w:val="批注主题 Char"/>
    <w:basedOn w:val="Char5"/>
    <w:link w:val="af"/>
    <w:rsid w:val="00E34CFB"/>
    <w:rPr>
      <w:rFonts w:ascii="Times New Roman" w:eastAsia="宋体" w:hAnsi="Times New Roman" w:cs="Times New Roman"/>
      <w:b/>
      <w:bCs/>
      <w:szCs w:val="24"/>
    </w:rPr>
  </w:style>
  <w:style w:type="paragraph" w:customStyle="1" w:styleId="af0">
    <w:uiPriority w:val="99"/>
    <w:unhideWhenUsed/>
    <w:rsid w:val="00E34CFB"/>
  </w:style>
  <w:style w:type="paragraph" w:styleId="af1">
    <w:name w:val="Revision"/>
    <w:hidden/>
    <w:uiPriority w:val="99"/>
    <w:semiHidden/>
    <w:rsid w:val="00E34CFB"/>
    <w:rPr>
      <w:rFonts w:ascii="Times New Roman" w:eastAsia="宋体" w:hAnsi="Times New Roman" w:cs="Times New Roman"/>
      <w:szCs w:val="24"/>
    </w:rPr>
  </w:style>
  <w:style w:type="character" w:styleId="af2">
    <w:name w:val="FollowedHyperlink"/>
    <w:basedOn w:val="a1"/>
    <w:uiPriority w:val="99"/>
    <w:semiHidden/>
    <w:unhideWhenUsed/>
    <w:rsid w:val="00E34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5999">
      <w:bodyDiv w:val="1"/>
      <w:marLeft w:val="0"/>
      <w:marRight w:val="0"/>
      <w:marTop w:val="0"/>
      <w:marBottom w:val="0"/>
      <w:divBdr>
        <w:top w:val="none" w:sz="0" w:space="0" w:color="auto"/>
        <w:left w:val="none" w:sz="0" w:space="0" w:color="auto"/>
        <w:bottom w:val="none" w:sz="0" w:space="0" w:color="auto"/>
        <w:right w:val="none" w:sz="0" w:space="0" w:color="auto"/>
      </w:divBdr>
    </w:div>
    <w:div w:id="20348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4387</Words>
  <Characters>25011</Characters>
  <Application>Microsoft Office Word</Application>
  <DocSecurity>0</DocSecurity>
  <Lines>208</Lines>
  <Paragraphs>58</Paragraphs>
  <ScaleCrop>false</ScaleCrop>
  <Company/>
  <LinksUpToDate>false</LinksUpToDate>
  <CharactersWithSpaces>29340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钱令希1</dc:creator>
  <cp:lastModifiedBy>陈璘</cp:lastModifiedBy>
  <cp:revision>3</cp:revision>
  <cp:lastPrinted>2016-01-26T07:16:00Z</cp:lastPrinted>
  <dcterms:created xsi:type="dcterms:W3CDTF">2016-04-13T02:40:00Z</dcterms:created>
  <dcterms:modified xsi:type="dcterms:W3CDTF">2016-04-13T02:41:00Z</dcterms:modified>
</cp:coreProperties>
</file>