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A0F22" w14:textId="77777777" w:rsidR="005B7AA2" w:rsidRDefault="005B7AA2">
      <w:pPr>
        <w:adjustRightInd w:val="0"/>
        <w:snapToGrid w:val="0"/>
        <w:spacing w:line="360" w:lineRule="auto"/>
        <w:jc w:val="center"/>
        <w:rPr>
          <w:rFonts w:ascii="宋体" w:hAnsi="宋体" w:cs="Arial"/>
          <w:sz w:val="24"/>
        </w:rPr>
      </w:pPr>
    </w:p>
    <w:p w14:paraId="469393F2" w14:textId="77777777" w:rsidR="005B7AA2" w:rsidRDefault="005B7AA2">
      <w:pPr>
        <w:adjustRightInd w:val="0"/>
        <w:snapToGrid w:val="0"/>
        <w:spacing w:line="360" w:lineRule="auto"/>
        <w:jc w:val="center"/>
        <w:rPr>
          <w:rFonts w:ascii="宋体" w:hAnsi="宋体" w:cs="Arial"/>
          <w:sz w:val="24"/>
        </w:rPr>
      </w:pPr>
    </w:p>
    <w:p w14:paraId="269F89DA" w14:textId="77777777" w:rsidR="005B7AA2" w:rsidRDefault="005B7AA2">
      <w:pPr>
        <w:adjustRightInd w:val="0"/>
        <w:snapToGrid w:val="0"/>
        <w:spacing w:line="360" w:lineRule="auto"/>
        <w:jc w:val="center"/>
        <w:rPr>
          <w:rFonts w:ascii="宋体" w:hAnsi="宋体" w:cs="Arial"/>
          <w:sz w:val="24"/>
        </w:rPr>
      </w:pPr>
    </w:p>
    <w:p w14:paraId="517828FD" w14:textId="77777777" w:rsidR="005B7AA2" w:rsidRDefault="005B7AA2">
      <w:pPr>
        <w:adjustRightInd w:val="0"/>
        <w:snapToGrid w:val="0"/>
        <w:spacing w:line="360" w:lineRule="auto"/>
        <w:jc w:val="center"/>
        <w:rPr>
          <w:rFonts w:ascii="宋体" w:hAnsi="宋体" w:cs="Arial"/>
          <w:sz w:val="24"/>
        </w:rPr>
      </w:pPr>
    </w:p>
    <w:p w14:paraId="09C965FA" w14:textId="77777777" w:rsidR="005B7AA2" w:rsidRDefault="005B7AA2">
      <w:pPr>
        <w:adjustRightInd w:val="0"/>
        <w:snapToGrid w:val="0"/>
        <w:spacing w:line="360" w:lineRule="auto"/>
        <w:jc w:val="center"/>
        <w:rPr>
          <w:rFonts w:ascii="宋体" w:hAnsi="宋体" w:cs="Arial"/>
          <w:sz w:val="24"/>
        </w:rPr>
      </w:pPr>
    </w:p>
    <w:p w14:paraId="0E59E929" w14:textId="77777777" w:rsidR="005B7AA2" w:rsidRDefault="005B7AA2">
      <w:pPr>
        <w:adjustRightInd w:val="0"/>
        <w:snapToGrid w:val="0"/>
        <w:spacing w:line="360" w:lineRule="auto"/>
        <w:jc w:val="center"/>
        <w:rPr>
          <w:rFonts w:ascii="宋体" w:hAnsi="宋体" w:cs="Arial"/>
          <w:sz w:val="24"/>
        </w:rPr>
      </w:pPr>
    </w:p>
    <w:p w14:paraId="2A528C5C" w14:textId="77777777" w:rsidR="005B7AA2" w:rsidRDefault="005B7AA2">
      <w:pPr>
        <w:adjustRightInd w:val="0"/>
        <w:snapToGrid w:val="0"/>
        <w:spacing w:line="360" w:lineRule="auto"/>
        <w:jc w:val="center"/>
        <w:rPr>
          <w:rFonts w:ascii="宋体" w:hAnsi="宋体" w:cs="Arial"/>
          <w:sz w:val="24"/>
        </w:rPr>
      </w:pPr>
    </w:p>
    <w:p w14:paraId="3BDF5D52" w14:textId="77777777" w:rsidR="005B7AA2" w:rsidRDefault="005B7AA2">
      <w:pPr>
        <w:adjustRightInd w:val="0"/>
        <w:snapToGrid w:val="0"/>
        <w:spacing w:line="360" w:lineRule="auto"/>
        <w:jc w:val="center"/>
        <w:rPr>
          <w:rFonts w:ascii="宋体" w:hAnsi="宋体" w:cs="Arial"/>
          <w:sz w:val="24"/>
        </w:rPr>
      </w:pPr>
    </w:p>
    <w:p w14:paraId="030BD99A" w14:textId="77777777" w:rsidR="005B7AA2" w:rsidRDefault="005B7AA2">
      <w:pPr>
        <w:adjustRightInd w:val="0"/>
        <w:snapToGrid w:val="0"/>
        <w:spacing w:line="360" w:lineRule="auto"/>
        <w:jc w:val="center"/>
        <w:rPr>
          <w:rFonts w:ascii="宋体" w:hAnsi="宋体" w:cs="Arial"/>
          <w:sz w:val="24"/>
        </w:rPr>
      </w:pPr>
    </w:p>
    <w:p w14:paraId="78A78F01" w14:textId="77777777" w:rsidR="005B7AA2" w:rsidRDefault="005B7AA2">
      <w:pPr>
        <w:adjustRightInd w:val="0"/>
        <w:snapToGrid w:val="0"/>
        <w:spacing w:line="360" w:lineRule="auto"/>
        <w:jc w:val="center"/>
        <w:rPr>
          <w:rFonts w:ascii="宋体" w:hAnsi="宋体" w:cs="Arial"/>
          <w:sz w:val="24"/>
        </w:rPr>
      </w:pPr>
    </w:p>
    <w:p w14:paraId="4F26240F" w14:textId="77777777" w:rsidR="005B7AA2" w:rsidRDefault="005B7AA2">
      <w:pPr>
        <w:adjustRightInd w:val="0"/>
        <w:snapToGrid w:val="0"/>
        <w:spacing w:line="360" w:lineRule="auto"/>
        <w:jc w:val="center"/>
        <w:rPr>
          <w:rFonts w:ascii="宋体" w:hAnsi="宋体" w:cs="Arial"/>
          <w:sz w:val="24"/>
        </w:rPr>
      </w:pPr>
    </w:p>
    <w:p w14:paraId="0430AA31" w14:textId="77777777" w:rsidR="00F93683" w:rsidRDefault="00E50B4E">
      <w:pPr>
        <w:adjustRightInd w:val="0"/>
        <w:snapToGrid w:val="0"/>
        <w:spacing w:line="360" w:lineRule="auto"/>
        <w:jc w:val="center"/>
        <w:rPr>
          <w:rFonts w:ascii="宋体" w:hAnsi="宋体" w:cs="Arial"/>
          <w:b/>
          <w:sz w:val="44"/>
        </w:rPr>
      </w:pPr>
      <w:r>
        <w:rPr>
          <w:rFonts w:ascii="宋体" w:hAnsi="宋体" w:cs="Arial" w:hint="eastAsia"/>
          <w:b/>
          <w:sz w:val="44"/>
        </w:rPr>
        <w:t>广发优选回报混合型证券投资基金</w:t>
      </w:r>
    </w:p>
    <w:p w14:paraId="55C20DB6" w14:textId="4F827974" w:rsidR="005B7AA2" w:rsidRDefault="00E50B4E">
      <w:pPr>
        <w:adjustRightInd w:val="0"/>
        <w:snapToGrid w:val="0"/>
        <w:spacing w:line="360" w:lineRule="auto"/>
        <w:jc w:val="center"/>
        <w:rPr>
          <w:rFonts w:ascii="宋体" w:hAnsi="宋体" w:cs="Arial"/>
          <w:b/>
          <w:sz w:val="44"/>
        </w:rPr>
      </w:pPr>
      <w:r>
        <w:rPr>
          <w:rFonts w:ascii="宋体" w:hAnsi="宋体" w:cs="Arial" w:hint="eastAsia"/>
          <w:b/>
          <w:sz w:val="44"/>
        </w:rPr>
        <w:t>托管协议</w:t>
      </w:r>
    </w:p>
    <w:p w14:paraId="1094DC42" w14:textId="77777777" w:rsidR="005B7AA2" w:rsidRDefault="005B7AA2">
      <w:pPr>
        <w:adjustRightInd w:val="0"/>
        <w:snapToGrid w:val="0"/>
        <w:spacing w:line="360" w:lineRule="auto"/>
        <w:jc w:val="center"/>
        <w:outlineLvl w:val="0"/>
        <w:rPr>
          <w:rFonts w:ascii="宋体" w:hAnsi="宋体" w:cs="Arial"/>
          <w:sz w:val="24"/>
        </w:rPr>
      </w:pPr>
    </w:p>
    <w:p w14:paraId="39D27AFC" w14:textId="77777777" w:rsidR="005B7AA2" w:rsidRDefault="005B7AA2">
      <w:pPr>
        <w:adjustRightInd w:val="0"/>
        <w:snapToGrid w:val="0"/>
        <w:spacing w:line="360" w:lineRule="auto"/>
        <w:jc w:val="center"/>
        <w:outlineLvl w:val="0"/>
        <w:rPr>
          <w:rFonts w:ascii="宋体" w:hAnsi="宋体" w:cs="Arial"/>
          <w:sz w:val="24"/>
        </w:rPr>
      </w:pPr>
    </w:p>
    <w:p w14:paraId="5AC4F96D" w14:textId="77777777" w:rsidR="005B7AA2" w:rsidRDefault="005B7AA2">
      <w:pPr>
        <w:adjustRightInd w:val="0"/>
        <w:snapToGrid w:val="0"/>
        <w:spacing w:line="360" w:lineRule="auto"/>
        <w:jc w:val="center"/>
        <w:outlineLvl w:val="0"/>
        <w:rPr>
          <w:rFonts w:ascii="宋体" w:hAnsi="宋体" w:cs="Arial"/>
          <w:sz w:val="24"/>
        </w:rPr>
      </w:pPr>
    </w:p>
    <w:p w14:paraId="51A1A94E" w14:textId="77777777" w:rsidR="005B7AA2" w:rsidRDefault="005B7AA2">
      <w:pPr>
        <w:adjustRightInd w:val="0"/>
        <w:snapToGrid w:val="0"/>
        <w:spacing w:line="360" w:lineRule="auto"/>
        <w:jc w:val="center"/>
        <w:outlineLvl w:val="0"/>
        <w:rPr>
          <w:rFonts w:ascii="宋体" w:hAnsi="宋体" w:cs="Arial"/>
          <w:sz w:val="24"/>
        </w:rPr>
      </w:pPr>
    </w:p>
    <w:p w14:paraId="41E905F4" w14:textId="77777777" w:rsidR="005B7AA2" w:rsidRDefault="005B7AA2">
      <w:pPr>
        <w:adjustRightInd w:val="0"/>
        <w:snapToGrid w:val="0"/>
        <w:spacing w:line="360" w:lineRule="auto"/>
        <w:jc w:val="center"/>
        <w:outlineLvl w:val="0"/>
        <w:rPr>
          <w:rFonts w:ascii="宋体" w:hAnsi="宋体" w:cs="Arial"/>
          <w:sz w:val="24"/>
        </w:rPr>
      </w:pPr>
    </w:p>
    <w:p w14:paraId="23963BB5" w14:textId="77777777" w:rsidR="005B7AA2" w:rsidRDefault="005B7AA2">
      <w:pPr>
        <w:adjustRightInd w:val="0"/>
        <w:snapToGrid w:val="0"/>
        <w:spacing w:line="360" w:lineRule="auto"/>
        <w:jc w:val="center"/>
        <w:outlineLvl w:val="0"/>
        <w:rPr>
          <w:rFonts w:ascii="宋体" w:hAnsi="宋体" w:cs="Arial"/>
          <w:sz w:val="24"/>
        </w:rPr>
      </w:pPr>
    </w:p>
    <w:p w14:paraId="557D4EF7" w14:textId="77777777" w:rsidR="005B7AA2" w:rsidRDefault="00E50B4E">
      <w:pPr>
        <w:adjustRightInd w:val="0"/>
        <w:snapToGrid w:val="0"/>
        <w:spacing w:line="360" w:lineRule="auto"/>
        <w:jc w:val="center"/>
        <w:outlineLvl w:val="0"/>
        <w:rPr>
          <w:rFonts w:ascii="宋体" w:hAnsi="宋体" w:cs="Arial"/>
          <w:b/>
          <w:bCs/>
          <w:sz w:val="28"/>
        </w:rPr>
      </w:pPr>
      <w:r>
        <w:rPr>
          <w:rFonts w:ascii="宋体" w:hAnsi="宋体" w:cs="Arial" w:hint="eastAsia"/>
          <w:b/>
          <w:bCs/>
          <w:sz w:val="28"/>
        </w:rPr>
        <w:t>基金管理人：广发基金管理有限公司</w:t>
      </w:r>
    </w:p>
    <w:p w14:paraId="434B4D1F" w14:textId="54C0FFBC" w:rsidR="005B7AA2" w:rsidRDefault="006E5EFC">
      <w:pPr>
        <w:adjustRightInd w:val="0"/>
        <w:snapToGrid w:val="0"/>
        <w:spacing w:line="360" w:lineRule="auto"/>
        <w:jc w:val="center"/>
        <w:outlineLvl w:val="0"/>
        <w:rPr>
          <w:rFonts w:ascii="宋体" w:hAnsi="宋体" w:cs="Arial"/>
          <w:b/>
          <w:bCs/>
          <w:sz w:val="28"/>
        </w:rPr>
      </w:pPr>
      <w:r>
        <w:rPr>
          <w:rFonts w:ascii="宋体" w:hAnsi="宋体" w:cs="Arial" w:hint="eastAsia"/>
          <w:b/>
          <w:bCs/>
          <w:sz w:val="28"/>
        </w:rPr>
        <w:t xml:space="preserve">    </w:t>
      </w:r>
      <w:r w:rsidR="00E50B4E">
        <w:rPr>
          <w:rFonts w:ascii="宋体" w:hAnsi="宋体" w:cs="Arial" w:hint="eastAsia"/>
          <w:b/>
          <w:bCs/>
          <w:sz w:val="28"/>
        </w:rPr>
        <w:t>基金托管人：中国建设银行股份有限公司</w:t>
      </w:r>
    </w:p>
    <w:p w14:paraId="3ADA6D9D" w14:textId="77777777" w:rsidR="005B7AA2" w:rsidRDefault="005B7AA2">
      <w:pPr>
        <w:adjustRightInd w:val="0"/>
        <w:snapToGrid w:val="0"/>
        <w:spacing w:line="360" w:lineRule="auto"/>
        <w:outlineLvl w:val="0"/>
        <w:rPr>
          <w:rFonts w:ascii="宋体" w:hAnsi="宋体" w:cs="Arial"/>
          <w:sz w:val="24"/>
        </w:rPr>
      </w:pPr>
    </w:p>
    <w:p w14:paraId="68ABE138" w14:textId="337F1DBA" w:rsidR="005B7AA2" w:rsidRDefault="00E50B4E">
      <w:pPr>
        <w:adjustRightInd w:val="0"/>
        <w:snapToGrid w:val="0"/>
        <w:spacing w:line="360" w:lineRule="auto"/>
        <w:outlineLvl w:val="0"/>
        <w:rPr>
          <w:rFonts w:ascii="宋体" w:hAnsi="宋体" w:cs="Arial"/>
          <w:sz w:val="24"/>
        </w:rPr>
      </w:pPr>
      <w:r>
        <w:rPr>
          <w:rFonts w:ascii="宋体" w:hAnsi="宋体" w:cs="Arial" w:hint="eastAsia"/>
          <w:sz w:val="24"/>
        </w:rPr>
        <w:t xml:space="preserve">                          </w:t>
      </w:r>
    </w:p>
    <w:p w14:paraId="24EC2299" w14:textId="77777777" w:rsidR="005B7AA2" w:rsidRDefault="005B7AA2">
      <w:pPr>
        <w:adjustRightInd w:val="0"/>
        <w:snapToGrid w:val="0"/>
        <w:spacing w:line="360" w:lineRule="auto"/>
        <w:jc w:val="center"/>
        <w:rPr>
          <w:rFonts w:ascii="宋体" w:hAnsi="宋体" w:cs="Arial"/>
          <w:bCs/>
          <w:sz w:val="24"/>
        </w:rPr>
      </w:pPr>
    </w:p>
    <w:p w14:paraId="11F807B9" w14:textId="77777777" w:rsidR="005B7AA2" w:rsidRDefault="005B7AA2">
      <w:pPr>
        <w:adjustRightInd w:val="0"/>
        <w:snapToGrid w:val="0"/>
        <w:spacing w:line="360" w:lineRule="auto"/>
        <w:jc w:val="center"/>
        <w:rPr>
          <w:rFonts w:ascii="宋体" w:hAnsi="宋体" w:cs="Arial"/>
          <w:bCs/>
          <w:sz w:val="24"/>
        </w:rPr>
      </w:pPr>
    </w:p>
    <w:p w14:paraId="734D0A43" w14:textId="77777777" w:rsidR="005B7AA2" w:rsidRDefault="005B7AA2">
      <w:pPr>
        <w:adjustRightInd w:val="0"/>
        <w:snapToGrid w:val="0"/>
        <w:spacing w:line="360" w:lineRule="auto"/>
        <w:jc w:val="center"/>
        <w:rPr>
          <w:rFonts w:ascii="宋体" w:hAnsi="宋体" w:cs="Arial"/>
          <w:bCs/>
          <w:sz w:val="24"/>
        </w:rPr>
      </w:pPr>
    </w:p>
    <w:p w14:paraId="2801C197" w14:textId="77777777" w:rsidR="005B7AA2" w:rsidRDefault="005B7AA2">
      <w:pPr>
        <w:adjustRightInd w:val="0"/>
        <w:snapToGrid w:val="0"/>
        <w:spacing w:line="360" w:lineRule="auto"/>
        <w:jc w:val="center"/>
        <w:rPr>
          <w:rFonts w:ascii="宋体" w:hAnsi="宋体" w:cs="Arial"/>
          <w:bCs/>
          <w:sz w:val="24"/>
        </w:rPr>
        <w:sectPr w:rsidR="005B7AA2">
          <w:footerReference w:type="even" r:id="rId7"/>
          <w:footerReference w:type="default" r:id="rId8"/>
          <w:pgSz w:w="11906" w:h="16838"/>
          <w:pgMar w:top="1418" w:right="1701" w:bottom="1418" w:left="1701" w:header="851" w:footer="992" w:gutter="0"/>
          <w:cols w:space="720"/>
          <w:docGrid w:type="lines" w:linePitch="312"/>
        </w:sectPr>
      </w:pPr>
    </w:p>
    <w:p w14:paraId="666C802A" w14:textId="77777777" w:rsidR="005B7AA2" w:rsidRDefault="005B7AA2">
      <w:pPr>
        <w:adjustRightInd w:val="0"/>
        <w:snapToGrid w:val="0"/>
        <w:spacing w:line="360" w:lineRule="auto"/>
        <w:rPr>
          <w:rFonts w:ascii="宋体" w:hAnsi="宋体" w:cs="Arial"/>
          <w:bCs/>
          <w:sz w:val="24"/>
        </w:rPr>
      </w:pPr>
    </w:p>
    <w:p w14:paraId="6B7DC1F1" w14:textId="77777777" w:rsidR="005B7AA2" w:rsidRDefault="00E50B4E">
      <w:pPr>
        <w:spacing w:line="360" w:lineRule="auto"/>
        <w:jc w:val="center"/>
        <w:rPr>
          <w:rFonts w:ascii="宋体" w:hAnsi="宋体"/>
          <w:b/>
          <w:bCs/>
          <w:sz w:val="30"/>
        </w:rPr>
      </w:pPr>
      <w:r>
        <w:rPr>
          <w:rFonts w:ascii="宋体" w:hAnsi="宋体" w:hint="eastAsia"/>
          <w:b/>
          <w:bCs/>
          <w:sz w:val="30"/>
        </w:rPr>
        <w:t>目    录</w:t>
      </w:r>
    </w:p>
    <w:p w14:paraId="52862FF6" w14:textId="33798E65" w:rsidR="005B7AA2" w:rsidRPr="006E5EFC" w:rsidRDefault="00E50B4E">
      <w:pPr>
        <w:pStyle w:val="23"/>
        <w:tabs>
          <w:tab w:val="right" w:leader="dot" w:pos="8494"/>
        </w:tabs>
        <w:spacing w:line="360" w:lineRule="auto"/>
        <w:rPr>
          <w:rFonts w:ascii="宋体" w:hAnsi="宋体"/>
          <w:noProof/>
          <w:sz w:val="24"/>
        </w:rPr>
      </w:pPr>
      <w:r>
        <w:rPr>
          <w:rFonts w:ascii="宋体" w:hAnsi="宋体" w:hint="eastAsia"/>
          <w:sz w:val="28"/>
        </w:rPr>
        <w:fldChar w:fldCharType="begin"/>
      </w:r>
      <w:r>
        <w:rPr>
          <w:rFonts w:ascii="宋体" w:hAnsi="宋体" w:hint="eastAsia"/>
          <w:sz w:val="28"/>
        </w:rPr>
        <w:instrText xml:space="preserve"> TOC \o "1-2" \h \z </w:instrText>
      </w:r>
      <w:r>
        <w:rPr>
          <w:rFonts w:ascii="宋体" w:hAnsi="宋体" w:hint="eastAsia"/>
          <w:sz w:val="28"/>
        </w:rPr>
        <w:fldChar w:fldCharType="separate"/>
      </w:r>
      <w:hyperlink w:anchor="_Toc124325885" w:history="1">
        <w:r w:rsidRPr="006E5EFC">
          <w:rPr>
            <w:rStyle w:val="af1"/>
            <w:rFonts w:ascii="宋体" w:hAnsi="宋体" w:hint="eastAsia"/>
            <w:noProof/>
            <w:sz w:val="24"/>
          </w:rPr>
          <w:t>一、基金托管协议当</w:t>
        </w:r>
        <w:bookmarkStart w:id="0" w:name="_Hlt498420680"/>
        <w:bookmarkStart w:id="1" w:name="_Hlt498420681"/>
        <w:r w:rsidRPr="006E5EFC">
          <w:rPr>
            <w:rStyle w:val="af1"/>
            <w:rFonts w:ascii="宋体" w:hAnsi="宋体" w:hint="eastAsia"/>
            <w:noProof/>
            <w:sz w:val="24"/>
          </w:rPr>
          <w:t>事</w:t>
        </w:r>
        <w:bookmarkEnd w:id="0"/>
        <w:bookmarkEnd w:id="1"/>
        <w:r w:rsidRPr="006E5EFC">
          <w:rPr>
            <w:rStyle w:val="af1"/>
            <w:rFonts w:ascii="宋体" w:hAnsi="宋体" w:hint="eastAsia"/>
            <w:noProof/>
            <w:sz w:val="24"/>
          </w:rPr>
          <w:t>人</w:t>
        </w:r>
        <w:r w:rsidRPr="006E5EFC">
          <w:rPr>
            <w:rFonts w:ascii="宋体" w:hAnsi="宋体" w:hint="eastAsia"/>
            <w:noProof/>
            <w:sz w:val="24"/>
          </w:rPr>
          <w:tab/>
        </w:r>
        <w:r w:rsidRPr="006E5EFC">
          <w:rPr>
            <w:rFonts w:ascii="宋体" w:hAnsi="宋体" w:hint="eastAsia"/>
            <w:noProof/>
            <w:sz w:val="24"/>
          </w:rPr>
          <w:fldChar w:fldCharType="begin"/>
        </w:r>
        <w:r w:rsidRPr="006E5EFC">
          <w:rPr>
            <w:rFonts w:ascii="宋体" w:hAnsi="宋体" w:hint="eastAsia"/>
            <w:noProof/>
            <w:sz w:val="24"/>
          </w:rPr>
          <w:instrText xml:space="preserve"> PAGEREF _Toc124325885 \h </w:instrText>
        </w:r>
        <w:r w:rsidRPr="006E5EFC">
          <w:rPr>
            <w:rFonts w:ascii="宋体" w:hAnsi="宋体" w:hint="eastAsia"/>
            <w:noProof/>
            <w:sz w:val="24"/>
          </w:rPr>
        </w:r>
        <w:r w:rsidRPr="006E5EFC">
          <w:rPr>
            <w:rFonts w:ascii="宋体" w:hAnsi="宋体" w:hint="eastAsia"/>
            <w:noProof/>
            <w:sz w:val="24"/>
          </w:rPr>
          <w:fldChar w:fldCharType="separate"/>
        </w:r>
        <w:r w:rsidR="006B7DA5">
          <w:rPr>
            <w:rFonts w:ascii="宋体" w:hAnsi="宋体"/>
            <w:noProof/>
            <w:sz w:val="24"/>
          </w:rPr>
          <w:t>2</w:t>
        </w:r>
        <w:r w:rsidRPr="006E5EFC">
          <w:rPr>
            <w:rFonts w:ascii="宋体" w:hAnsi="宋体" w:hint="eastAsia"/>
            <w:noProof/>
            <w:sz w:val="24"/>
          </w:rPr>
          <w:fldChar w:fldCharType="end"/>
        </w:r>
      </w:hyperlink>
    </w:p>
    <w:p w14:paraId="00EAE27D" w14:textId="3873B855" w:rsidR="005B7AA2" w:rsidRPr="006E5EFC" w:rsidRDefault="009A6366">
      <w:pPr>
        <w:pStyle w:val="23"/>
        <w:tabs>
          <w:tab w:val="right" w:leader="dot" w:pos="8494"/>
        </w:tabs>
        <w:spacing w:line="360" w:lineRule="auto"/>
        <w:rPr>
          <w:rFonts w:ascii="宋体" w:hAnsi="宋体"/>
          <w:noProof/>
          <w:sz w:val="24"/>
        </w:rPr>
      </w:pPr>
      <w:hyperlink w:anchor="_Toc124325886" w:history="1">
        <w:r w:rsidR="00E50B4E" w:rsidRPr="006E5EFC">
          <w:rPr>
            <w:rStyle w:val="af1"/>
            <w:rFonts w:ascii="宋体" w:hAnsi="宋体" w:hint="eastAsia"/>
            <w:noProof/>
            <w:sz w:val="24"/>
          </w:rPr>
          <w:t>二、基金托管协议的依据、目的和原则</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_Toc124325886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3</w:t>
        </w:r>
        <w:r w:rsidR="00E50B4E" w:rsidRPr="006E5EFC">
          <w:rPr>
            <w:rFonts w:ascii="宋体" w:hAnsi="宋体" w:hint="eastAsia"/>
            <w:noProof/>
            <w:sz w:val="24"/>
          </w:rPr>
          <w:fldChar w:fldCharType="end"/>
        </w:r>
      </w:hyperlink>
    </w:p>
    <w:p w14:paraId="4DFF7B06" w14:textId="332AFFA5" w:rsidR="005B7AA2" w:rsidRPr="006E5EFC" w:rsidRDefault="009A6366">
      <w:pPr>
        <w:pStyle w:val="23"/>
        <w:tabs>
          <w:tab w:val="right" w:leader="dot" w:pos="8494"/>
        </w:tabs>
        <w:spacing w:line="360" w:lineRule="auto"/>
        <w:rPr>
          <w:rFonts w:ascii="宋体" w:hAnsi="宋体"/>
          <w:noProof/>
          <w:sz w:val="24"/>
        </w:rPr>
      </w:pPr>
      <w:hyperlink w:anchor="_Toc124325887" w:history="1">
        <w:r w:rsidR="00E50B4E" w:rsidRPr="006E5EFC">
          <w:rPr>
            <w:rStyle w:val="af1"/>
            <w:rFonts w:ascii="宋体" w:hAnsi="宋体" w:hint="eastAsia"/>
            <w:noProof/>
            <w:sz w:val="24"/>
          </w:rPr>
          <w:t>三、基金托管人对基金管理人的业务监督和核查</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_Toc124325887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4</w:t>
        </w:r>
        <w:r w:rsidR="00E50B4E" w:rsidRPr="006E5EFC">
          <w:rPr>
            <w:rFonts w:ascii="宋体" w:hAnsi="宋体" w:hint="eastAsia"/>
            <w:noProof/>
            <w:sz w:val="24"/>
          </w:rPr>
          <w:fldChar w:fldCharType="end"/>
        </w:r>
      </w:hyperlink>
    </w:p>
    <w:p w14:paraId="5D1F7610" w14:textId="23F9D069" w:rsidR="005B7AA2" w:rsidRPr="006E5EFC" w:rsidRDefault="009A6366">
      <w:pPr>
        <w:pStyle w:val="23"/>
        <w:tabs>
          <w:tab w:val="right" w:leader="dot" w:pos="8494"/>
        </w:tabs>
        <w:spacing w:line="360" w:lineRule="auto"/>
        <w:rPr>
          <w:rFonts w:ascii="宋体" w:hAnsi="宋体"/>
          <w:noProof/>
          <w:sz w:val="24"/>
        </w:rPr>
      </w:pPr>
      <w:hyperlink w:anchor="_Toc124325888" w:history="1">
        <w:r w:rsidR="00E50B4E" w:rsidRPr="006E5EFC">
          <w:rPr>
            <w:rStyle w:val="af1"/>
            <w:rFonts w:ascii="宋体" w:hAnsi="宋体" w:hint="eastAsia"/>
            <w:noProof/>
            <w:sz w:val="24"/>
          </w:rPr>
          <w:t>四、基金管理人对基金托管人的业务核查</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_Toc124325888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9</w:t>
        </w:r>
        <w:r w:rsidR="00E50B4E" w:rsidRPr="006E5EFC">
          <w:rPr>
            <w:rFonts w:ascii="宋体" w:hAnsi="宋体" w:hint="eastAsia"/>
            <w:noProof/>
            <w:sz w:val="24"/>
          </w:rPr>
          <w:fldChar w:fldCharType="end"/>
        </w:r>
      </w:hyperlink>
    </w:p>
    <w:p w14:paraId="1B0123CC" w14:textId="538CA143" w:rsidR="005B7AA2" w:rsidRPr="006E5EFC" w:rsidRDefault="009A6366">
      <w:pPr>
        <w:pStyle w:val="23"/>
        <w:tabs>
          <w:tab w:val="right" w:leader="dot" w:pos="8494"/>
        </w:tabs>
        <w:spacing w:line="360" w:lineRule="auto"/>
        <w:rPr>
          <w:rFonts w:ascii="宋体" w:hAnsi="宋体"/>
          <w:noProof/>
          <w:sz w:val="24"/>
        </w:rPr>
      </w:pPr>
      <w:hyperlink w:anchor="_Toc124325889" w:history="1">
        <w:r w:rsidR="00E50B4E" w:rsidRPr="006E5EFC">
          <w:rPr>
            <w:rStyle w:val="af1"/>
            <w:rFonts w:ascii="宋体" w:hAnsi="宋体" w:hint="eastAsia"/>
            <w:noProof/>
            <w:sz w:val="24"/>
          </w:rPr>
          <w:t>五、基金财产的保管</w:t>
        </w:r>
        <w:bookmarkStart w:id="2" w:name="_Hlt130398332"/>
        <w:bookmarkStart w:id="3" w:name="_Hlt130398333"/>
        <w:r w:rsidR="00E50B4E" w:rsidRPr="006E5EFC">
          <w:rPr>
            <w:rFonts w:ascii="宋体" w:hAnsi="宋体" w:hint="eastAsia"/>
            <w:noProof/>
            <w:sz w:val="24"/>
          </w:rPr>
          <w:tab/>
        </w:r>
        <w:bookmarkEnd w:id="2"/>
        <w:bookmarkEnd w:id="3"/>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_Toc124325889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10</w:t>
        </w:r>
        <w:r w:rsidR="00E50B4E" w:rsidRPr="006E5EFC">
          <w:rPr>
            <w:rFonts w:ascii="宋体" w:hAnsi="宋体" w:hint="eastAsia"/>
            <w:noProof/>
            <w:sz w:val="24"/>
          </w:rPr>
          <w:fldChar w:fldCharType="end"/>
        </w:r>
      </w:hyperlink>
    </w:p>
    <w:p w14:paraId="15C716BD" w14:textId="790D869C" w:rsidR="005B7AA2" w:rsidRPr="006E5EFC" w:rsidRDefault="009A6366">
      <w:pPr>
        <w:pStyle w:val="23"/>
        <w:tabs>
          <w:tab w:val="right" w:leader="dot" w:pos="8494"/>
        </w:tabs>
        <w:spacing w:line="360" w:lineRule="auto"/>
        <w:rPr>
          <w:rFonts w:ascii="宋体" w:hAnsi="宋体"/>
          <w:noProof/>
          <w:sz w:val="24"/>
        </w:rPr>
      </w:pPr>
      <w:hyperlink w:anchor="_Toc124325890" w:history="1">
        <w:r w:rsidR="00E50B4E" w:rsidRPr="006E5EFC">
          <w:rPr>
            <w:rStyle w:val="af1"/>
            <w:rFonts w:ascii="宋体" w:hAnsi="宋体" w:hint="eastAsia"/>
            <w:noProof/>
            <w:sz w:val="24"/>
          </w:rPr>
          <w:t>六、指令的发送、确认及执行</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_Toc124325890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13</w:t>
        </w:r>
        <w:r w:rsidR="00E50B4E" w:rsidRPr="006E5EFC">
          <w:rPr>
            <w:rFonts w:ascii="宋体" w:hAnsi="宋体" w:hint="eastAsia"/>
            <w:noProof/>
            <w:sz w:val="24"/>
          </w:rPr>
          <w:fldChar w:fldCharType="end"/>
        </w:r>
      </w:hyperlink>
    </w:p>
    <w:p w14:paraId="11C00B08" w14:textId="4196969C" w:rsidR="005B7AA2" w:rsidRPr="006E5EFC" w:rsidRDefault="009A6366">
      <w:pPr>
        <w:pStyle w:val="23"/>
        <w:tabs>
          <w:tab w:val="right" w:leader="dot" w:pos="8494"/>
        </w:tabs>
        <w:spacing w:line="360" w:lineRule="auto"/>
        <w:rPr>
          <w:rFonts w:ascii="宋体" w:hAnsi="宋体"/>
          <w:noProof/>
          <w:sz w:val="24"/>
        </w:rPr>
      </w:pPr>
      <w:hyperlink w:anchor="_Toc124325891" w:history="1">
        <w:r w:rsidR="00E50B4E" w:rsidRPr="006E5EFC">
          <w:rPr>
            <w:rStyle w:val="af1"/>
            <w:rFonts w:ascii="宋体" w:hAnsi="宋体" w:hint="eastAsia"/>
            <w:noProof/>
            <w:sz w:val="24"/>
          </w:rPr>
          <w:t>七、交易及清算</w:t>
        </w:r>
        <w:bookmarkStart w:id="4" w:name="_Hlt497143549"/>
        <w:bookmarkStart w:id="5" w:name="_Hlt497143548"/>
        <w:r w:rsidR="00E50B4E" w:rsidRPr="006E5EFC">
          <w:rPr>
            <w:rStyle w:val="af1"/>
            <w:rFonts w:ascii="宋体" w:hAnsi="宋体" w:hint="eastAsia"/>
            <w:noProof/>
            <w:sz w:val="24"/>
          </w:rPr>
          <w:t>交</w:t>
        </w:r>
        <w:bookmarkEnd w:id="4"/>
        <w:bookmarkEnd w:id="5"/>
        <w:r w:rsidR="00E50B4E" w:rsidRPr="006E5EFC">
          <w:rPr>
            <w:rStyle w:val="af1"/>
            <w:rFonts w:ascii="宋体" w:hAnsi="宋体" w:hint="eastAsia"/>
            <w:noProof/>
            <w:sz w:val="24"/>
          </w:rPr>
          <w:t>收安</w:t>
        </w:r>
        <w:bookmarkStart w:id="6" w:name="_Hlt419449173"/>
        <w:r w:rsidR="00E50B4E" w:rsidRPr="006E5EFC">
          <w:rPr>
            <w:rStyle w:val="af1"/>
            <w:rFonts w:ascii="宋体" w:hAnsi="宋体" w:hint="eastAsia"/>
            <w:noProof/>
            <w:sz w:val="24"/>
          </w:rPr>
          <w:t>排</w:t>
        </w:r>
        <w:bookmarkEnd w:id="6"/>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_Toc124325891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16</w:t>
        </w:r>
        <w:r w:rsidR="00E50B4E" w:rsidRPr="006E5EFC">
          <w:rPr>
            <w:rFonts w:ascii="宋体" w:hAnsi="宋体" w:hint="eastAsia"/>
            <w:noProof/>
            <w:sz w:val="24"/>
          </w:rPr>
          <w:fldChar w:fldCharType="end"/>
        </w:r>
      </w:hyperlink>
    </w:p>
    <w:p w14:paraId="0F73F87E" w14:textId="7AFE29B2" w:rsidR="005B7AA2" w:rsidRPr="006E5EFC" w:rsidRDefault="009A6366">
      <w:pPr>
        <w:pStyle w:val="23"/>
        <w:tabs>
          <w:tab w:val="right" w:leader="dot" w:pos="8494"/>
        </w:tabs>
        <w:spacing w:line="360" w:lineRule="auto"/>
        <w:rPr>
          <w:rFonts w:ascii="宋体" w:hAnsi="宋体"/>
          <w:noProof/>
          <w:sz w:val="24"/>
        </w:rPr>
      </w:pPr>
      <w:hyperlink w:anchor="_Toc124325892" w:history="1">
        <w:r w:rsidR="00E50B4E" w:rsidRPr="006E5EFC">
          <w:rPr>
            <w:rStyle w:val="af1"/>
            <w:rFonts w:ascii="宋体" w:hAnsi="宋体" w:hint="eastAsia"/>
            <w:noProof/>
            <w:sz w:val="24"/>
          </w:rPr>
          <w:t>八、基金资产净值</w:t>
        </w:r>
        <w:bookmarkStart w:id="7" w:name="_Hlt419449178"/>
        <w:r w:rsidR="00E50B4E" w:rsidRPr="006E5EFC">
          <w:rPr>
            <w:rStyle w:val="af1"/>
            <w:rFonts w:ascii="宋体" w:hAnsi="宋体" w:hint="eastAsia"/>
            <w:noProof/>
            <w:sz w:val="24"/>
          </w:rPr>
          <w:t>计</w:t>
        </w:r>
        <w:bookmarkEnd w:id="7"/>
        <w:r w:rsidR="00E50B4E" w:rsidRPr="006E5EFC">
          <w:rPr>
            <w:rStyle w:val="af1"/>
            <w:rFonts w:ascii="宋体" w:hAnsi="宋体" w:hint="eastAsia"/>
            <w:noProof/>
            <w:sz w:val="24"/>
          </w:rPr>
          <w:t>算和会计核算</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_Toc124325892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21</w:t>
        </w:r>
        <w:r w:rsidR="00E50B4E" w:rsidRPr="006E5EFC">
          <w:rPr>
            <w:rFonts w:ascii="宋体" w:hAnsi="宋体" w:hint="eastAsia"/>
            <w:noProof/>
            <w:sz w:val="24"/>
          </w:rPr>
          <w:fldChar w:fldCharType="end"/>
        </w:r>
      </w:hyperlink>
    </w:p>
    <w:p w14:paraId="6F10B14B" w14:textId="412649BD" w:rsidR="005B7AA2" w:rsidRPr="006E5EFC" w:rsidRDefault="009A6366">
      <w:pPr>
        <w:pStyle w:val="23"/>
        <w:tabs>
          <w:tab w:val="right" w:leader="dot" w:pos="8494"/>
        </w:tabs>
        <w:spacing w:line="360" w:lineRule="auto"/>
        <w:rPr>
          <w:rFonts w:ascii="宋体" w:hAnsi="宋体"/>
          <w:noProof/>
          <w:sz w:val="24"/>
        </w:rPr>
      </w:pPr>
      <w:hyperlink w:anchor="_Toc124325893" w:history="1">
        <w:r w:rsidR="00E50B4E" w:rsidRPr="006E5EFC">
          <w:rPr>
            <w:rStyle w:val="af1"/>
            <w:rFonts w:ascii="宋体" w:hAnsi="宋体" w:hint="eastAsia"/>
            <w:noProof/>
            <w:sz w:val="24"/>
          </w:rPr>
          <w:t>九、基金收益分配</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_Toc124325893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27</w:t>
        </w:r>
        <w:r w:rsidR="00E50B4E" w:rsidRPr="006E5EFC">
          <w:rPr>
            <w:rFonts w:ascii="宋体" w:hAnsi="宋体" w:hint="eastAsia"/>
            <w:noProof/>
            <w:sz w:val="24"/>
          </w:rPr>
          <w:fldChar w:fldCharType="end"/>
        </w:r>
      </w:hyperlink>
    </w:p>
    <w:p w14:paraId="6E6E7AF0" w14:textId="570CBBC9" w:rsidR="005B7AA2" w:rsidRPr="006E5EFC" w:rsidRDefault="009A6366">
      <w:pPr>
        <w:pStyle w:val="23"/>
        <w:tabs>
          <w:tab w:val="right" w:leader="dot" w:pos="8494"/>
        </w:tabs>
        <w:spacing w:line="360" w:lineRule="auto"/>
        <w:rPr>
          <w:rFonts w:ascii="宋体" w:hAnsi="宋体"/>
          <w:noProof/>
          <w:sz w:val="24"/>
        </w:rPr>
      </w:pPr>
      <w:hyperlink w:anchor="_Toc124325894" w:history="1">
        <w:r w:rsidR="00E50B4E" w:rsidRPr="006E5EFC">
          <w:rPr>
            <w:rStyle w:val="af1"/>
            <w:rFonts w:ascii="宋体" w:hAnsi="宋体" w:hint="eastAsia"/>
            <w:noProof/>
            <w:sz w:val="24"/>
          </w:rPr>
          <w:t>十、基金信息披露</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_Toc124325894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28</w:t>
        </w:r>
        <w:r w:rsidR="00E50B4E" w:rsidRPr="006E5EFC">
          <w:rPr>
            <w:rFonts w:ascii="宋体" w:hAnsi="宋体" w:hint="eastAsia"/>
            <w:noProof/>
            <w:sz w:val="24"/>
          </w:rPr>
          <w:fldChar w:fldCharType="end"/>
        </w:r>
      </w:hyperlink>
    </w:p>
    <w:p w14:paraId="1F6F2A39" w14:textId="6564207D" w:rsidR="005B7AA2" w:rsidRPr="006E5EFC" w:rsidRDefault="009A6366">
      <w:pPr>
        <w:pStyle w:val="23"/>
        <w:tabs>
          <w:tab w:val="right" w:leader="dot" w:pos="8494"/>
        </w:tabs>
        <w:spacing w:line="360" w:lineRule="auto"/>
        <w:rPr>
          <w:rFonts w:ascii="宋体" w:hAnsi="宋体"/>
          <w:noProof/>
          <w:sz w:val="24"/>
        </w:rPr>
      </w:pPr>
      <w:hyperlink w:anchor="_Toc124325895" w:history="1">
        <w:r w:rsidR="00E50B4E" w:rsidRPr="006E5EFC">
          <w:rPr>
            <w:rStyle w:val="af1"/>
            <w:rFonts w:ascii="宋体" w:hAnsi="宋体" w:hint="eastAsia"/>
            <w:noProof/>
            <w:sz w:val="24"/>
          </w:rPr>
          <w:t>十一、基金费用</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_Toc124325895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30</w:t>
        </w:r>
        <w:r w:rsidR="00E50B4E" w:rsidRPr="006E5EFC">
          <w:rPr>
            <w:rFonts w:ascii="宋体" w:hAnsi="宋体" w:hint="eastAsia"/>
            <w:noProof/>
            <w:sz w:val="24"/>
          </w:rPr>
          <w:fldChar w:fldCharType="end"/>
        </w:r>
      </w:hyperlink>
    </w:p>
    <w:p w14:paraId="06B388E1" w14:textId="1D1C4277" w:rsidR="005B7AA2" w:rsidRPr="006E5EFC" w:rsidRDefault="009A6366">
      <w:pPr>
        <w:pStyle w:val="23"/>
        <w:tabs>
          <w:tab w:val="right" w:leader="dot" w:pos="8494"/>
        </w:tabs>
        <w:spacing w:line="360" w:lineRule="auto"/>
        <w:rPr>
          <w:rFonts w:ascii="宋体" w:hAnsi="宋体"/>
          <w:noProof/>
          <w:sz w:val="24"/>
        </w:rPr>
      </w:pPr>
      <w:hyperlink w:anchor="_Toc124325896" w:history="1">
        <w:r w:rsidR="00E50B4E" w:rsidRPr="006E5EFC">
          <w:rPr>
            <w:rStyle w:val="af1"/>
            <w:rFonts w:ascii="宋体" w:hAnsi="宋体" w:hint="eastAsia"/>
            <w:noProof/>
            <w:sz w:val="24"/>
          </w:rPr>
          <w:t>十二、基金份额持有人名册的保管</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_Toc124325896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36</w:t>
        </w:r>
        <w:r w:rsidR="00E50B4E" w:rsidRPr="006E5EFC">
          <w:rPr>
            <w:rFonts w:ascii="宋体" w:hAnsi="宋体" w:hint="eastAsia"/>
            <w:noProof/>
            <w:sz w:val="24"/>
          </w:rPr>
          <w:fldChar w:fldCharType="end"/>
        </w:r>
      </w:hyperlink>
    </w:p>
    <w:p w14:paraId="3096CDBF" w14:textId="4A8B6095" w:rsidR="005B7AA2" w:rsidRPr="006E5EFC" w:rsidRDefault="009A6366">
      <w:pPr>
        <w:pStyle w:val="23"/>
        <w:tabs>
          <w:tab w:val="right" w:leader="dot" w:pos="8494"/>
        </w:tabs>
        <w:spacing w:line="360" w:lineRule="auto"/>
        <w:rPr>
          <w:rFonts w:ascii="宋体" w:hAnsi="宋体"/>
          <w:noProof/>
          <w:sz w:val="24"/>
        </w:rPr>
      </w:pPr>
      <w:hyperlink w:anchor="_Toc124325897" w:history="1">
        <w:r w:rsidR="00E50B4E" w:rsidRPr="006E5EFC">
          <w:rPr>
            <w:rStyle w:val="af1"/>
            <w:rFonts w:ascii="宋体" w:hAnsi="宋体" w:hint="eastAsia"/>
            <w:noProof/>
            <w:sz w:val="24"/>
          </w:rPr>
          <w:t>十三、基金有关文件档案的保存</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_Toc124325897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36</w:t>
        </w:r>
        <w:r w:rsidR="00E50B4E" w:rsidRPr="006E5EFC">
          <w:rPr>
            <w:rFonts w:ascii="宋体" w:hAnsi="宋体" w:hint="eastAsia"/>
            <w:noProof/>
            <w:sz w:val="24"/>
          </w:rPr>
          <w:fldChar w:fldCharType="end"/>
        </w:r>
      </w:hyperlink>
    </w:p>
    <w:p w14:paraId="245FE018" w14:textId="1D0EC66B" w:rsidR="005B7AA2" w:rsidRPr="006E5EFC" w:rsidRDefault="009A6366">
      <w:pPr>
        <w:pStyle w:val="23"/>
        <w:tabs>
          <w:tab w:val="right" w:leader="dot" w:pos="8494"/>
        </w:tabs>
        <w:spacing w:line="360" w:lineRule="auto"/>
        <w:rPr>
          <w:rFonts w:ascii="宋体" w:hAnsi="宋体"/>
          <w:noProof/>
          <w:sz w:val="24"/>
        </w:rPr>
      </w:pPr>
      <w:hyperlink w:anchor="_Toc124325898" w:history="1">
        <w:r w:rsidR="00E50B4E" w:rsidRPr="006E5EFC">
          <w:rPr>
            <w:rStyle w:val="af1"/>
            <w:rFonts w:ascii="宋体" w:hAnsi="宋体" w:hint="eastAsia"/>
            <w:noProof/>
            <w:sz w:val="24"/>
          </w:rPr>
          <w:t>十四、基金管理人和基金托管人的更换</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_Toc124325898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37</w:t>
        </w:r>
        <w:r w:rsidR="00E50B4E" w:rsidRPr="006E5EFC">
          <w:rPr>
            <w:rFonts w:ascii="宋体" w:hAnsi="宋体" w:hint="eastAsia"/>
            <w:noProof/>
            <w:sz w:val="24"/>
          </w:rPr>
          <w:fldChar w:fldCharType="end"/>
        </w:r>
      </w:hyperlink>
    </w:p>
    <w:p w14:paraId="0D24CC0B" w14:textId="7D1C25C6" w:rsidR="005B7AA2" w:rsidRPr="006E5EFC" w:rsidRDefault="009A6366">
      <w:pPr>
        <w:pStyle w:val="23"/>
        <w:tabs>
          <w:tab w:val="right" w:leader="dot" w:pos="8494"/>
        </w:tabs>
        <w:spacing w:line="360" w:lineRule="auto"/>
        <w:rPr>
          <w:rFonts w:ascii="宋体" w:hAnsi="宋体"/>
          <w:noProof/>
          <w:sz w:val="24"/>
        </w:rPr>
      </w:pPr>
      <w:hyperlink w:anchor="_Toc124325899" w:history="1">
        <w:r w:rsidR="00E50B4E" w:rsidRPr="006E5EFC">
          <w:rPr>
            <w:rStyle w:val="af1"/>
            <w:rFonts w:ascii="宋体" w:hAnsi="宋体" w:hint="eastAsia"/>
            <w:noProof/>
            <w:sz w:val="24"/>
          </w:rPr>
          <w:t>十五、禁止</w:t>
        </w:r>
        <w:bookmarkStart w:id="8" w:name="_Hlt133480885"/>
        <w:bookmarkStart w:id="9" w:name="_Hlt133480886"/>
        <w:r w:rsidR="00E50B4E" w:rsidRPr="006E5EFC">
          <w:rPr>
            <w:rStyle w:val="af1"/>
            <w:rFonts w:ascii="宋体" w:hAnsi="宋体" w:hint="eastAsia"/>
            <w:noProof/>
            <w:sz w:val="24"/>
          </w:rPr>
          <w:t>行</w:t>
        </w:r>
        <w:bookmarkEnd w:id="8"/>
        <w:bookmarkEnd w:id="9"/>
        <w:r w:rsidR="00E50B4E" w:rsidRPr="006E5EFC">
          <w:rPr>
            <w:rStyle w:val="af1"/>
            <w:rFonts w:ascii="宋体" w:hAnsi="宋体" w:hint="eastAsia"/>
            <w:noProof/>
            <w:sz w:val="24"/>
          </w:rPr>
          <w:t>为</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_Toc124325899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39</w:t>
        </w:r>
        <w:r w:rsidR="00E50B4E" w:rsidRPr="006E5EFC">
          <w:rPr>
            <w:rFonts w:ascii="宋体" w:hAnsi="宋体" w:hint="eastAsia"/>
            <w:noProof/>
            <w:sz w:val="24"/>
          </w:rPr>
          <w:fldChar w:fldCharType="end"/>
        </w:r>
      </w:hyperlink>
    </w:p>
    <w:p w14:paraId="57B474DF" w14:textId="3C646D77" w:rsidR="005B7AA2" w:rsidRPr="006E5EFC" w:rsidRDefault="009A6366">
      <w:pPr>
        <w:pStyle w:val="23"/>
        <w:tabs>
          <w:tab w:val="right" w:leader="dot" w:pos="8494"/>
        </w:tabs>
        <w:spacing w:line="360" w:lineRule="auto"/>
        <w:rPr>
          <w:rFonts w:ascii="宋体" w:hAnsi="宋体"/>
          <w:noProof/>
          <w:sz w:val="24"/>
        </w:rPr>
      </w:pPr>
      <w:hyperlink w:anchor="_Toc124325900" w:history="1">
        <w:r w:rsidR="00E50B4E" w:rsidRPr="006E5EFC">
          <w:rPr>
            <w:rStyle w:val="af1"/>
            <w:rFonts w:ascii="宋体" w:hAnsi="宋体" w:hint="eastAsia"/>
            <w:noProof/>
            <w:sz w:val="24"/>
          </w:rPr>
          <w:t>十六、托管协议的变更、终止与基金财产的清算</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_Toc124325900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40</w:t>
        </w:r>
        <w:r w:rsidR="00E50B4E" w:rsidRPr="006E5EFC">
          <w:rPr>
            <w:rFonts w:ascii="宋体" w:hAnsi="宋体" w:hint="eastAsia"/>
            <w:noProof/>
            <w:sz w:val="24"/>
          </w:rPr>
          <w:fldChar w:fldCharType="end"/>
        </w:r>
      </w:hyperlink>
    </w:p>
    <w:p w14:paraId="40F475AA" w14:textId="1B514348" w:rsidR="005B7AA2" w:rsidRPr="006E5EFC" w:rsidRDefault="009A6366">
      <w:pPr>
        <w:pStyle w:val="23"/>
        <w:tabs>
          <w:tab w:val="right" w:leader="dot" w:pos="8494"/>
        </w:tabs>
        <w:spacing w:line="360" w:lineRule="auto"/>
        <w:rPr>
          <w:rFonts w:ascii="宋体" w:hAnsi="宋体"/>
          <w:noProof/>
          <w:sz w:val="24"/>
        </w:rPr>
      </w:pPr>
      <w:hyperlink w:anchor="_Toc124325901" w:history="1">
        <w:r w:rsidR="00E50B4E" w:rsidRPr="006E5EFC">
          <w:rPr>
            <w:rStyle w:val="af1"/>
            <w:rFonts w:ascii="宋体" w:hAnsi="宋体" w:hint="eastAsia"/>
            <w:noProof/>
            <w:sz w:val="24"/>
          </w:rPr>
          <w:t>十七、违约责任</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_Toc124325901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42</w:t>
        </w:r>
        <w:r w:rsidR="00E50B4E" w:rsidRPr="006E5EFC">
          <w:rPr>
            <w:rFonts w:ascii="宋体" w:hAnsi="宋体" w:hint="eastAsia"/>
            <w:noProof/>
            <w:sz w:val="24"/>
          </w:rPr>
          <w:fldChar w:fldCharType="end"/>
        </w:r>
      </w:hyperlink>
    </w:p>
    <w:p w14:paraId="7D52CEC0" w14:textId="6129E350" w:rsidR="005B7AA2" w:rsidRPr="006E5EFC" w:rsidRDefault="009A6366">
      <w:pPr>
        <w:pStyle w:val="23"/>
        <w:tabs>
          <w:tab w:val="right" w:leader="dot" w:pos="8494"/>
        </w:tabs>
        <w:spacing w:line="360" w:lineRule="auto"/>
        <w:rPr>
          <w:rFonts w:ascii="宋体" w:hAnsi="宋体"/>
          <w:noProof/>
          <w:sz w:val="24"/>
        </w:rPr>
      </w:pPr>
      <w:hyperlink w:anchor="_Toc124325902" w:history="1">
        <w:r w:rsidR="00E50B4E" w:rsidRPr="006E5EFC">
          <w:rPr>
            <w:rStyle w:val="af1"/>
            <w:rFonts w:ascii="宋体" w:hAnsi="宋体" w:hint="eastAsia"/>
            <w:noProof/>
            <w:sz w:val="24"/>
          </w:rPr>
          <w:t>十八、争议解决方式</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_Toc124325902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43</w:t>
        </w:r>
        <w:r w:rsidR="00E50B4E" w:rsidRPr="006E5EFC">
          <w:rPr>
            <w:rFonts w:ascii="宋体" w:hAnsi="宋体" w:hint="eastAsia"/>
            <w:noProof/>
            <w:sz w:val="24"/>
          </w:rPr>
          <w:fldChar w:fldCharType="end"/>
        </w:r>
      </w:hyperlink>
    </w:p>
    <w:p w14:paraId="6CD28D57" w14:textId="19E88361" w:rsidR="005B7AA2" w:rsidRPr="006E5EFC" w:rsidRDefault="009A6366">
      <w:pPr>
        <w:pStyle w:val="23"/>
        <w:tabs>
          <w:tab w:val="right" w:leader="dot" w:pos="8494"/>
        </w:tabs>
        <w:spacing w:line="360" w:lineRule="auto"/>
        <w:rPr>
          <w:rFonts w:ascii="宋体" w:hAnsi="宋体"/>
          <w:noProof/>
          <w:sz w:val="24"/>
        </w:rPr>
      </w:pPr>
      <w:hyperlink w:anchor="_Toc124325903" w:history="1">
        <w:r w:rsidR="00E50B4E" w:rsidRPr="006E5EFC">
          <w:rPr>
            <w:rStyle w:val="af1"/>
            <w:rFonts w:ascii="宋体" w:hAnsi="宋体" w:hint="eastAsia"/>
            <w:noProof/>
            <w:sz w:val="24"/>
          </w:rPr>
          <w:t>十九、托管协议的效力</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_Toc124325903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43</w:t>
        </w:r>
        <w:r w:rsidR="00E50B4E" w:rsidRPr="006E5EFC">
          <w:rPr>
            <w:rFonts w:ascii="宋体" w:hAnsi="宋体" w:hint="eastAsia"/>
            <w:noProof/>
            <w:sz w:val="24"/>
          </w:rPr>
          <w:fldChar w:fldCharType="end"/>
        </w:r>
      </w:hyperlink>
    </w:p>
    <w:p w14:paraId="64852A87" w14:textId="54094323" w:rsidR="005B7AA2" w:rsidRPr="006E5EFC" w:rsidRDefault="009A6366">
      <w:pPr>
        <w:pStyle w:val="23"/>
        <w:tabs>
          <w:tab w:val="right" w:leader="dot" w:pos="8494"/>
        </w:tabs>
        <w:spacing w:line="360" w:lineRule="auto"/>
        <w:rPr>
          <w:rFonts w:ascii="宋体" w:hAnsi="宋体"/>
          <w:noProof/>
          <w:sz w:val="24"/>
        </w:rPr>
      </w:pPr>
      <w:hyperlink w:anchor="_Toc124325904" w:history="1">
        <w:r w:rsidR="00E50B4E" w:rsidRPr="006E5EFC">
          <w:rPr>
            <w:rStyle w:val="af1"/>
            <w:rFonts w:ascii="宋体" w:hAnsi="宋体" w:hint="eastAsia"/>
            <w:noProof/>
            <w:sz w:val="24"/>
          </w:rPr>
          <w:t>二十、其他事项</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_Toc124325904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44</w:t>
        </w:r>
        <w:r w:rsidR="00E50B4E" w:rsidRPr="006E5EFC">
          <w:rPr>
            <w:rFonts w:ascii="宋体" w:hAnsi="宋体" w:hint="eastAsia"/>
            <w:noProof/>
            <w:sz w:val="24"/>
          </w:rPr>
          <w:fldChar w:fldCharType="end"/>
        </w:r>
      </w:hyperlink>
    </w:p>
    <w:p w14:paraId="63BD7AD9" w14:textId="5FE1BF35" w:rsidR="005B7AA2" w:rsidRPr="006E5EFC" w:rsidRDefault="009A6366">
      <w:pPr>
        <w:pStyle w:val="23"/>
        <w:tabs>
          <w:tab w:val="right" w:leader="dot" w:pos="8494"/>
        </w:tabs>
        <w:spacing w:line="360" w:lineRule="auto"/>
        <w:rPr>
          <w:rFonts w:ascii="宋体" w:hAnsi="宋体"/>
          <w:noProof/>
          <w:sz w:val="24"/>
        </w:rPr>
      </w:pPr>
      <w:hyperlink w:anchor="_Toc124325905" w:history="1">
        <w:r w:rsidR="00E50B4E" w:rsidRPr="006E5EFC">
          <w:rPr>
            <w:rStyle w:val="af1"/>
            <w:rFonts w:ascii="宋体" w:hAnsi="宋体" w:hint="eastAsia"/>
            <w:noProof/>
            <w:sz w:val="24"/>
          </w:rPr>
          <w:t>二十一、托管协议的签订</w:t>
        </w:r>
        <w:r w:rsidR="00E50B4E" w:rsidRPr="006E5EFC">
          <w:rPr>
            <w:rFonts w:ascii="宋体" w:hAnsi="宋体" w:hint="eastAsia"/>
            <w:noProof/>
            <w:sz w:val="24"/>
          </w:rPr>
          <w:tab/>
        </w:r>
        <w:r w:rsidR="00E50B4E" w:rsidRPr="006E5EFC">
          <w:rPr>
            <w:rFonts w:ascii="宋体" w:hAnsi="宋体" w:hint="eastAsia"/>
            <w:noProof/>
            <w:sz w:val="24"/>
          </w:rPr>
          <w:fldChar w:fldCharType="begin"/>
        </w:r>
        <w:r w:rsidR="00E50B4E" w:rsidRPr="006E5EFC">
          <w:rPr>
            <w:rFonts w:ascii="宋体" w:hAnsi="宋体" w:hint="eastAsia"/>
            <w:noProof/>
            <w:sz w:val="24"/>
          </w:rPr>
          <w:instrText xml:space="preserve"> PAGEREF _Toc124325905 \h </w:instrText>
        </w:r>
        <w:r w:rsidR="00E50B4E" w:rsidRPr="006E5EFC">
          <w:rPr>
            <w:rFonts w:ascii="宋体" w:hAnsi="宋体" w:hint="eastAsia"/>
            <w:noProof/>
            <w:sz w:val="24"/>
          </w:rPr>
        </w:r>
        <w:r w:rsidR="00E50B4E" w:rsidRPr="006E5EFC">
          <w:rPr>
            <w:rFonts w:ascii="宋体" w:hAnsi="宋体" w:hint="eastAsia"/>
            <w:noProof/>
            <w:sz w:val="24"/>
          </w:rPr>
          <w:fldChar w:fldCharType="separate"/>
        </w:r>
        <w:r w:rsidR="006B7DA5">
          <w:rPr>
            <w:rFonts w:ascii="宋体" w:hAnsi="宋体"/>
            <w:noProof/>
            <w:sz w:val="24"/>
          </w:rPr>
          <w:t>44</w:t>
        </w:r>
        <w:r w:rsidR="00E50B4E" w:rsidRPr="006E5EFC">
          <w:rPr>
            <w:rFonts w:ascii="宋体" w:hAnsi="宋体" w:hint="eastAsia"/>
            <w:noProof/>
            <w:sz w:val="24"/>
          </w:rPr>
          <w:fldChar w:fldCharType="end"/>
        </w:r>
      </w:hyperlink>
    </w:p>
    <w:p w14:paraId="771EAFB2" w14:textId="0269F692" w:rsidR="006E5EFC" w:rsidRDefault="00E50B4E">
      <w:pPr>
        <w:spacing w:line="360" w:lineRule="auto"/>
        <w:rPr>
          <w:rFonts w:ascii="宋体" w:hAnsi="宋体"/>
          <w:sz w:val="28"/>
        </w:rPr>
      </w:pPr>
      <w:r>
        <w:rPr>
          <w:rFonts w:ascii="宋体" w:hAnsi="宋体" w:hint="eastAsia"/>
          <w:sz w:val="28"/>
        </w:rPr>
        <w:fldChar w:fldCharType="end"/>
      </w:r>
    </w:p>
    <w:p w14:paraId="3624EE78" w14:textId="77777777" w:rsidR="006E5EFC" w:rsidRDefault="006E5EFC">
      <w:pPr>
        <w:widowControl/>
        <w:jc w:val="left"/>
        <w:rPr>
          <w:rFonts w:ascii="宋体" w:hAnsi="宋体"/>
          <w:sz w:val="28"/>
        </w:rPr>
      </w:pPr>
      <w:r>
        <w:rPr>
          <w:rFonts w:ascii="宋体" w:hAnsi="宋体"/>
          <w:sz w:val="28"/>
        </w:rPr>
        <w:br w:type="page"/>
      </w:r>
    </w:p>
    <w:p w14:paraId="3E19E4C4" w14:textId="77777777" w:rsidR="005B7AA2" w:rsidRDefault="005B7AA2">
      <w:pPr>
        <w:spacing w:line="360" w:lineRule="auto"/>
        <w:rPr>
          <w:rFonts w:ascii="宋体" w:hAnsi="宋体"/>
          <w:sz w:val="24"/>
        </w:rPr>
      </w:pPr>
    </w:p>
    <w:p w14:paraId="6F4729D6" w14:textId="77777777" w:rsidR="005B7AA2" w:rsidRDefault="00E50B4E">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鉴于广发基金管理有限公司系一家依照中国法律合法成立并有效存续的有限责任公司，按照相关法律法规的规定具备担任基金管理人的资格和能力，拟募集发行广发优选回报混合型证券投资基金；</w:t>
      </w:r>
    </w:p>
    <w:p w14:paraId="181CDF6B" w14:textId="77777777" w:rsidR="005B7AA2" w:rsidRDefault="00E50B4E">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26B3DC45" w14:textId="77777777" w:rsidR="005B7AA2" w:rsidRDefault="00E50B4E">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鉴于广发基金管理有限公司拟担任广发优选回报混合型证券投资基金的基金管理人，中国建设银行股份有限公司拟担任广发优选回报混合型证券投资基金的基金托管人；</w:t>
      </w:r>
    </w:p>
    <w:p w14:paraId="5D161915" w14:textId="77777777" w:rsidR="005B7AA2" w:rsidRDefault="00E50B4E">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为</w:t>
      </w:r>
      <w:proofErr w:type="gramStart"/>
      <w:r>
        <w:rPr>
          <w:rFonts w:ascii="宋体" w:hAnsi="宋体" w:cs="Arial" w:hint="eastAsia"/>
          <w:kern w:val="0"/>
          <w:sz w:val="24"/>
        </w:rPr>
        <w:t>明确广</w:t>
      </w:r>
      <w:proofErr w:type="gramEnd"/>
      <w:r>
        <w:rPr>
          <w:rFonts w:ascii="宋体" w:hAnsi="宋体" w:cs="Arial" w:hint="eastAsia"/>
          <w:kern w:val="0"/>
          <w:sz w:val="24"/>
        </w:rPr>
        <w:t>发优选回报混合型证券投资基金的基金管理人和基金托管人之间的权利义务关系，特制订本托管协议；</w:t>
      </w:r>
    </w:p>
    <w:p w14:paraId="33CD288D" w14:textId="77777777" w:rsidR="005B7AA2" w:rsidRDefault="00E50B4E">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除非另有约定，《广发优选回报混合型证券投资基金基金合同》(以下简称“基金合同”)中定义的术语在用于本托管协议时应具有相同的含义；若有抵触应以《基金合同》为准，并依其</w:t>
      </w:r>
      <w:r>
        <w:rPr>
          <w:rFonts w:ascii="宋体" w:hAnsi="宋体" w:cs="Arial" w:hint="eastAsia"/>
          <w:kern w:val="0"/>
          <w:sz w:val="24"/>
        </w:rPr>
        <w:t>条款</w:t>
      </w:r>
      <w:r>
        <w:rPr>
          <w:rFonts w:ascii="宋体" w:hAnsi="宋体" w:cs="Arial" w:hint="eastAsia"/>
          <w:kern w:val="0"/>
          <w:sz w:val="24"/>
          <w:lang w:val="en-GB"/>
        </w:rPr>
        <w:t>解释。</w:t>
      </w:r>
    </w:p>
    <w:p w14:paraId="60996E9B" w14:textId="77777777" w:rsidR="005B7AA2" w:rsidRDefault="005B7AA2">
      <w:pPr>
        <w:spacing w:line="360" w:lineRule="auto"/>
        <w:rPr>
          <w:rFonts w:ascii="宋体" w:hAnsi="宋体"/>
          <w:sz w:val="24"/>
          <w:lang w:val="en-GB"/>
        </w:rPr>
      </w:pPr>
    </w:p>
    <w:p w14:paraId="793511CA" w14:textId="77777777" w:rsidR="005B7AA2" w:rsidRDefault="00E50B4E">
      <w:pPr>
        <w:pStyle w:val="2"/>
        <w:spacing w:line="360" w:lineRule="auto"/>
        <w:jc w:val="center"/>
        <w:rPr>
          <w:rFonts w:ascii="宋体" w:eastAsia="宋体" w:hAnsi="宋体"/>
        </w:rPr>
      </w:pPr>
      <w:bookmarkStart w:id="10" w:name="_Toc124325885"/>
      <w:r>
        <w:rPr>
          <w:rFonts w:ascii="宋体" w:eastAsia="宋体" w:hAnsi="宋体" w:hint="eastAsia"/>
        </w:rPr>
        <w:t>一、基金托管协议当事人</w:t>
      </w:r>
      <w:bookmarkEnd w:id="10"/>
    </w:p>
    <w:p w14:paraId="03F8584A"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w:t>
      </w:r>
    </w:p>
    <w:p w14:paraId="695FC38E"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名称：广发基金管理有限公司</w:t>
      </w:r>
    </w:p>
    <w:p w14:paraId="19DE130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注册地址：广东省珠海市横琴新区环岛东路3018号2608室</w:t>
      </w:r>
    </w:p>
    <w:p w14:paraId="778CB15B" w14:textId="18D84AEF"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w:t>
      </w:r>
      <w:r w:rsidR="00786D72">
        <w:rPr>
          <w:rFonts w:ascii="宋体" w:hAnsi="宋体" w:hint="eastAsia"/>
          <w:color w:val="000000"/>
          <w:sz w:val="24"/>
        </w:rPr>
        <w:t>广东省</w:t>
      </w:r>
      <w:bookmarkStart w:id="11" w:name="_GoBack"/>
      <w:bookmarkEnd w:id="11"/>
      <w:r w:rsidR="003C0D89">
        <w:rPr>
          <w:rFonts w:ascii="宋体" w:hAnsi="宋体" w:hint="eastAsia"/>
          <w:color w:val="000000"/>
          <w:sz w:val="24"/>
        </w:rPr>
        <w:t>广州市海珠区琶洲大道168号星河湾中心28-38层；广东省珠海市横琴新区环岛东路3018号2603-2622室</w:t>
      </w:r>
    </w:p>
    <w:p w14:paraId="6B7CEAA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w:t>
      </w:r>
      <w:r>
        <w:rPr>
          <w:rFonts w:ascii="宋体" w:hAnsi="宋体" w:cs="Arial"/>
          <w:sz w:val="24"/>
        </w:rPr>
        <w:t>510308</w:t>
      </w:r>
    </w:p>
    <w:p w14:paraId="324275B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法定代表人：葛长伟</w:t>
      </w:r>
    </w:p>
    <w:p w14:paraId="3AAAA2C1" w14:textId="66C680DF"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w:t>
      </w:r>
      <w:r>
        <w:rPr>
          <w:rStyle w:val="read"/>
          <w:rFonts w:ascii="宋体" w:hAnsi="宋体" w:cs="Arial" w:hint="eastAsia"/>
          <w:sz w:val="24"/>
        </w:rPr>
        <w:t>2003年8月5日</w:t>
      </w:r>
    </w:p>
    <w:p w14:paraId="3F32A593" w14:textId="684ADBDA"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批准设立机关及批准设立文号：中国证监会</w:t>
      </w:r>
      <w:proofErr w:type="gramStart"/>
      <w:r>
        <w:rPr>
          <w:rFonts w:ascii="宋体" w:hAnsi="宋体" w:cs="Arial" w:hint="eastAsia"/>
          <w:sz w:val="24"/>
        </w:rPr>
        <w:t>证监基字</w:t>
      </w:r>
      <w:proofErr w:type="gramEnd"/>
      <w:r>
        <w:rPr>
          <w:rStyle w:val="read"/>
          <w:rFonts w:ascii="宋体" w:hAnsi="宋体" w:cs="Arial" w:hint="eastAsia"/>
          <w:sz w:val="24"/>
        </w:rPr>
        <w:t>[</w:t>
      </w:r>
      <w:r>
        <w:rPr>
          <w:rStyle w:val="read"/>
          <w:rFonts w:ascii="宋体" w:hAnsi="宋体" w:cs="Arial"/>
          <w:sz w:val="24"/>
        </w:rPr>
        <w:t>2003</w:t>
      </w:r>
      <w:r>
        <w:rPr>
          <w:rStyle w:val="read"/>
          <w:rFonts w:ascii="宋体" w:hAnsi="宋体" w:cs="Arial" w:hint="eastAsia"/>
          <w:sz w:val="24"/>
        </w:rPr>
        <w:t>]</w:t>
      </w:r>
      <w:r>
        <w:rPr>
          <w:rStyle w:val="read"/>
          <w:rFonts w:ascii="宋体" w:hAnsi="宋体" w:cs="Arial"/>
          <w:sz w:val="24"/>
        </w:rPr>
        <w:t>91</w:t>
      </w:r>
      <w:r>
        <w:rPr>
          <w:rFonts w:ascii="宋体" w:hAnsi="宋体" w:cs="Arial" w:hint="eastAsia"/>
          <w:sz w:val="24"/>
        </w:rPr>
        <w:t>号</w:t>
      </w:r>
    </w:p>
    <w:p w14:paraId="1506BB9E"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组织形式：有限责任公司</w:t>
      </w:r>
    </w:p>
    <w:p w14:paraId="5C987A92" w14:textId="359F921C"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注册资本：14,097.8万元人民币存续期间：持续经营</w:t>
      </w:r>
    </w:p>
    <w:p w14:paraId="60A32993"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经营范围：基金募集、基金销售、资产管理和中国证监会许可的其他业务</w:t>
      </w:r>
    </w:p>
    <w:p w14:paraId="6E7ED3E0"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（二）基金托管人</w:t>
      </w:r>
    </w:p>
    <w:p w14:paraId="129332A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名称：中国建设银行股份有限公司(简称：中国建设银行)</w:t>
      </w:r>
    </w:p>
    <w:p w14:paraId="340B41A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住所：北京市西城区金融大街25号</w:t>
      </w:r>
    </w:p>
    <w:p w14:paraId="2EE28FB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办公地址：北京市西城区闹市口大街1号院1号楼</w:t>
      </w:r>
    </w:p>
    <w:p w14:paraId="44B0367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邮政编码：100033</w:t>
      </w:r>
    </w:p>
    <w:p w14:paraId="37269560" w14:textId="45B500F5"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法定代表人：张金良</w:t>
      </w:r>
    </w:p>
    <w:p w14:paraId="5E3D606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成立日期：2004年09月17日</w:t>
      </w:r>
    </w:p>
    <w:p w14:paraId="73A8827E"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基金托管业务批准文号：中国证监会</w:t>
      </w:r>
      <w:proofErr w:type="gramStart"/>
      <w:r>
        <w:rPr>
          <w:rFonts w:ascii="宋体" w:hAnsi="宋体" w:cs="Arial" w:hint="eastAsia"/>
          <w:sz w:val="24"/>
        </w:rPr>
        <w:t>证监基字</w:t>
      </w:r>
      <w:proofErr w:type="gramEnd"/>
      <w:r>
        <w:rPr>
          <w:rFonts w:ascii="宋体" w:hAnsi="宋体" w:cs="Arial" w:hint="eastAsia"/>
          <w:sz w:val="24"/>
        </w:rPr>
        <w:t>[1998</w:t>
      </w:r>
      <w:bookmarkStart w:id="12" w:name="OLE_LINK3"/>
      <w:r>
        <w:rPr>
          <w:rFonts w:ascii="宋体" w:hAnsi="宋体" w:cs="Arial" w:hint="eastAsia"/>
          <w:sz w:val="24"/>
        </w:rPr>
        <w:t>]</w:t>
      </w:r>
      <w:bookmarkEnd w:id="12"/>
      <w:r>
        <w:rPr>
          <w:rFonts w:ascii="宋体" w:hAnsi="宋体" w:cs="Arial" w:hint="eastAsia"/>
          <w:sz w:val="24"/>
        </w:rPr>
        <w:t>12号</w:t>
      </w:r>
    </w:p>
    <w:p w14:paraId="22A320A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组织形式：股份有限公司</w:t>
      </w:r>
    </w:p>
    <w:p w14:paraId="67274F8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w:t>
      </w:r>
      <w:proofErr w:type="gramStart"/>
      <w:r>
        <w:rPr>
          <w:rFonts w:ascii="宋体" w:hAnsi="宋体" w:hint="eastAsia"/>
          <w:sz w:val="24"/>
        </w:rPr>
        <w:t>贰仟伍佰亿壹仟零玖拾柒万柒仟肆佰捌拾陆</w:t>
      </w:r>
      <w:proofErr w:type="gramEnd"/>
      <w:r>
        <w:rPr>
          <w:rFonts w:ascii="宋体" w:hAnsi="宋体" w:hint="eastAsia"/>
          <w:sz w:val="24"/>
        </w:rPr>
        <w:t>元整</w:t>
      </w:r>
    </w:p>
    <w:p w14:paraId="6A239B4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7307EDF1" w14:textId="77777777" w:rsidR="005B7AA2" w:rsidRDefault="00E50B4E">
      <w:pPr>
        <w:tabs>
          <w:tab w:val="left" w:pos="540"/>
        </w:tabs>
        <w:adjustRightInd w:val="0"/>
        <w:snapToGrid w:val="0"/>
        <w:spacing w:line="360" w:lineRule="auto"/>
        <w:ind w:firstLineChars="200" w:firstLine="480"/>
        <w:rPr>
          <w:rFonts w:ascii="宋体" w:hAnsi="宋体" w:cs="Arial"/>
          <w:sz w:val="24"/>
        </w:rPr>
      </w:pPr>
      <w:r>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24034E2" w14:textId="77777777" w:rsidR="005B7AA2" w:rsidRDefault="005B7AA2">
      <w:pPr>
        <w:spacing w:line="360" w:lineRule="auto"/>
        <w:rPr>
          <w:rFonts w:ascii="宋体" w:hAnsi="宋体"/>
          <w:sz w:val="24"/>
        </w:rPr>
      </w:pPr>
    </w:p>
    <w:p w14:paraId="44397F2B" w14:textId="77777777" w:rsidR="005B7AA2" w:rsidRDefault="00E50B4E">
      <w:pPr>
        <w:pStyle w:val="2"/>
        <w:spacing w:line="360" w:lineRule="auto"/>
        <w:jc w:val="center"/>
        <w:rPr>
          <w:rFonts w:ascii="宋体" w:eastAsia="宋体" w:hAnsi="宋体"/>
          <w:sz w:val="30"/>
        </w:rPr>
      </w:pPr>
      <w:bookmarkStart w:id="13" w:name="_Toc124325886"/>
      <w:r>
        <w:rPr>
          <w:rFonts w:ascii="宋体" w:eastAsia="宋体" w:hAnsi="宋体" w:hint="eastAsia"/>
          <w:sz w:val="30"/>
        </w:rPr>
        <w:t>二、基金托管协议的依据、目的和原则</w:t>
      </w:r>
      <w:bookmarkEnd w:id="13"/>
    </w:p>
    <w:p w14:paraId="6CD06FE2" w14:textId="77777777" w:rsidR="005B7AA2" w:rsidRDefault="00E50B4E">
      <w:pPr>
        <w:adjustRightInd w:val="0"/>
        <w:snapToGrid w:val="0"/>
        <w:spacing w:line="360" w:lineRule="auto"/>
        <w:ind w:firstLineChars="200" w:firstLine="480"/>
        <w:rPr>
          <w:rFonts w:ascii="宋体" w:hAnsi="宋体"/>
          <w:sz w:val="24"/>
          <w:szCs w:val="30"/>
        </w:rPr>
      </w:pPr>
      <w:r>
        <w:rPr>
          <w:rFonts w:ascii="宋体" w:hAnsi="宋体" w:cs="Arial" w:hint="eastAsia"/>
          <w:sz w:val="24"/>
        </w:rPr>
        <w:t>（一）订立托管协议的依据</w:t>
      </w:r>
    </w:p>
    <w:p w14:paraId="1361141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本协议依据《中华人民共和国证券投资基金法》(以下简称“《基金法》”)等有关法律法规、《基金合同》及其他有关规定制订。</w:t>
      </w:r>
    </w:p>
    <w:p w14:paraId="0E4C418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（二）订立托管协议的目的</w:t>
      </w:r>
    </w:p>
    <w:p w14:paraId="1E7A67A1" w14:textId="77777777" w:rsidR="005B7AA2" w:rsidRDefault="00E50B4E">
      <w:pPr>
        <w:adjustRightInd w:val="0"/>
        <w:snapToGrid w:val="0"/>
        <w:spacing w:line="360" w:lineRule="auto"/>
        <w:ind w:firstLineChars="200" w:firstLine="480"/>
        <w:rPr>
          <w:rFonts w:ascii="宋体" w:hAnsi="宋体"/>
          <w:sz w:val="24"/>
          <w:szCs w:val="30"/>
        </w:rPr>
      </w:pPr>
      <w:r>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8E65CE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（三）订立托管协议的原则</w:t>
      </w:r>
    </w:p>
    <w:p w14:paraId="188827A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基金管理人和基金托管人本着平等自愿、诚实信用、充分保护基金份额持有人合法权益的原则，经协商一致，签订本协议。</w:t>
      </w:r>
    </w:p>
    <w:p w14:paraId="3A66CC13" w14:textId="77777777" w:rsidR="005B7AA2" w:rsidRDefault="005B7AA2">
      <w:pPr>
        <w:spacing w:line="360" w:lineRule="auto"/>
        <w:rPr>
          <w:rFonts w:ascii="宋体" w:hAnsi="宋体"/>
          <w:sz w:val="24"/>
        </w:rPr>
      </w:pPr>
    </w:p>
    <w:p w14:paraId="14AFBF89" w14:textId="77777777" w:rsidR="005B7AA2" w:rsidRDefault="00E50B4E">
      <w:pPr>
        <w:pStyle w:val="2"/>
        <w:spacing w:line="360" w:lineRule="auto"/>
        <w:jc w:val="center"/>
        <w:rPr>
          <w:rFonts w:ascii="宋体" w:eastAsia="宋体" w:hAnsi="宋体"/>
          <w:sz w:val="30"/>
        </w:rPr>
      </w:pPr>
      <w:bookmarkStart w:id="14" w:name="_Toc124325887"/>
      <w:r>
        <w:rPr>
          <w:rFonts w:ascii="宋体" w:eastAsia="宋体" w:hAnsi="宋体" w:hint="eastAsia"/>
          <w:sz w:val="30"/>
        </w:rPr>
        <w:t>三、基金托管人对基金管理人的业务监督和核查</w:t>
      </w:r>
      <w:bookmarkEnd w:id="14"/>
    </w:p>
    <w:p w14:paraId="35539AF3"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ascii="宋体" w:hAnsi="宋体" w:cs="Arial" w:hint="eastAsia"/>
          <w:sz w:val="24"/>
        </w:rPr>
        <w:t>库提供</w:t>
      </w:r>
      <w:proofErr w:type="gramEnd"/>
      <w:r>
        <w:rPr>
          <w:rFonts w:ascii="宋体" w:hAnsi="宋体" w:cs="Arial" w:hint="eastAsia"/>
          <w:sz w:val="24"/>
        </w:rPr>
        <w:t>给基金托管人，基金管理人可以根据实际情况的变化，对标的证券</w:t>
      </w:r>
      <w:proofErr w:type="gramStart"/>
      <w:r>
        <w:rPr>
          <w:rFonts w:ascii="宋体" w:hAnsi="宋体" w:cs="Arial" w:hint="eastAsia"/>
          <w:sz w:val="24"/>
        </w:rPr>
        <w:t>库予以</w:t>
      </w:r>
      <w:proofErr w:type="gramEnd"/>
      <w:r>
        <w:rPr>
          <w:rFonts w:ascii="宋体" w:hAnsi="宋体" w:cs="Arial" w:hint="eastAsia"/>
          <w:sz w:val="24"/>
        </w:rPr>
        <w:t>更新和调整并及时书面通知基金托管人。基金托管人根据上述投资范围对基金实际投资是否符合《基金合同》关于证券选择标准的约定进行监督。</w:t>
      </w:r>
    </w:p>
    <w:p w14:paraId="636C2E3F" w14:textId="73F59E6E"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本基金的投资范围为具有良好流动性的金融工具，包括国内依法发行上市的股票（包括创业板、</w:t>
      </w:r>
      <w:proofErr w:type="gramStart"/>
      <w:r>
        <w:rPr>
          <w:rFonts w:ascii="宋体" w:hAnsi="宋体" w:cs="Arial" w:hint="eastAsia"/>
          <w:sz w:val="24"/>
        </w:rPr>
        <w:t>科创板</w:t>
      </w:r>
      <w:proofErr w:type="gramEnd"/>
      <w:r>
        <w:rPr>
          <w:rFonts w:ascii="宋体" w:hAnsi="宋体" w:cs="Arial" w:hint="eastAsia"/>
          <w:sz w:val="24"/>
        </w:rPr>
        <w:t>及其他依法发行上市的股票、存托凭证）、港股通标的股票、债券（国债、地方政府债、金融债、企业债、公司债、次级债、可转换债券（</w:t>
      </w:r>
      <w:proofErr w:type="gramStart"/>
      <w:r>
        <w:rPr>
          <w:rFonts w:ascii="宋体" w:hAnsi="宋体" w:cs="Arial" w:hint="eastAsia"/>
          <w:sz w:val="24"/>
        </w:rPr>
        <w:t>含可分离</w:t>
      </w:r>
      <w:proofErr w:type="gramEnd"/>
      <w:r>
        <w:rPr>
          <w:rFonts w:ascii="宋体" w:hAnsi="宋体" w:cs="Arial" w:hint="eastAsia"/>
          <w:sz w:val="24"/>
        </w:rPr>
        <w:t>交易可转债）、可交换债券、央行票据、中期票据、短期融资</w:t>
      </w:r>
      <w:proofErr w:type="gramStart"/>
      <w:r>
        <w:rPr>
          <w:rFonts w:ascii="宋体" w:hAnsi="宋体" w:cs="Arial" w:hint="eastAsia"/>
          <w:sz w:val="24"/>
        </w:rPr>
        <w:t>券</w:t>
      </w:r>
      <w:proofErr w:type="gramEnd"/>
      <w:r>
        <w:rPr>
          <w:rFonts w:ascii="宋体" w:hAnsi="宋体" w:cs="Arial" w:hint="eastAsia"/>
          <w:sz w:val="24"/>
        </w:rPr>
        <w:t>（包括超短期融资</w:t>
      </w:r>
      <w:proofErr w:type="gramStart"/>
      <w:r>
        <w:rPr>
          <w:rFonts w:ascii="宋体" w:hAnsi="宋体" w:cs="Arial" w:hint="eastAsia"/>
          <w:sz w:val="24"/>
        </w:rPr>
        <w:t>券</w:t>
      </w:r>
      <w:proofErr w:type="gramEnd"/>
      <w:r>
        <w:rPr>
          <w:rFonts w:ascii="宋体" w:hAnsi="宋体" w:cs="Arial" w:hint="eastAsia"/>
          <w:sz w:val="24"/>
        </w:rPr>
        <w:t>）等）、资产支持证券、债券回购、同业存单、银行存款、货币市场工具、股指期货、国债期货、</w:t>
      </w:r>
      <w:r w:rsidR="00C42D4F">
        <w:rPr>
          <w:rFonts w:ascii="宋体" w:hAnsi="宋体" w:cs="Arial" w:hint="eastAsia"/>
          <w:sz w:val="24"/>
        </w:rPr>
        <w:t>股票</w:t>
      </w:r>
      <w:r>
        <w:rPr>
          <w:rFonts w:ascii="宋体" w:hAnsi="宋体" w:cs="Arial" w:hint="eastAsia"/>
          <w:sz w:val="24"/>
        </w:rPr>
        <w:t>期权以及法律法规或中国证监会允许基金投资的其他金融工具（但须符合中国证监会相关规定）。</w:t>
      </w:r>
    </w:p>
    <w:p w14:paraId="48371C2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如法律法规或监管机构以后允许基金投资其他品种，基金管理人在履行适当程序后，可以将其纳入投资范围，并可依据届时有效的法律法规适时合理地调整投资范围。</w:t>
      </w:r>
    </w:p>
    <w:p w14:paraId="053FC1EA" w14:textId="5ECD989E"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本基金为混合型基金，基金的投资组合比例为：股票资产占基金资产的比例为60%-95%，其中投资于港股通标的股票不超过股票资产的50%；每个交易日日终在扣除股指期货合约、国债期货合约、</w:t>
      </w:r>
      <w:r w:rsidR="00C42D4F">
        <w:rPr>
          <w:rFonts w:ascii="宋体" w:hAnsi="宋体" w:cs="Arial" w:hint="eastAsia"/>
          <w:sz w:val="24"/>
        </w:rPr>
        <w:t>股票</w:t>
      </w:r>
      <w:r>
        <w:rPr>
          <w:rFonts w:ascii="宋体" w:hAnsi="宋体" w:cs="Arial" w:hint="eastAsia"/>
          <w:sz w:val="24"/>
        </w:rPr>
        <w:t>期权合约需缴纳的交易保证金后，应当保持现金或者到期日在一年以内的政府债券不低于基金资产净值的5%，其中现金不得包括结算备付金、存出保证金及应收申购款等；股指期货、国债期货、</w:t>
      </w:r>
      <w:r w:rsidR="00C42D4F">
        <w:rPr>
          <w:rFonts w:ascii="宋体" w:hAnsi="宋体" w:cs="Arial" w:hint="eastAsia"/>
          <w:sz w:val="24"/>
        </w:rPr>
        <w:t>股票</w:t>
      </w:r>
      <w:r>
        <w:rPr>
          <w:rFonts w:ascii="宋体" w:hAnsi="宋体" w:cs="Arial" w:hint="eastAsia"/>
          <w:sz w:val="24"/>
        </w:rPr>
        <w:t>期权及其他金融工具的投资比例依照法律法规或监管机构的规定执行。</w:t>
      </w:r>
    </w:p>
    <w:p w14:paraId="79FED4E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如未来法律法规或监管机构对投资比例要求有变更的，基金管理人在履行适当程序后，可以做出相应调整。</w:t>
      </w:r>
    </w:p>
    <w:p w14:paraId="14BAA5C1" w14:textId="77777777" w:rsidR="005B7AA2" w:rsidRDefault="00E50B4E">
      <w:pPr>
        <w:adjustRightInd w:val="0"/>
        <w:snapToGrid w:val="0"/>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（二）基金托管人根据有关法律法规的规定及《基金合同》的约定，对基金投资、融资比例进行监督。基金托管人按下述比例和调整期限进行监督：</w:t>
      </w:r>
    </w:p>
    <w:p w14:paraId="5775A0B3"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lastRenderedPageBreak/>
        <w:t>1.股票资产占基金资产的比例为60%-95%，其中投资于港股通标的股票不超过股票资产的50%；</w:t>
      </w:r>
    </w:p>
    <w:p w14:paraId="56A2C6B9" w14:textId="4CC98705"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2.每个交易日日终在扣除股指期货合约、国债期货合约、</w:t>
      </w:r>
      <w:r w:rsidR="00C42D4F" w:rsidRPr="006814CC">
        <w:rPr>
          <w:rFonts w:ascii="宋体" w:hAnsi="宋体" w:cs="Arial" w:hint="eastAsia"/>
          <w:sz w:val="24"/>
        </w:rPr>
        <w:t>股票</w:t>
      </w:r>
      <w:r w:rsidRPr="00F93683">
        <w:rPr>
          <w:rFonts w:ascii="宋体" w:hAnsi="宋体" w:hint="eastAsia"/>
          <w:sz w:val="24"/>
        </w:rPr>
        <w:t>期权合约需缴纳的交易保证金后，应当保持现金或者到期日在一年以内的政府债券不低于基金资产净值的5%，其中现金不得包括结算备付金、存出保证金及应收申购款等；</w:t>
      </w:r>
    </w:p>
    <w:p w14:paraId="3DAE7CED"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3.本基金持有一家公司发行的证券，其市值（同一家公司在境内和香港同时上市的A+H股合并计算）不超过基金资产净值的10%；</w:t>
      </w:r>
    </w:p>
    <w:p w14:paraId="69FB6224"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4.本基金管理人管理且由本基金托管人托管的全部基金持有一家公司发行的证券（同一家公司在境内和香港同时上市的A+H股合并计算），不超过该证券的10%；</w:t>
      </w:r>
    </w:p>
    <w:p w14:paraId="6BF0FB4F"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5.本基金投资于同一原始权益人的各类资产支持证券的比例，不得超过基金资产净值的10%；</w:t>
      </w:r>
    </w:p>
    <w:p w14:paraId="16E5E5AF"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6.本基金持有的全部资产支持证券，其市值不得超过基金资产净值的20%；</w:t>
      </w:r>
    </w:p>
    <w:p w14:paraId="0CA93847"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7.本基金持有的同一（指同一信用级别）资产支持证券的比例，不得超过该资产支持证券规模的10%；</w:t>
      </w:r>
    </w:p>
    <w:p w14:paraId="52E0BD21"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8.本基金管理人管理且由本基金托管人托管的全部基金投资于同一原始权益人的各类资产支持证券，不得超过其各类资产支持证券合计规模的10%；</w:t>
      </w:r>
    </w:p>
    <w:p w14:paraId="12C483D1"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1801A0D3"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10.基金财产参与股票发行申购，本基金所申报的金额不超过本基金的总资产，本基金所申报的股票数量不超过拟发行股票公司本次发行股票的总量；</w:t>
      </w:r>
    </w:p>
    <w:p w14:paraId="11838576"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7DA3CC4A"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lastRenderedPageBreak/>
        <w:t>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0FE13D94" w14:textId="285A1576"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13.本基金参与股票期权交易的，应当符合下列风险控制指标要求：基金因未平仓的期权合约支付和收取的权利金总额不得超过基金资产净值的10%；未平仓的期权合约面值不得超过基金资产净值的20%。其中，合约面值按照行权价乘以合约乘数计算；</w:t>
      </w:r>
    </w:p>
    <w:p w14:paraId="74A0B14E"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14.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3BEF585"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FDDD6A4"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16.本</w:t>
      </w:r>
      <w:proofErr w:type="gramStart"/>
      <w:r w:rsidRPr="00F93683">
        <w:rPr>
          <w:rFonts w:ascii="宋体" w:hAnsi="宋体" w:hint="eastAsia"/>
          <w:sz w:val="24"/>
        </w:rPr>
        <w:t>基金基金</w:t>
      </w:r>
      <w:proofErr w:type="gramEnd"/>
      <w:r w:rsidRPr="00F93683">
        <w:rPr>
          <w:rFonts w:ascii="宋体" w:hAnsi="宋体" w:hint="eastAsia"/>
          <w:sz w:val="24"/>
        </w:rPr>
        <w:t>总资产不得超过基金净资产的140%；</w:t>
      </w:r>
    </w:p>
    <w:p w14:paraId="5C803DEC"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17.本基金投资存托凭证的比例限制依照境内上市交易的股票执行，与境内上市交易的股票合并计算；</w:t>
      </w:r>
    </w:p>
    <w:p w14:paraId="3ED4799A" w14:textId="77777777" w:rsidR="005B7AA2" w:rsidRPr="00F93683" w:rsidRDefault="00E50B4E">
      <w:pPr>
        <w:adjustRightInd w:val="0"/>
        <w:snapToGrid w:val="0"/>
        <w:spacing w:line="360" w:lineRule="auto"/>
        <w:ind w:firstLineChars="200" w:firstLine="480"/>
        <w:rPr>
          <w:rFonts w:ascii="宋体" w:hAnsi="宋体"/>
          <w:sz w:val="24"/>
        </w:rPr>
      </w:pPr>
      <w:r w:rsidRPr="00F93683">
        <w:rPr>
          <w:rFonts w:ascii="宋体" w:hAnsi="宋体" w:hint="eastAsia"/>
          <w:sz w:val="24"/>
        </w:rPr>
        <w:t>18.法律法规及中国证监会规定的和《基金合同》约定的其他投资限制。</w:t>
      </w:r>
    </w:p>
    <w:p w14:paraId="01BEDB0B" w14:textId="625C8A0C" w:rsidR="005B7AA2" w:rsidRPr="006814CC" w:rsidRDefault="00E50B4E" w:rsidP="006814CC">
      <w:pPr>
        <w:adjustRightInd w:val="0"/>
        <w:snapToGrid w:val="0"/>
        <w:spacing w:line="360" w:lineRule="auto"/>
        <w:rPr>
          <w:rFonts w:ascii="宋体" w:hAnsi="宋体" w:cs="Arial"/>
          <w:sz w:val="24"/>
        </w:rPr>
      </w:pPr>
      <w:r w:rsidRPr="00F93683">
        <w:rPr>
          <w:rFonts w:ascii="宋体" w:hAnsi="宋体" w:hint="eastAsia"/>
          <w:sz w:val="24"/>
        </w:rPr>
        <w:t>除上述第2、9、15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11E5E122" w14:textId="77777777" w:rsidR="005B7AA2" w:rsidRDefault="00E50B4E">
      <w:pPr>
        <w:adjustRightInd w:val="0"/>
        <w:snapToGrid w:val="0"/>
        <w:spacing w:line="360" w:lineRule="auto"/>
        <w:ind w:firstLineChars="200" w:firstLine="480"/>
        <w:rPr>
          <w:rFonts w:ascii="宋体" w:hAnsi="宋体"/>
          <w:sz w:val="24"/>
        </w:rPr>
      </w:pPr>
      <w:r>
        <w:rPr>
          <w:rFonts w:ascii="宋体" w:hAnsi="宋体" w:hint="eastAsia"/>
          <w:sz w:val="24"/>
        </w:rPr>
        <w:t>如果法律法规及监管政策等对上述投资组合比例限制进行变更的，如适用于本基金，基金管理人在履行适当程序后，以变更后的规定为准。法律法规或监管政策等取消上述限制的，如适用于本基金，基金管理人在履行适当程序后，则本基金投资不再受相关限制。</w:t>
      </w:r>
    </w:p>
    <w:p w14:paraId="384BF699" w14:textId="0CB13A08" w:rsidR="005B7AA2" w:rsidRDefault="00E50B4E">
      <w:pPr>
        <w:adjustRightInd w:val="0"/>
        <w:snapToGrid w:val="0"/>
        <w:spacing w:line="360" w:lineRule="auto"/>
        <w:ind w:firstLineChars="200" w:firstLine="480"/>
        <w:rPr>
          <w:rFonts w:ascii="宋体" w:hAnsi="宋体"/>
          <w:sz w:val="24"/>
        </w:rPr>
      </w:pPr>
      <w:r>
        <w:rPr>
          <w:rFonts w:ascii="宋体" w:hAnsi="宋体" w:hint="eastAsia"/>
          <w:sz w:val="24"/>
        </w:rPr>
        <w:lastRenderedPageBreak/>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5401263"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（三）基金托管人</w:t>
      </w:r>
      <w:bookmarkStart w:id="15" w:name="OLE_LINK1"/>
      <w:r>
        <w:rPr>
          <w:rFonts w:ascii="宋体" w:hAnsi="宋体" w:cs="Arial" w:hint="eastAsia"/>
          <w:sz w:val="24"/>
        </w:rPr>
        <w:t>根据有关法律法规的规定及《基金合同》的约定，</w:t>
      </w:r>
      <w:bookmarkEnd w:id="15"/>
      <w:r>
        <w:rPr>
          <w:rFonts w:ascii="宋体" w:hAnsi="宋体" w:cs="Arial" w:hint="eastAsia"/>
          <w:sz w:val="24"/>
        </w:rPr>
        <w:t>对本托管协议第十五条第（九）</w:t>
      </w:r>
      <w:proofErr w:type="gramStart"/>
      <w:r>
        <w:rPr>
          <w:rFonts w:ascii="宋体" w:hAnsi="宋体" w:cs="Arial" w:hint="eastAsia"/>
          <w:sz w:val="24"/>
        </w:rPr>
        <w:t>款基金</w:t>
      </w:r>
      <w:proofErr w:type="gramEnd"/>
      <w:r>
        <w:rPr>
          <w:rFonts w:ascii="宋体" w:hAnsi="宋体" w:cs="Arial" w:hint="eastAsia"/>
          <w:sz w:val="24"/>
        </w:rPr>
        <w:t>投资禁止行为通过事后监督方式进行监督。</w:t>
      </w:r>
    </w:p>
    <w:p w14:paraId="160E52C2" w14:textId="2EA4433C"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w:t>
      </w:r>
      <w:r w:rsidR="00C42D4F">
        <w:rPr>
          <w:rFonts w:ascii="宋体" w:hAnsi="宋体" w:cs="Arial" w:hint="eastAsia"/>
          <w:sz w:val="24"/>
        </w:rPr>
        <w:t>应提交基金管理人董事会审议，并经过三分之二以上的独立董事通过。</w:t>
      </w:r>
    </w:p>
    <w:p w14:paraId="3E899A7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（四）基金托管人根据有关法律法规的规定及《基金合同》的约定，对基金管理人投资流通受限证券进行监督。</w:t>
      </w:r>
    </w:p>
    <w:p w14:paraId="3FF6C33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hint="eastAsia"/>
          <w:sz w:val="24"/>
        </w:rPr>
        <w:t>基金管理人投资流通受限证券，应事先根据中国证监会相关规定，明确基金投资流通受限证券的比例，</w:t>
      </w:r>
      <w:r>
        <w:rPr>
          <w:rFonts w:ascii="宋体" w:hAnsi="宋体" w:cs="Arial" w:hint="eastAsia"/>
          <w:sz w:val="24"/>
        </w:rPr>
        <w:t>制订严格的投资决策流程和风险控制制度，防范流动性风险、法律风险和操作风险等各种风险。</w:t>
      </w:r>
    </w:p>
    <w:p w14:paraId="78ABA024" w14:textId="77777777" w:rsidR="005B7AA2" w:rsidRDefault="00E50B4E">
      <w:pPr>
        <w:adjustRightInd w:val="0"/>
        <w:snapToGrid w:val="0"/>
        <w:spacing w:line="360" w:lineRule="auto"/>
        <w:ind w:firstLineChars="200" w:firstLine="480"/>
        <w:rPr>
          <w:rFonts w:ascii="宋体" w:hAnsi="宋体"/>
          <w:sz w:val="24"/>
        </w:rPr>
      </w:pPr>
      <w:r>
        <w:rPr>
          <w:rFonts w:ascii="宋体" w:hAnsi="宋体" w:cs="Arial" w:hint="eastAsia"/>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 w:val="24"/>
        </w:rPr>
        <w:t>券</w:t>
      </w:r>
      <w:proofErr w:type="gramEnd"/>
      <w:r>
        <w:rPr>
          <w:rFonts w:ascii="宋体" w:hAnsi="宋体" w:hint="eastAsia"/>
          <w:sz w:val="24"/>
        </w:rPr>
        <w:t>等流通受限证券。本基金不投资有</w:t>
      </w:r>
      <w:proofErr w:type="gramStart"/>
      <w:r>
        <w:rPr>
          <w:rFonts w:ascii="宋体" w:hAnsi="宋体" w:hint="eastAsia"/>
          <w:sz w:val="24"/>
        </w:rPr>
        <w:t>锁定期但锁定</w:t>
      </w:r>
      <w:proofErr w:type="gramEnd"/>
      <w:r>
        <w:rPr>
          <w:rFonts w:ascii="宋体" w:hAnsi="宋体" w:hint="eastAsia"/>
          <w:sz w:val="24"/>
        </w:rPr>
        <w:t>期不明确的证券。</w:t>
      </w:r>
    </w:p>
    <w:p w14:paraId="6B2B87C0" w14:textId="77777777" w:rsidR="005B7AA2" w:rsidRDefault="00E50B4E">
      <w:pPr>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0003C891" w14:textId="77777777" w:rsidR="005B7AA2" w:rsidRDefault="00E50B4E">
      <w:pPr>
        <w:adjustRightInd w:val="0"/>
        <w:snapToGrid w:val="0"/>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投资的流通受限证券应保证登记存管在本基金名下，基金管理人负责相关工作的落实和协调，并确保基金托管人能够正常查询。因基金管理</w:t>
      </w:r>
      <w:proofErr w:type="gramStart"/>
      <w:r>
        <w:rPr>
          <w:rFonts w:ascii="宋体" w:hAnsi="宋体" w:hint="eastAsia"/>
          <w:sz w:val="24"/>
        </w:rPr>
        <w:t>人原因</w:t>
      </w:r>
      <w:proofErr w:type="gramEnd"/>
      <w:r>
        <w:rPr>
          <w:rFonts w:ascii="宋体" w:hAnsi="宋体" w:hint="eastAsia"/>
          <w:sz w:val="24"/>
        </w:rPr>
        <w:t>产生的流通受限证券登记存管问题，造成基金托管人无法安全保管本基金资产的责任与损失，及因流通受限证券存管直接影响本基金安全的责任及损失，由基金管理人承担。</w:t>
      </w:r>
    </w:p>
    <w:p w14:paraId="2C3200E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本基金</w:t>
      </w:r>
      <w:r>
        <w:rPr>
          <w:rFonts w:ascii="宋体" w:hAnsi="宋体" w:hint="eastAsia"/>
          <w:sz w:val="24"/>
        </w:rPr>
        <w:t>投资流通受限证券，不得预付任何形式的保证金。</w:t>
      </w:r>
      <w:r>
        <w:rPr>
          <w:rFonts w:ascii="宋体" w:hAnsi="宋体" w:cs="Arial" w:hint="eastAsia"/>
          <w:sz w:val="24"/>
        </w:rPr>
        <w:t>若有最新法律法规、</w:t>
      </w:r>
      <w:r>
        <w:rPr>
          <w:rFonts w:ascii="宋体" w:hAnsi="宋体" w:cs="Arial" w:hint="eastAsia"/>
          <w:sz w:val="24"/>
        </w:rPr>
        <w:lastRenderedPageBreak/>
        <w:t>监管政策变更规定的，根据最新法律法规、监管政策执行</w:t>
      </w:r>
    </w:p>
    <w:p w14:paraId="15584C93" w14:textId="77777777" w:rsidR="005B7AA2" w:rsidRDefault="00E50B4E">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777E515E" w14:textId="77777777" w:rsidR="005B7AA2" w:rsidRDefault="00E50B4E">
      <w:pPr>
        <w:spacing w:line="360" w:lineRule="auto"/>
        <w:ind w:firstLineChars="200" w:firstLine="480"/>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宋体" w:hAnsi="宋体" w:hint="eastAsia"/>
          <w:sz w:val="24"/>
        </w:rPr>
        <w:t>人原因</w:t>
      </w:r>
      <w:proofErr w:type="gramEnd"/>
      <w:r>
        <w:rPr>
          <w:rFonts w:ascii="宋体" w:hAnsi="宋体" w:hint="eastAsia"/>
          <w:sz w:val="24"/>
        </w:rPr>
        <w:t>导致本基金出现损失致使基金托管人承担连带赔偿责任的，基金管理人应赔偿基金托管人由此遭受的损失。</w:t>
      </w:r>
    </w:p>
    <w:p w14:paraId="440480EA" w14:textId="77777777" w:rsidR="005B7AA2" w:rsidRDefault="00E50B4E">
      <w:pPr>
        <w:spacing w:line="360" w:lineRule="auto"/>
        <w:ind w:firstLineChars="200" w:firstLine="480"/>
        <w:rPr>
          <w:rFonts w:ascii="宋体" w:hAnsi="宋体"/>
          <w:sz w:val="24"/>
        </w:rPr>
      </w:pPr>
      <w:r>
        <w:rPr>
          <w:rFonts w:ascii="宋体" w:hAnsi="宋体" w:cs="Arial" w:hint="eastAsia"/>
          <w:sz w:val="24"/>
        </w:rPr>
        <w:t>3.</w:t>
      </w:r>
      <w:r>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BD279AE" w14:textId="77777777" w:rsidR="005B7AA2" w:rsidRDefault="00E50B4E">
      <w:pPr>
        <w:spacing w:line="360" w:lineRule="auto"/>
        <w:ind w:firstLineChars="200" w:firstLine="480"/>
        <w:rPr>
          <w:rFonts w:ascii="宋体" w:hAnsi="宋体"/>
          <w:sz w:val="24"/>
        </w:rPr>
      </w:pPr>
      <w:r>
        <w:rPr>
          <w:rFonts w:ascii="宋体" w:hAnsi="宋体" w:hint="eastAsia"/>
          <w:sz w:val="24"/>
        </w:rPr>
        <w:t>（1）中国证监会批准发行非公开发行股票的批准文件。</w:t>
      </w:r>
    </w:p>
    <w:p w14:paraId="5492FEE5" w14:textId="77777777" w:rsidR="005B7AA2" w:rsidRDefault="00E50B4E">
      <w:pPr>
        <w:spacing w:line="360" w:lineRule="auto"/>
        <w:ind w:firstLineChars="200" w:firstLine="480"/>
        <w:rPr>
          <w:rFonts w:ascii="宋体" w:hAnsi="宋体"/>
          <w:sz w:val="24"/>
        </w:rPr>
      </w:pPr>
      <w:r>
        <w:rPr>
          <w:rFonts w:ascii="宋体" w:hAnsi="宋体" w:hint="eastAsia"/>
          <w:sz w:val="24"/>
        </w:rPr>
        <w:t>（2）非公开发行股票有关发行数量、发行价格、锁定期等发行资料。</w:t>
      </w:r>
    </w:p>
    <w:p w14:paraId="26498C9B" w14:textId="6EB42664" w:rsidR="005B7AA2" w:rsidRDefault="00E50B4E">
      <w:pPr>
        <w:adjustRightInd w:val="0"/>
        <w:snapToGrid w:val="0"/>
        <w:spacing w:line="360" w:lineRule="auto"/>
        <w:ind w:firstLineChars="200" w:firstLine="480"/>
        <w:rPr>
          <w:rFonts w:ascii="宋体" w:hAnsi="宋体" w:cs="Arial"/>
          <w:sz w:val="24"/>
        </w:rPr>
      </w:pPr>
      <w:r>
        <w:rPr>
          <w:rFonts w:ascii="宋体" w:hAnsi="宋体" w:hint="eastAsia"/>
          <w:sz w:val="24"/>
        </w:rPr>
        <w:t>（</w:t>
      </w:r>
      <w:r w:rsidR="00C42D4F">
        <w:rPr>
          <w:rFonts w:ascii="宋体" w:hAnsi="宋体"/>
          <w:sz w:val="24"/>
        </w:rPr>
        <w:t>3</w:t>
      </w:r>
      <w:r>
        <w:rPr>
          <w:rFonts w:ascii="宋体" w:hAnsi="宋体" w:hint="eastAsia"/>
          <w:sz w:val="24"/>
        </w:rPr>
        <w:t>）基金拟认购的数量、价格、总成本、账面价值。</w:t>
      </w:r>
    </w:p>
    <w:p w14:paraId="6EA3E1FC" w14:textId="77777777" w:rsidR="005B7AA2" w:rsidRDefault="00E50B4E">
      <w:pPr>
        <w:spacing w:line="360" w:lineRule="auto"/>
        <w:ind w:firstLineChars="200" w:firstLine="480"/>
        <w:rPr>
          <w:rFonts w:ascii="宋体" w:hAnsi="宋体"/>
          <w:sz w:val="24"/>
        </w:rPr>
      </w:pPr>
      <w:r>
        <w:rPr>
          <w:rFonts w:ascii="宋体" w:hAnsi="宋体" w:cs="Arial" w:hint="eastAsia"/>
          <w:sz w:val="24"/>
        </w:rPr>
        <w:t>4.</w:t>
      </w:r>
      <w:r>
        <w:rPr>
          <w:rFonts w:ascii="宋体" w:hAnsi="宋体"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20216BEC" w14:textId="1031C31E" w:rsidR="005B7AA2" w:rsidRDefault="00E50B4E">
      <w:pPr>
        <w:spacing w:line="360" w:lineRule="auto"/>
        <w:ind w:firstLineChars="200" w:firstLine="480"/>
        <w:rPr>
          <w:rFonts w:ascii="宋体" w:hAnsi="宋体"/>
          <w:sz w:val="24"/>
        </w:rPr>
      </w:pPr>
      <w:r>
        <w:rPr>
          <w:rFonts w:ascii="宋体" w:hAnsi="宋体" w:hint="eastAsia"/>
          <w:sz w:val="24"/>
        </w:rPr>
        <w:t>本基金有关投资流通受限证券比例如违反有关限制规定，在合理期限内未能进行及时调整，基金管理人应在两日内编制临时报告书，予以公告。</w:t>
      </w:r>
    </w:p>
    <w:p w14:paraId="3D35FB73" w14:textId="178633C6" w:rsidR="005B7AA2" w:rsidRDefault="00E50B4E">
      <w:pPr>
        <w:adjustRightInd w:val="0"/>
        <w:snapToGrid w:val="0"/>
        <w:spacing w:line="360" w:lineRule="auto"/>
        <w:ind w:firstLineChars="200" w:firstLine="480"/>
        <w:rPr>
          <w:rFonts w:ascii="宋体" w:hAnsi="宋体"/>
          <w:sz w:val="24"/>
        </w:rPr>
      </w:pPr>
      <w:r>
        <w:rPr>
          <w:rFonts w:ascii="宋体" w:hAnsi="宋体" w:cs="Arial"/>
          <w:sz w:val="24"/>
        </w:rPr>
        <w:t>5</w:t>
      </w:r>
      <w:r>
        <w:rPr>
          <w:rFonts w:ascii="宋体" w:hAnsi="宋体" w:cs="Arial" w:hint="eastAsia"/>
          <w:sz w:val="24"/>
        </w:rPr>
        <w:t>.</w:t>
      </w:r>
      <w:r>
        <w:rPr>
          <w:rFonts w:ascii="宋体" w:hAnsi="宋体" w:hint="eastAsia"/>
          <w:sz w:val="24"/>
        </w:rPr>
        <w:t>相关法律法规对基金投资流通受限证券有新规定的，从其规定。</w:t>
      </w:r>
    </w:p>
    <w:p w14:paraId="1F1E1B12" w14:textId="0D39969D"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（五）基金托管人根据有关法律法规的规定及《基金合同》的约定，对基金资产净值计算、</w:t>
      </w:r>
      <w:r>
        <w:rPr>
          <w:rFonts w:asciiTheme="minorEastAsia" w:hAnsiTheme="minorEastAsia" w:cs="Times New Roman" w:hint="eastAsia"/>
          <w:sz w:val="24"/>
        </w:rPr>
        <w:t>各类</w:t>
      </w:r>
      <w:r>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42EF4336" w14:textId="1E58C5DE" w:rsidR="000C2F29" w:rsidRDefault="00E50B4E" w:rsidP="000C2F29">
      <w:pPr>
        <w:adjustRightInd w:val="0"/>
        <w:snapToGrid w:val="0"/>
        <w:spacing w:line="360" w:lineRule="auto"/>
        <w:ind w:firstLineChars="200" w:firstLine="480"/>
        <w:rPr>
          <w:rFonts w:ascii="宋体" w:hAnsi="宋体" w:cs="Arial"/>
          <w:sz w:val="24"/>
        </w:rPr>
      </w:pPr>
      <w:r>
        <w:rPr>
          <w:rFonts w:ascii="宋体" w:hAnsi="宋体" w:cs="Arial" w:hint="eastAsia"/>
          <w:sz w:val="24"/>
        </w:rPr>
        <w:t>（六）基金托管人发现基金管理人的上述事项及投资指令或实际投资运作违</w:t>
      </w:r>
      <w:r>
        <w:rPr>
          <w:rFonts w:ascii="宋体" w:hAnsi="宋体" w:cs="Arial" w:hint="eastAsia"/>
          <w:sz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EAB8AD9" w14:textId="184076F5" w:rsidR="00325D55" w:rsidRDefault="00325D55" w:rsidP="000C2F29">
      <w:pPr>
        <w:adjustRightInd w:val="0"/>
        <w:snapToGrid w:val="0"/>
        <w:spacing w:line="360" w:lineRule="auto"/>
        <w:ind w:firstLineChars="200" w:firstLine="480"/>
        <w:rPr>
          <w:rFonts w:ascii="宋体" w:hAnsi="宋体" w:cs="Arial"/>
          <w:sz w:val="24"/>
        </w:rPr>
      </w:pPr>
      <w:r w:rsidRPr="00325D55">
        <w:rPr>
          <w:rFonts w:ascii="宋体" w:hAnsi="宋体" w:cs="Arial" w:hint="eastAsia"/>
          <w:sz w:val="24"/>
        </w:rPr>
        <w:t>基金托管人投资监督的准确性和完整性受限于基金管理人、证券经纪商及其他中介机构提供的数据和信息。基金托管人在充分获取所必需数据信息的前提下提供投资监督服务。</w:t>
      </w:r>
    </w:p>
    <w:p w14:paraId="6B79F4AF" w14:textId="2675DB4D"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0ACDE4D" w14:textId="126AD871"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（八）</w:t>
      </w:r>
      <w:proofErr w:type="gramStart"/>
      <w:r>
        <w:rPr>
          <w:rFonts w:ascii="宋体" w:hAnsi="宋体" w:cs="Arial" w:hint="eastAsia"/>
          <w:sz w:val="24"/>
        </w:rPr>
        <w:t>若基金</w:t>
      </w:r>
      <w:proofErr w:type="gramEnd"/>
      <w:r>
        <w:rPr>
          <w:rFonts w:ascii="宋体"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42D90C36" w14:textId="27FE14C2"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1BB63E19" w14:textId="77777777" w:rsidR="005B7AA2" w:rsidRDefault="00E50B4E">
      <w:pPr>
        <w:pStyle w:val="2"/>
        <w:spacing w:line="360" w:lineRule="auto"/>
        <w:jc w:val="center"/>
        <w:rPr>
          <w:rFonts w:ascii="宋体" w:eastAsia="宋体" w:hAnsi="宋体"/>
          <w:sz w:val="30"/>
        </w:rPr>
      </w:pPr>
      <w:bookmarkStart w:id="16" w:name="_Toc119402710"/>
      <w:bookmarkStart w:id="17" w:name="_Toc89163368"/>
      <w:bookmarkStart w:id="18" w:name="_Toc108512358"/>
      <w:bookmarkStart w:id="19" w:name="_Toc110830492"/>
      <w:bookmarkStart w:id="20" w:name="_Toc118212950"/>
      <w:bookmarkStart w:id="21" w:name="_Toc118774803"/>
      <w:bookmarkStart w:id="22" w:name="_Toc118972648"/>
      <w:bookmarkStart w:id="23" w:name="_Toc120435783"/>
      <w:bookmarkStart w:id="24" w:name="_Toc86225291"/>
      <w:bookmarkStart w:id="25" w:name="_Toc86727355"/>
      <w:bookmarkStart w:id="26" w:name="_Toc86223242"/>
      <w:bookmarkStart w:id="27" w:name="_Toc86737929"/>
      <w:bookmarkStart w:id="28" w:name="_Toc110761796"/>
      <w:bookmarkStart w:id="29" w:name="_Toc86726439"/>
      <w:bookmarkStart w:id="30" w:name="_Toc86649722"/>
      <w:bookmarkStart w:id="31" w:name="_Toc110765660"/>
      <w:bookmarkStart w:id="32" w:name="_Toc124325888"/>
      <w:r>
        <w:rPr>
          <w:rFonts w:ascii="宋体" w:eastAsia="宋体" w:hAnsi="宋体" w:hint="eastAsia"/>
          <w:sz w:val="30"/>
        </w:rPr>
        <w:t>四、基金管理人对基金托管人的业务核查</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9790DB0"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w:t>
      </w:r>
      <w:r>
        <w:rPr>
          <w:rFonts w:asciiTheme="minorEastAsia" w:hAnsiTheme="minorEastAsia" w:cs="Times New Roman" w:hint="eastAsia"/>
          <w:sz w:val="24"/>
        </w:rPr>
        <w:t>各类</w:t>
      </w:r>
      <w:r>
        <w:rPr>
          <w:rFonts w:ascii="宋体" w:hAnsi="宋体" w:cs="Arial" w:hint="eastAsia"/>
          <w:sz w:val="24"/>
        </w:rPr>
        <w:t>基金份额净值、根据基金管理人指令办理清算交收、相关信息披露和监督基金投资运作等行为。</w:t>
      </w:r>
    </w:p>
    <w:p w14:paraId="7C92ED51"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宋体" w:hAnsi="宋体" w:cs="Arial" w:hint="eastAsia"/>
          <w:sz w:val="24"/>
        </w:rPr>
        <w:t>供基金</w:t>
      </w:r>
      <w:proofErr w:type="gramEnd"/>
      <w:r>
        <w:rPr>
          <w:rFonts w:ascii="宋体" w:hAnsi="宋体" w:cs="Arial" w:hint="eastAsia"/>
          <w:sz w:val="24"/>
        </w:rPr>
        <w:t>管理人核查托管财产的完整性和真实性，在规定时间内答复基金管理人并改正。</w:t>
      </w:r>
    </w:p>
    <w:p w14:paraId="2BA727A6"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6A8E272" w14:textId="77777777" w:rsidR="005B7AA2" w:rsidRDefault="005B7AA2">
      <w:pPr>
        <w:spacing w:line="360" w:lineRule="auto"/>
        <w:rPr>
          <w:rFonts w:ascii="宋体" w:hAnsi="宋体"/>
          <w:sz w:val="24"/>
        </w:rPr>
      </w:pPr>
    </w:p>
    <w:p w14:paraId="580412C5" w14:textId="77777777" w:rsidR="005B7AA2" w:rsidRDefault="00E50B4E">
      <w:pPr>
        <w:pStyle w:val="2"/>
        <w:spacing w:line="360" w:lineRule="auto"/>
        <w:jc w:val="center"/>
        <w:rPr>
          <w:rFonts w:ascii="宋体" w:eastAsia="宋体" w:hAnsi="宋体"/>
          <w:sz w:val="30"/>
        </w:rPr>
      </w:pPr>
      <w:bookmarkStart w:id="33" w:name="_Toc84133786"/>
      <w:bookmarkStart w:id="34" w:name="_Toc84234388"/>
      <w:bookmarkStart w:id="35" w:name="_Toc86223243"/>
      <w:bookmarkStart w:id="36" w:name="_Toc110761797"/>
      <w:bookmarkStart w:id="37" w:name="_Toc124325889"/>
      <w:bookmarkStart w:id="38" w:name="_Toc86649723"/>
      <w:bookmarkStart w:id="39" w:name="_Toc86225292"/>
      <w:bookmarkStart w:id="40" w:name="_Toc119402711"/>
      <w:bookmarkStart w:id="41" w:name="_Toc86727356"/>
      <w:bookmarkStart w:id="42" w:name="_Toc110830493"/>
      <w:bookmarkStart w:id="43" w:name="_Toc89163369"/>
      <w:bookmarkStart w:id="44" w:name="_Toc86737930"/>
      <w:bookmarkStart w:id="45" w:name="_Toc118212951"/>
      <w:bookmarkStart w:id="46" w:name="_Toc86204789"/>
      <w:bookmarkStart w:id="47" w:name="_Toc118972649"/>
      <w:bookmarkStart w:id="48" w:name="_Toc86726440"/>
      <w:bookmarkStart w:id="49" w:name="_Toc84234435"/>
      <w:bookmarkStart w:id="50" w:name="_Toc110765661"/>
      <w:bookmarkStart w:id="51" w:name="_Toc118774804"/>
      <w:bookmarkStart w:id="52" w:name="_Toc108512359"/>
      <w:bookmarkStart w:id="53" w:name="_Toc120435784"/>
      <w:r>
        <w:rPr>
          <w:rFonts w:ascii="宋体" w:eastAsia="宋体" w:hAnsi="宋体" w:hint="eastAsia"/>
          <w:sz w:val="30"/>
        </w:rPr>
        <w:t>五、基金财产的保管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F50E3DD"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（一）基金财产保管的原则</w:t>
      </w:r>
    </w:p>
    <w:p w14:paraId="4D425606"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1.基金财产应独立于基金管理人、基金托管人的固有财产。</w:t>
      </w:r>
    </w:p>
    <w:p w14:paraId="04EAFBA0"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2.基金托管人应安全保管基金财产。</w:t>
      </w:r>
    </w:p>
    <w:p w14:paraId="45C3DBA0"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3.基金托管人按照规定开设基金财产的资金账户和证券账户。</w:t>
      </w:r>
    </w:p>
    <w:p w14:paraId="05CD734D"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4.基金托管人对所托管的不同基金财产分别设置账户，确保基金财产的完整与独立。</w:t>
      </w:r>
    </w:p>
    <w:p w14:paraId="35CD1336"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5.基金托管人按照《基金合同》和本协议的约定保管基金财产，如有特殊情况双方可另行协商解决。基金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宋体" w:hAnsi="宋体" w:hint="eastAsia"/>
          <w:sz w:val="24"/>
        </w:rPr>
        <w:t>收交易</w:t>
      </w:r>
      <w:proofErr w:type="gramEnd"/>
      <w:r>
        <w:rPr>
          <w:rFonts w:ascii="宋体" w:hAnsi="宋体" w:hint="eastAsia"/>
          <w:sz w:val="24"/>
        </w:rPr>
        <w:t>费、结算费和账户维护费等费用）。</w:t>
      </w:r>
    </w:p>
    <w:p w14:paraId="1766C7FA"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6.对于因为基金投资产生的应收资产，应由基金管理人负责与有关当事人确定到账日期并通知基金托管人，到账日基金财产没有到达基金账户的，基金托管人</w:t>
      </w:r>
      <w:r>
        <w:rPr>
          <w:rFonts w:ascii="宋体" w:hAnsi="宋体" w:cs="Arial" w:hint="eastAsia"/>
          <w:sz w:val="24"/>
        </w:rPr>
        <w:lastRenderedPageBreak/>
        <w:t>应及时通知基金管理人采取措施进行催收。由此给基金财产造成损失的，基金管理人应负责向有关当事人追偿基金财产的损失，基金托管人对此不承担任何责任。</w:t>
      </w:r>
    </w:p>
    <w:p w14:paraId="5D126EA0"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7.除依据法律法规和《基金合同》的规定外，基金托管人不得委托第三人托管基金财产。</w:t>
      </w:r>
    </w:p>
    <w:p w14:paraId="272AE1CB"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（二）基金募集期间及募集资金的验资</w:t>
      </w:r>
    </w:p>
    <w:p w14:paraId="3324F147" w14:textId="469BD0B5"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1.基金募集期间募集的资金应存于“基金募集专户”。该账户由基金管理人开立并管理。</w:t>
      </w:r>
    </w:p>
    <w:p w14:paraId="2B49040A" w14:textId="1878324B"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符合《证券法》规定的注册会计师签字方为有效。</w:t>
      </w:r>
    </w:p>
    <w:p w14:paraId="2B2CC5E8"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3.</w:t>
      </w:r>
      <w:proofErr w:type="gramStart"/>
      <w:r>
        <w:rPr>
          <w:rFonts w:ascii="宋体" w:hAnsi="宋体" w:cs="Arial" w:hint="eastAsia"/>
          <w:sz w:val="24"/>
        </w:rPr>
        <w:t>若基金</w:t>
      </w:r>
      <w:proofErr w:type="gramEnd"/>
      <w:r>
        <w:rPr>
          <w:rFonts w:ascii="宋体" w:hAnsi="宋体" w:cs="Arial" w:hint="eastAsia"/>
          <w:sz w:val="24"/>
        </w:rPr>
        <w:t>募集期限届满，未能达到《基金合同》生效的条件，由基金管理人按规定办理退款等事宜。</w:t>
      </w:r>
    </w:p>
    <w:p w14:paraId="6FB119B0"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（三）基金托管资金账户的开立和管理</w:t>
      </w:r>
    </w:p>
    <w:p w14:paraId="78336EEB" w14:textId="61B19333"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1.基金托管人可以基金的名义在其营业机构开立基金的托管资金账户，并根据基金管理人合法合</w:t>
      </w:r>
      <w:proofErr w:type="gramStart"/>
      <w:r>
        <w:rPr>
          <w:rFonts w:ascii="宋体" w:hAnsi="宋体" w:cs="Arial" w:hint="eastAsia"/>
          <w:sz w:val="24"/>
        </w:rPr>
        <w:t>规</w:t>
      </w:r>
      <w:proofErr w:type="gramEnd"/>
      <w:r>
        <w:rPr>
          <w:rFonts w:ascii="宋体" w:hAnsi="宋体" w:cs="Arial" w:hint="eastAsia"/>
          <w:sz w:val="24"/>
        </w:rPr>
        <w:t>的指令办理资金收付。本基金的银行预留印鉴由基金托管人保管和使用。</w:t>
      </w:r>
    </w:p>
    <w:p w14:paraId="6833227B"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0CBEC54B"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3.基金托管资金账户的开立和管理应符合银行业监督管理机构的有关规定。</w:t>
      </w:r>
    </w:p>
    <w:p w14:paraId="0DA38459"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4.在符合法律法规规定的条件下，基金托管人可以通过基金托管人专用账户办理基金资产的支付。</w:t>
      </w:r>
    </w:p>
    <w:p w14:paraId="5519035A" w14:textId="6DB0067A" w:rsidR="005B7AA2" w:rsidRDefault="00E50B4E">
      <w:pPr>
        <w:adjustRightInd w:val="0"/>
        <w:snapToGrid w:val="0"/>
        <w:spacing w:line="360" w:lineRule="auto"/>
        <w:ind w:firstLine="480"/>
        <w:rPr>
          <w:rFonts w:ascii="宋体" w:hAnsi="宋体" w:cs="Arial"/>
          <w:sz w:val="24"/>
        </w:rPr>
      </w:pPr>
      <w:r w:rsidRPr="00F93683">
        <w:rPr>
          <w:rFonts w:ascii="宋体" w:hAnsi="宋体" w:hint="eastAsia"/>
          <w:sz w:val="24"/>
        </w:rPr>
        <w:t>5</w:t>
      </w:r>
      <w:r w:rsidR="00AB5FDF">
        <w:rPr>
          <w:rFonts w:ascii="宋体" w:hAnsi="宋体" w:cs="Arial" w:hint="eastAsia"/>
          <w:sz w:val="24"/>
        </w:rPr>
        <w:t>.</w:t>
      </w:r>
      <w:r w:rsidRPr="00F93683">
        <w:rPr>
          <w:rFonts w:ascii="宋体" w:hAnsi="宋体" w:hint="eastAsia"/>
          <w:sz w:val="24"/>
        </w:rPr>
        <w:t>基金管理人应于托管产品到期后及时完成收益兑付、费用结清及其他应收应付款项资金划转，在确保后续不再发生款项进出后的10个工作日内向托管人发出销户申请。</w:t>
      </w:r>
    </w:p>
    <w:p w14:paraId="3BA2764D"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（四）基金证券账户和结算备付金账户的开立和管理</w:t>
      </w:r>
    </w:p>
    <w:p w14:paraId="62A1434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1.基金托管人在中国证券登记结算有限责任公司为基金开立基金托管人与基</w:t>
      </w:r>
      <w:r>
        <w:rPr>
          <w:rFonts w:ascii="宋体" w:hAnsi="宋体" w:cs="Arial" w:hint="eastAsia"/>
          <w:sz w:val="24"/>
        </w:rPr>
        <w:lastRenderedPageBreak/>
        <w:t>金联名的证券账户。</w:t>
      </w:r>
    </w:p>
    <w:p w14:paraId="5FA017A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BB80F0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3.基金证券账户的开立和证券账户卡的保管由基金托管人负责，账户资产的管理和运用由基金管理人负责。</w:t>
      </w:r>
    </w:p>
    <w:p w14:paraId="7F2448B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2E068CE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宋体" w:hAnsi="宋体" w:cs="Arial" w:hint="eastAsia"/>
          <w:sz w:val="24"/>
        </w:rPr>
        <w:t>收资金</w:t>
      </w:r>
      <w:proofErr w:type="gramEnd"/>
      <w:r>
        <w:rPr>
          <w:rFonts w:ascii="宋体" w:hAnsi="宋体" w:cs="Arial" w:hint="eastAsia"/>
          <w:sz w:val="24"/>
        </w:rPr>
        <w:t>等的收取按照中国证券登记结算有限责任公司的规定以及基金管理人与基金托管人签署的《托管银行证券资金结算协议》执行。</w:t>
      </w:r>
    </w:p>
    <w:p w14:paraId="4C57DCC5" w14:textId="14F56C2F"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5</w:t>
      </w:r>
      <w:r w:rsidR="00AB5FDF">
        <w:rPr>
          <w:rFonts w:ascii="宋体" w:hAnsi="宋体" w:cs="Arial" w:hint="eastAsia"/>
          <w:sz w:val="24"/>
        </w:rPr>
        <w:t>.</w:t>
      </w:r>
      <w:r>
        <w:rPr>
          <w:rFonts w:ascii="宋体" w:hAnsi="宋体" w:cs="Arial" w:hint="eastAsia"/>
          <w:sz w:val="24"/>
        </w:rPr>
        <w:t>账户注销时，在遵守中国证券登记结算有限责任公司的相关规定下，由管理人和托管人协商确认主要办理人。账户注销期间，主要办理人如需另一方提供配合的，另一方应予以配合。</w:t>
      </w:r>
    </w:p>
    <w:p w14:paraId="61BD588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宋体" w:hAnsi="宋体" w:cs="Arial" w:hint="eastAsia"/>
          <w:sz w:val="24"/>
        </w:rPr>
        <w:t>则基金</w:t>
      </w:r>
      <w:proofErr w:type="gramEnd"/>
      <w:r>
        <w:rPr>
          <w:rFonts w:ascii="宋体" w:hAnsi="宋体" w:cs="Arial" w:hint="eastAsia"/>
          <w:sz w:val="24"/>
        </w:rPr>
        <w:t>托管人比照上述关于账户开立、使用的规定执行。</w:t>
      </w:r>
    </w:p>
    <w:p w14:paraId="37F9AFD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（五）银行间账户的开设和管理</w:t>
      </w:r>
    </w:p>
    <w:p w14:paraId="00DAEC6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36830CCC" w14:textId="0E7069B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（六）其他账户的开立和管理</w:t>
      </w:r>
    </w:p>
    <w:p w14:paraId="5C8EB37E"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988CA41"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lastRenderedPageBreak/>
        <w:t>2.法律法规等有关规定对相关账户的开立和管理另有规定的，从其规定办理。</w:t>
      </w:r>
    </w:p>
    <w:p w14:paraId="3FC40584" w14:textId="099441AA"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（七）基金财产投资的有关有价凭证等的保管</w:t>
      </w:r>
    </w:p>
    <w:p w14:paraId="5E1473FD" w14:textId="77777777" w:rsidR="005B7AA2" w:rsidRDefault="00E50B4E">
      <w:pPr>
        <w:adjustRightInd w:val="0"/>
        <w:snapToGrid w:val="0"/>
        <w:spacing w:line="360" w:lineRule="auto"/>
        <w:ind w:firstLineChars="200" w:firstLine="480"/>
        <w:rPr>
          <w:rFonts w:ascii="宋体" w:hAnsi="宋体" w:cs="Arial"/>
        </w:rPr>
      </w:pPr>
      <w:r>
        <w:rPr>
          <w:rFonts w:ascii="宋体" w:hAnsi="宋体" w:cs="Arial" w:hint="eastAsia"/>
          <w:sz w:val="24"/>
        </w:rPr>
        <w:t>基金财产投资的有关实物证券、银行</w:t>
      </w:r>
      <w:r>
        <w:rPr>
          <w:rFonts w:ascii="宋体" w:hAnsi="宋体" w:hint="eastAsia"/>
          <w:sz w:val="24"/>
        </w:rPr>
        <w:t>存款开户证实书</w:t>
      </w:r>
      <w:r>
        <w:rPr>
          <w:rFonts w:ascii="宋体" w:hAnsi="宋体" w:cs="Arial" w:hint="eastAsia"/>
          <w:sz w:val="24"/>
        </w:rPr>
        <w:t>等有价凭证由基金托管人存放于基金托管人的保管库，也可存入法律法规有关规定允许的</w:t>
      </w:r>
      <w:proofErr w:type="gramStart"/>
      <w:r>
        <w:rPr>
          <w:rFonts w:ascii="宋体" w:hAnsi="宋体" w:cs="Arial" w:hint="eastAsia"/>
          <w:sz w:val="24"/>
        </w:rPr>
        <w:t>各类代保管</w:t>
      </w:r>
      <w:proofErr w:type="gramEnd"/>
      <w:r>
        <w:rPr>
          <w:rFonts w:ascii="宋体"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1B2A559" w14:textId="17A7C25E"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（八）与基金财产有关的重大合同的保管</w:t>
      </w:r>
    </w:p>
    <w:p w14:paraId="4D7E2B83" w14:textId="3B9384D7" w:rsidR="005B7AA2" w:rsidRDefault="00E50B4E">
      <w:pPr>
        <w:adjustRightInd w:val="0"/>
        <w:snapToGrid w:val="0"/>
        <w:spacing w:line="360" w:lineRule="auto"/>
        <w:ind w:firstLineChars="200" w:firstLine="480"/>
        <w:rPr>
          <w:rFonts w:ascii="宋体" w:hAnsi="宋体"/>
          <w:sz w:val="30"/>
          <w:szCs w:val="30"/>
        </w:rPr>
      </w:pPr>
      <w:r>
        <w:rPr>
          <w:rFonts w:ascii="宋体"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7C5814CE" w14:textId="77777777" w:rsidR="005B7AA2" w:rsidRDefault="005B7AA2">
      <w:pPr>
        <w:spacing w:line="360" w:lineRule="auto"/>
        <w:rPr>
          <w:rFonts w:ascii="宋体" w:hAnsi="宋体"/>
          <w:sz w:val="24"/>
        </w:rPr>
      </w:pPr>
    </w:p>
    <w:p w14:paraId="5A232955" w14:textId="77777777" w:rsidR="005B7AA2" w:rsidRDefault="00E50B4E">
      <w:pPr>
        <w:pStyle w:val="2"/>
        <w:spacing w:line="360" w:lineRule="auto"/>
        <w:jc w:val="center"/>
        <w:rPr>
          <w:rFonts w:ascii="宋体" w:eastAsia="宋体" w:hAnsi="宋体"/>
          <w:sz w:val="30"/>
        </w:rPr>
      </w:pPr>
      <w:bookmarkStart w:id="54" w:name="_Toc86727357"/>
      <w:bookmarkStart w:id="55" w:name="_Toc86737931"/>
      <w:bookmarkStart w:id="56" w:name="_Toc108512360"/>
      <w:bookmarkStart w:id="57" w:name="_Toc86204790"/>
      <w:bookmarkStart w:id="58" w:name="_Toc84133787"/>
      <w:bookmarkStart w:id="59" w:name="_Toc84234436"/>
      <w:bookmarkStart w:id="60" w:name="_Toc86223244"/>
      <w:bookmarkStart w:id="61" w:name="_Toc86225293"/>
      <w:bookmarkStart w:id="62" w:name="_Toc86649724"/>
      <w:bookmarkStart w:id="63" w:name="_Toc86726441"/>
      <w:bookmarkStart w:id="64" w:name="_Toc89163370"/>
      <w:bookmarkStart w:id="65" w:name="_Toc84234389"/>
      <w:bookmarkStart w:id="66" w:name="_Toc110761798"/>
      <w:bookmarkStart w:id="67" w:name="_Toc119402712"/>
      <w:bookmarkStart w:id="68" w:name="_Toc118972650"/>
      <w:bookmarkStart w:id="69" w:name="_Toc110765662"/>
      <w:bookmarkStart w:id="70" w:name="_Toc118212952"/>
      <w:bookmarkStart w:id="71" w:name="_Toc124325890"/>
      <w:bookmarkStart w:id="72" w:name="_Toc110830494"/>
      <w:bookmarkStart w:id="73" w:name="_Toc118774805"/>
      <w:bookmarkStart w:id="74" w:name="_Toc120435785"/>
      <w:r>
        <w:rPr>
          <w:rFonts w:ascii="宋体" w:eastAsia="宋体" w:hAnsi="宋体" w:hint="eastAsia"/>
          <w:sz w:val="30"/>
        </w:rPr>
        <w:t>六、指令的发送、确认及执行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1F57D85"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11DD106A"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（一）基金管理人对发送指令人员的书面授权</w:t>
      </w:r>
    </w:p>
    <w:p w14:paraId="68CB75B7" w14:textId="6CD1EBF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1.基金管理人应指定专人向基金托管人发送指令。</w:t>
      </w:r>
    </w:p>
    <w:p w14:paraId="606FEB0F" w14:textId="0767067F"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 xml:space="preserve">2.基金管理人应向基金托管人提供书面授权文件原件，内容包括被授权人名单、预留印鉴及被授权人签字样本，授权文件应注明被授权人相应的权限, </w:t>
      </w:r>
      <w:r w:rsidR="006E5EFC">
        <w:rPr>
          <w:rFonts w:ascii="宋体" w:hAnsi="宋体" w:cs="Arial" w:hint="eastAsia"/>
          <w:sz w:val="24"/>
        </w:rPr>
        <w:t>并加盖单位公章。</w:t>
      </w:r>
    </w:p>
    <w:p w14:paraId="409988C6" w14:textId="36F3D82A"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5D20E41A" w14:textId="1183B144" w:rsidR="005B7AA2" w:rsidRDefault="00E50B4E" w:rsidP="000C2F29">
      <w:pPr>
        <w:adjustRightInd w:val="0"/>
        <w:snapToGrid w:val="0"/>
        <w:spacing w:line="360" w:lineRule="auto"/>
        <w:ind w:firstLine="480"/>
        <w:rPr>
          <w:rFonts w:ascii="宋体" w:hAnsi="宋体" w:cs="Arial"/>
          <w:sz w:val="24"/>
        </w:rPr>
      </w:pPr>
      <w:r>
        <w:rPr>
          <w:rFonts w:ascii="宋体" w:hAnsi="宋体" w:cs="Arial" w:hint="eastAsia"/>
          <w:sz w:val="24"/>
        </w:rPr>
        <w:t>4.基金管理人和基金托管人对授权文件负有保密义务，其内容不得向被授权</w:t>
      </w:r>
      <w:r>
        <w:rPr>
          <w:rFonts w:ascii="宋体" w:hAnsi="宋体" w:cs="Arial" w:hint="eastAsia"/>
          <w:sz w:val="24"/>
        </w:rPr>
        <w:lastRenderedPageBreak/>
        <w:t>人及相关操作人员以外的任何人泄露。但法律法规规定或有权机关要求的除外。</w:t>
      </w:r>
    </w:p>
    <w:p w14:paraId="51DBA0EC"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（二）指令的内容</w:t>
      </w:r>
    </w:p>
    <w:p w14:paraId="71B951A7"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1.指令包括付款指令以及其他资金划拨指令等。</w:t>
      </w:r>
    </w:p>
    <w:p w14:paraId="6D7E5E4A"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2.基金管理人发给基金托管人的指令应写明款项事由、支付时间、到账时间、金额、收付款账户等，加盖预留印鉴并由被授权人签字。</w:t>
      </w:r>
    </w:p>
    <w:p w14:paraId="23F42902"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（三）指令的发送、确认及执行的时间和程序</w:t>
      </w:r>
    </w:p>
    <w:p w14:paraId="68D5E965"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1.指令的发送</w:t>
      </w:r>
    </w:p>
    <w:p w14:paraId="7167C651"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基金管理人发送指令应采用传真方式或双方协商一致的其他方式。</w:t>
      </w:r>
    </w:p>
    <w:p w14:paraId="35301095"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FF8E10D"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指令发出后，基金管理人应及时以电话方式向基金托管人确认。</w:t>
      </w:r>
    </w:p>
    <w:p w14:paraId="59DE56AF" w14:textId="77777777" w:rsidR="005B7AA2" w:rsidRDefault="00E50B4E">
      <w:pPr>
        <w:adjustRightInd w:val="0"/>
        <w:snapToGrid w:val="0"/>
        <w:spacing w:line="360" w:lineRule="auto"/>
        <w:ind w:firstLine="480"/>
        <w:rPr>
          <w:rFonts w:ascii="宋体" w:hAnsi="宋体" w:cs="Arial"/>
          <w:sz w:val="24"/>
        </w:rPr>
      </w:pPr>
      <w:r>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41B062CC"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2.指令的确认</w:t>
      </w:r>
    </w:p>
    <w:p w14:paraId="26CB032E"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545B1BC"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3.指令的时间和执行</w:t>
      </w:r>
    </w:p>
    <w:p w14:paraId="6DC051B6" w14:textId="77777777" w:rsidR="005B7AA2" w:rsidRDefault="00E50B4E">
      <w:pPr>
        <w:pStyle w:val="a6"/>
        <w:spacing w:line="360" w:lineRule="auto"/>
        <w:ind w:firstLineChars="0"/>
        <w:rPr>
          <w:rFonts w:ascii="宋体" w:eastAsia="宋体" w:hAnsi="宋体" w:cs="Arial"/>
          <w:szCs w:val="24"/>
          <w:shd w:val="pct10" w:color="auto" w:fill="FFFFFF"/>
        </w:rPr>
      </w:pPr>
      <w:r>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宋体" w:eastAsia="宋体" w:hAnsi="宋体" w:cs="Arial" w:hint="eastAsia"/>
        </w:rPr>
        <w:t>并相关</w:t>
      </w:r>
      <w:proofErr w:type="gramEnd"/>
      <w:r>
        <w:rPr>
          <w:rFonts w:ascii="宋体" w:eastAsia="宋体" w:hAnsi="宋体" w:cs="Arial" w:hint="eastAsia"/>
        </w:rPr>
        <w:t>付款条件已经具备。基金托管人将视</w:t>
      </w:r>
      <w:r>
        <w:rPr>
          <w:rFonts w:ascii="宋体" w:eastAsia="宋体" w:hAnsi="宋体" w:cs="Arial" w:hint="eastAsia"/>
        </w:rPr>
        <w:lastRenderedPageBreak/>
        <w:t>付款条件具备时为指令送达时间。对新股申购网下发行业务，基金管理人应在网下申购缴款日(T日)的前一工作日下班前将指令发送给基金托管人，指令发送时间最迟不应晚于T日上午10:00。</w:t>
      </w:r>
      <w:r>
        <w:rPr>
          <w:rFonts w:ascii="宋体" w:eastAsia="宋体" w:hAnsi="宋体" w:cs="Arial" w:hint="eastAsia"/>
          <w:szCs w:val="24"/>
        </w:rPr>
        <w:t>基金管理人应确保基金托管人在执行指令时，基金托管资金账户有足够的资金余额，</w:t>
      </w:r>
      <w:r>
        <w:rPr>
          <w:rFonts w:ascii="宋体" w:eastAsia="宋体" w:hAnsi="宋体" w:cs="Arial" w:hint="eastAsia"/>
        </w:rPr>
        <w:t>在基金资金头寸充足的情况下，基金托管人对基金管理人符合法律法规、《基金合同》、本协议的指令不得拖延或拒绝执行。</w:t>
      </w:r>
    </w:p>
    <w:p w14:paraId="060B99D9" w14:textId="77777777" w:rsidR="005B7AA2" w:rsidRDefault="00E50B4E">
      <w:pPr>
        <w:pStyle w:val="a6"/>
        <w:spacing w:line="360" w:lineRule="auto"/>
        <w:ind w:firstLineChars="0"/>
        <w:rPr>
          <w:rFonts w:ascii="宋体" w:eastAsia="宋体" w:hAnsi="宋体" w:cs="Arial"/>
        </w:rPr>
      </w:pPr>
      <w:r>
        <w:rPr>
          <w:rFonts w:ascii="宋体" w:eastAsia="宋体" w:hAnsi="宋体" w:cs="Arial" w:hint="eastAsia"/>
        </w:rPr>
        <w:t>（四）基金管理人发送错误指令的情形和处理程序</w:t>
      </w:r>
    </w:p>
    <w:p w14:paraId="0619CE83"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基金管理人发送错误指令的情形包括指令违反法律法规、监管规定、《基金合同》或本协议的约定，或指令发送人员无权或超越权限发送指令。</w:t>
      </w:r>
    </w:p>
    <w:p w14:paraId="27141F4E"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4A01B12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（五）基金托管人未按照基金管理人指令执行的处理方法</w:t>
      </w:r>
    </w:p>
    <w:p w14:paraId="3DF5F963"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宋体" w:hAnsi="宋体" w:hint="eastAsia"/>
          <w:sz w:val="24"/>
        </w:rPr>
        <w:t>赔偿由此造成的直接损失。</w:t>
      </w:r>
    </w:p>
    <w:p w14:paraId="206D2B1A" w14:textId="475078F6" w:rsidR="005B7AA2" w:rsidRDefault="00E50B4E" w:rsidP="000C2F29">
      <w:pPr>
        <w:adjustRightInd w:val="0"/>
        <w:snapToGrid w:val="0"/>
        <w:spacing w:line="360" w:lineRule="auto"/>
        <w:ind w:firstLine="480"/>
        <w:rPr>
          <w:rFonts w:ascii="宋体" w:hAnsi="宋体" w:cs="Arial"/>
          <w:sz w:val="24"/>
        </w:rPr>
      </w:pPr>
      <w:r>
        <w:rPr>
          <w:rFonts w:ascii="宋体" w:hAnsi="宋体" w:cs="Arial" w:hint="eastAsia"/>
          <w:sz w:val="24"/>
        </w:rPr>
        <w:t>（六）更换被授权人员的程序</w:t>
      </w:r>
    </w:p>
    <w:p w14:paraId="171B39A6" w14:textId="53CF7653" w:rsidR="005B7AA2" w:rsidRDefault="00E50B4E" w:rsidP="000C2F29">
      <w:pPr>
        <w:adjustRightInd w:val="0"/>
        <w:snapToGrid w:val="0"/>
        <w:spacing w:line="360" w:lineRule="auto"/>
        <w:ind w:firstLine="480"/>
        <w:rPr>
          <w:rFonts w:ascii="宋体" w:hAnsi="宋体" w:cs="Arial"/>
          <w:sz w:val="24"/>
        </w:rPr>
      </w:pPr>
      <w:r>
        <w:rPr>
          <w:rFonts w:ascii="宋体"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w:t>
      </w:r>
      <w:proofErr w:type="gramStart"/>
      <w:r>
        <w:rPr>
          <w:rFonts w:ascii="宋体" w:hAnsi="宋体" w:cs="Arial" w:hint="eastAsia"/>
          <w:sz w:val="24"/>
        </w:rPr>
        <w:t>人文件</w:t>
      </w:r>
      <w:proofErr w:type="gramEnd"/>
      <w:r>
        <w:rPr>
          <w:rFonts w:ascii="宋体" w:hAnsi="宋体" w:cs="Arial" w:hint="eastAsia"/>
          <w:sz w:val="24"/>
        </w:rPr>
        <w:t>正本。新的授权文件生效之后，正本送达之前，基金托管人按照新的授权文件扫描</w:t>
      </w:r>
      <w:proofErr w:type="gramStart"/>
      <w:r>
        <w:rPr>
          <w:rFonts w:ascii="宋体" w:hAnsi="宋体" w:cs="Arial" w:hint="eastAsia"/>
          <w:sz w:val="24"/>
        </w:rPr>
        <w:t>件内容</w:t>
      </w:r>
      <w:proofErr w:type="gramEnd"/>
      <w:r>
        <w:rPr>
          <w:rFonts w:ascii="宋体" w:hAnsi="宋体" w:cs="Arial" w:hint="eastAsia"/>
          <w:sz w:val="24"/>
        </w:rPr>
        <w:t>执行有关业务，如果新的授权文件正本与扫描</w:t>
      </w:r>
      <w:proofErr w:type="gramStart"/>
      <w:r>
        <w:rPr>
          <w:rFonts w:ascii="宋体" w:hAnsi="宋体" w:cs="Arial" w:hint="eastAsia"/>
          <w:sz w:val="24"/>
        </w:rPr>
        <w:t>件内容</w:t>
      </w:r>
      <w:proofErr w:type="gramEnd"/>
      <w:r>
        <w:rPr>
          <w:rFonts w:ascii="宋体" w:hAnsi="宋体" w:cs="Arial" w:hint="eastAsia"/>
          <w:sz w:val="24"/>
        </w:rPr>
        <w:t>不同，由此产生的责任由基金管理人承担</w:t>
      </w:r>
      <w:r>
        <w:rPr>
          <w:rFonts w:ascii="宋体" w:hAnsi="宋体" w:hint="eastAsia"/>
          <w:sz w:val="24"/>
        </w:rPr>
        <w:t>。</w:t>
      </w:r>
      <w:r>
        <w:rPr>
          <w:rFonts w:ascii="宋体" w:hAnsi="宋体" w:cs="Arial" w:hint="eastAsia"/>
          <w:sz w:val="24"/>
        </w:rPr>
        <w:t>基金托管人更换接受基金管理人指令的</w:t>
      </w:r>
      <w:r w:rsidRPr="006814CC">
        <w:rPr>
          <w:rFonts w:ascii="宋体" w:hAnsi="宋体" w:cs="Arial" w:hint="eastAsia"/>
          <w:sz w:val="24"/>
        </w:rPr>
        <w:t>传真号或邮箱地址</w:t>
      </w:r>
      <w:r>
        <w:rPr>
          <w:rFonts w:ascii="宋体" w:hAnsi="宋体" w:cs="Arial" w:hint="eastAsia"/>
          <w:sz w:val="24"/>
        </w:rPr>
        <w:t>，应提前通知基金管理人。</w:t>
      </w:r>
    </w:p>
    <w:p w14:paraId="0A7F476F" w14:textId="58FB2286" w:rsidR="005B7AA2" w:rsidRDefault="00E50B4E" w:rsidP="007441D1">
      <w:pPr>
        <w:adjustRightInd w:val="0"/>
        <w:snapToGrid w:val="0"/>
        <w:spacing w:line="360" w:lineRule="auto"/>
        <w:ind w:firstLine="480"/>
        <w:rPr>
          <w:rFonts w:ascii="宋体" w:hAnsi="宋体" w:cs="Arial"/>
          <w:sz w:val="24"/>
        </w:rPr>
      </w:pPr>
      <w:r>
        <w:rPr>
          <w:rFonts w:ascii="宋体" w:hAnsi="宋体" w:cs="Arial" w:hint="eastAsia"/>
          <w:sz w:val="24"/>
        </w:rPr>
        <w:t>（七）其他事项</w:t>
      </w:r>
    </w:p>
    <w:p w14:paraId="4FE434A8"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00C4E7E1"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D0043DC" w14:textId="77777777" w:rsidR="005B7AA2" w:rsidRDefault="005B7AA2">
      <w:pPr>
        <w:adjustRightInd w:val="0"/>
        <w:snapToGrid w:val="0"/>
        <w:spacing w:line="360" w:lineRule="auto"/>
        <w:rPr>
          <w:rFonts w:ascii="宋体" w:hAnsi="宋体" w:cs="Arial"/>
          <w:sz w:val="24"/>
        </w:rPr>
      </w:pPr>
    </w:p>
    <w:p w14:paraId="2E380D57" w14:textId="77777777" w:rsidR="005B7AA2" w:rsidRDefault="00E50B4E">
      <w:pPr>
        <w:pStyle w:val="2"/>
        <w:spacing w:line="360" w:lineRule="auto"/>
        <w:jc w:val="center"/>
        <w:rPr>
          <w:rFonts w:ascii="宋体" w:eastAsia="宋体" w:hAnsi="宋体"/>
          <w:sz w:val="30"/>
        </w:rPr>
      </w:pPr>
      <w:bookmarkStart w:id="75" w:name="_Toc86223245"/>
      <w:bookmarkStart w:id="76" w:name="_Toc84234437"/>
      <w:bookmarkStart w:id="77" w:name="_Toc86649725"/>
      <w:bookmarkStart w:id="78" w:name="_Toc86726442"/>
      <w:bookmarkStart w:id="79" w:name="_Toc86204791"/>
      <w:bookmarkStart w:id="80" w:name="_Toc86225294"/>
      <w:bookmarkStart w:id="81" w:name="_Toc84234390"/>
      <w:bookmarkStart w:id="82" w:name="_Toc86727358"/>
      <w:bookmarkStart w:id="83" w:name="_Toc86737932"/>
      <w:bookmarkStart w:id="84" w:name="_Toc84133788"/>
      <w:bookmarkStart w:id="85" w:name="_Toc119402713"/>
      <w:bookmarkStart w:id="86" w:name="_Toc89163371"/>
      <w:bookmarkStart w:id="87" w:name="_Toc110765663"/>
      <w:bookmarkStart w:id="88" w:name="_Toc124325891"/>
      <w:bookmarkStart w:id="89" w:name="_Toc118212953"/>
      <w:bookmarkStart w:id="90" w:name="_Toc108512361"/>
      <w:bookmarkStart w:id="91" w:name="_Toc120435786"/>
      <w:bookmarkStart w:id="92" w:name="_Toc118774806"/>
      <w:bookmarkStart w:id="93" w:name="_Toc118972651"/>
      <w:bookmarkStart w:id="94" w:name="_Toc110830495"/>
      <w:bookmarkStart w:id="95" w:name="_Toc110761799"/>
      <w:r>
        <w:rPr>
          <w:rFonts w:ascii="宋体" w:eastAsia="宋体" w:hAnsi="宋体" w:hint="eastAsia"/>
          <w:sz w:val="30"/>
        </w:rPr>
        <w:t>七、交易及清算交收安排</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7648D59" w14:textId="77777777" w:rsidR="005B7AA2" w:rsidRDefault="00E50B4E">
      <w:pPr>
        <w:spacing w:line="360" w:lineRule="auto"/>
        <w:ind w:firstLineChars="200" w:firstLine="480"/>
        <w:rPr>
          <w:rFonts w:ascii="宋体" w:hAnsi="宋体"/>
          <w:bCs/>
          <w:sz w:val="24"/>
        </w:rPr>
      </w:pPr>
      <w:r>
        <w:rPr>
          <w:rFonts w:ascii="宋体" w:hAnsi="宋体" w:hint="eastAsia"/>
          <w:sz w:val="24"/>
        </w:rPr>
        <w:t>本产品参与交易所场内证券投资，采取托管人结算模式，</w:t>
      </w:r>
      <w:r>
        <w:rPr>
          <w:rFonts w:ascii="宋体" w:hAnsi="宋体" w:hint="eastAsia"/>
          <w:bCs/>
          <w:sz w:val="24"/>
        </w:rPr>
        <w:t>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278F5D26"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（一）选择证券买卖的证券经营机构</w:t>
      </w:r>
    </w:p>
    <w:p w14:paraId="41F53373"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76C3A8E7" w14:textId="079A297C" w:rsidR="005B7AA2" w:rsidRPr="006814CC" w:rsidRDefault="00E50B4E">
      <w:pPr>
        <w:adjustRightInd w:val="0"/>
        <w:snapToGrid w:val="0"/>
        <w:spacing w:line="360" w:lineRule="auto"/>
        <w:ind w:firstLineChars="200" w:firstLine="480"/>
        <w:rPr>
          <w:rFonts w:ascii="宋体" w:hAnsi="宋体"/>
          <w:sz w:val="24"/>
        </w:rPr>
      </w:pPr>
      <w:r w:rsidRPr="006814CC">
        <w:rPr>
          <w:rFonts w:ascii="宋体" w:hAnsi="宋体" w:hint="eastAsia"/>
          <w:sz w:val="24"/>
        </w:rPr>
        <w:t>本基金在开始进行期货投资之前，应与基金托管人、期货公司三方</w:t>
      </w:r>
      <w:proofErr w:type="gramStart"/>
      <w:r w:rsidRPr="006814CC">
        <w:rPr>
          <w:rFonts w:ascii="宋体" w:hAnsi="宋体" w:hint="eastAsia"/>
          <w:sz w:val="24"/>
        </w:rPr>
        <w:t>一同就</w:t>
      </w:r>
      <w:proofErr w:type="gramEnd"/>
      <w:r w:rsidRPr="006814CC">
        <w:rPr>
          <w:rFonts w:ascii="宋体" w:hAnsi="宋体" w:hint="eastAsia"/>
          <w:sz w:val="24"/>
        </w:rPr>
        <w:t>期货开户、清算、估值、交收等事宜另行签署《期货投资托管操作三方备忘录》。</w:t>
      </w:r>
    </w:p>
    <w:p w14:paraId="12E81AFC" w14:textId="77777777" w:rsidR="00C42D4F" w:rsidRDefault="00E50B4E">
      <w:pPr>
        <w:adjustRightInd w:val="0"/>
        <w:snapToGrid w:val="0"/>
        <w:spacing w:line="360" w:lineRule="auto"/>
        <w:ind w:firstLine="480"/>
        <w:rPr>
          <w:rFonts w:ascii="宋体" w:hAnsi="宋体" w:cs="Arial"/>
          <w:sz w:val="24"/>
        </w:rPr>
      </w:pPr>
      <w:r w:rsidRPr="006814CC">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15090126"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（二）基金投资证券后的清算交收安排</w:t>
      </w:r>
    </w:p>
    <w:p w14:paraId="157DDBAF"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1.结算备付金与保证金</w:t>
      </w:r>
    </w:p>
    <w:p w14:paraId="186189FD" w14:textId="77777777" w:rsidR="005B7AA2" w:rsidRDefault="00E50B4E">
      <w:pPr>
        <w:spacing w:line="360" w:lineRule="auto"/>
        <w:ind w:firstLineChars="200" w:firstLine="480"/>
        <w:rPr>
          <w:rFonts w:ascii="宋体" w:hAnsi="宋体"/>
          <w:bCs/>
          <w:sz w:val="24"/>
        </w:rPr>
      </w:pPr>
      <w:r>
        <w:rPr>
          <w:rFonts w:ascii="宋体" w:hAnsi="宋体" w:hint="eastAsia"/>
          <w:bCs/>
          <w:sz w:val="24"/>
        </w:rPr>
        <w:t>中国证券登记结算有限责任公司分别于每月前</w:t>
      </w:r>
      <w:r>
        <w:rPr>
          <w:rFonts w:ascii="宋体" w:hAnsi="宋体"/>
          <w:bCs/>
          <w:sz w:val="24"/>
        </w:rPr>
        <w:t>6个交易日</w:t>
      </w:r>
      <w:r>
        <w:rPr>
          <w:rFonts w:ascii="宋体" w:hAnsi="宋体" w:hint="eastAsia"/>
          <w:bCs/>
          <w:sz w:val="24"/>
        </w:rPr>
        <w:t>及每月前</w:t>
      </w:r>
      <w:r>
        <w:rPr>
          <w:rFonts w:ascii="宋体" w:hAnsi="宋体"/>
          <w:bCs/>
          <w:sz w:val="24"/>
        </w:rPr>
        <w:t>3个交易日内，对结算参与人最低备付金限额与结算保证金限额进行重新核算、调整。基金托管人</w:t>
      </w:r>
      <w:r>
        <w:rPr>
          <w:rFonts w:ascii="宋体" w:hAnsi="宋体" w:hint="eastAsia"/>
          <w:bCs/>
          <w:sz w:val="24"/>
        </w:rPr>
        <w:t>应分别于每月前</w:t>
      </w:r>
      <w:r>
        <w:rPr>
          <w:rFonts w:ascii="宋体" w:hAnsi="宋体"/>
          <w:bCs/>
          <w:sz w:val="24"/>
        </w:rPr>
        <w:t>3个交易日内及结算保证金调整当日通过《资金账户报告》通知基金管理人</w:t>
      </w:r>
      <w:r>
        <w:rPr>
          <w:rFonts w:ascii="宋体" w:hAnsi="宋体" w:hint="eastAsia"/>
          <w:bCs/>
          <w:sz w:val="24"/>
        </w:rPr>
        <w:t>本基金最低备付金调整金额以及调整后的结算保证金金额。</w:t>
      </w:r>
      <w:r>
        <w:rPr>
          <w:rFonts w:ascii="宋体" w:hAnsi="宋体" w:hint="eastAsia"/>
          <w:sz w:val="24"/>
        </w:rPr>
        <w:t>基金管理人应预留最低备付金和结算保证金，并根据中国证券登记结算有限责任公司确定的实际最低备付金、结算保证金数据为依据安排资金运作，调整所需的现金头</w:t>
      </w:r>
      <w:r>
        <w:rPr>
          <w:rFonts w:ascii="宋体" w:hAnsi="宋体" w:hint="eastAsia"/>
          <w:sz w:val="24"/>
        </w:rPr>
        <w:lastRenderedPageBreak/>
        <w:t>寸。如因调整最低备付金、结算保证金后造成透支，基金管理人应</w:t>
      </w:r>
      <w:proofErr w:type="gramStart"/>
      <w:r>
        <w:rPr>
          <w:rFonts w:ascii="宋体" w:hAnsi="宋体" w:hint="eastAsia"/>
          <w:sz w:val="24"/>
        </w:rPr>
        <w:t>视基金</w:t>
      </w:r>
      <w:proofErr w:type="gramEnd"/>
      <w:r>
        <w:rPr>
          <w:rFonts w:ascii="宋体" w:hAnsi="宋体" w:hint="eastAsia"/>
          <w:sz w:val="24"/>
        </w:rPr>
        <w:t>托管人最低结算备付金比例计收方式分别于下列时点补足透支金额：</w:t>
      </w:r>
    </w:p>
    <w:p w14:paraId="70F77856" w14:textId="77777777" w:rsidR="005B7AA2" w:rsidRDefault="00E50B4E">
      <w:pPr>
        <w:spacing w:line="360" w:lineRule="auto"/>
        <w:ind w:firstLineChars="200" w:firstLine="480"/>
        <w:rPr>
          <w:rFonts w:ascii="宋体" w:hAnsi="宋体"/>
          <w:sz w:val="24"/>
        </w:rPr>
      </w:pPr>
      <w:r>
        <w:rPr>
          <w:rFonts w:ascii="宋体" w:hAnsi="宋体" w:hint="eastAsia"/>
          <w:sz w:val="24"/>
        </w:rPr>
        <w:t>（</w:t>
      </w:r>
      <w:r>
        <w:rPr>
          <w:rFonts w:ascii="宋体" w:hAnsi="宋体"/>
          <w:sz w:val="24"/>
        </w:rPr>
        <w:t>1）固定备付金比例</w:t>
      </w:r>
      <w:r>
        <w:rPr>
          <w:rFonts w:ascii="宋体" w:hAnsi="宋体" w:hint="eastAsia"/>
          <w:sz w:val="24"/>
        </w:rPr>
        <w:t>计收方式下，基金管理人应在调整最低备付金、结算保证金当日上午</w:t>
      </w:r>
      <w:r>
        <w:rPr>
          <w:rFonts w:ascii="宋体" w:hAnsi="宋体"/>
          <w:sz w:val="24"/>
        </w:rPr>
        <w:t>11</w:t>
      </w:r>
      <w:r>
        <w:rPr>
          <w:rFonts w:ascii="宋体" w:hAnsi="宋体" w:hint="eastAsia"/>
          <w:sz w:val="24"/>
        </w:rPr>
        <w:t>：</w:t>
      </w:r>
      <w:r>
        <w:rPr>
          <w:rFonts w:ascii="宋体" w:hAnsi="宋体"/>
          <w:sz w:val="24"/>
        </w:rPr>
        <w:t>00之前补足</w:t>
      </w:r>
      <w:r>
        <w:rPr>
          <w:rFonts w:ascii="宋体" w:hAnsi="宋体" w:hint="eastAsia"/>
          <w:sz w:val="24"/>
        </w:rPr>
        <w:t>金额。</w:t>
      </w:r>
    </w:p>
    <w:p w14:paraId="60D07BBE" w14:textId="77777777" w:rsidR="005B7AA2" w:rsidRDefault="00E50B4E">
      <w:pPr>
        <w:spacing w:line="360" w:lineRule="auto"/>
        <w:ind w:firstLineChars="200" w:firstLine="480"/>
        <w:rPr>
          <w:rFonts w:ascii="宋体" w:hAnsi="宋体" w:cs="Arial"/>
          <w:sz w:val="24"/>
        </w:rPr>
      </w:pPr>
      <w:r>
        <w:rPr>
          <w:rFonts w:ascii="宋体" w:hAnsi="宋体" w:hint="eastAsia"/>
          <w:sz w:val="24"/>
        </w:rPr>
        <w:t>（</w:t>
      </w:r>
      <w:r>
        <w:rPr>
          <w:rFonts w:ascii="宋体" w:hAnsi="宋体"/>
          <w:sz w:val="24"/>
        </w:rPr>
        <w:t>2）差异化备付金比例</w:t>
      </w:r>
      <w:r>
        <w:rPr>
          <w:rFonts w:ascii="宋体" w:hAnsi="宋体" w:hint="eastAsia"/>
          <w:sz w:val="24"/>
        </w:rPr>
        <w:t>计收方式下，基金管理人应最晚于资金</w:t>
      </w:r>
      <w:proofErr w:type="gramStart"/>
      <w:r>
        <w:rPr>
          <w:rFonts w:ascii="宋体" w:hAnsi="宋体" w:hint="eastAsia"/>
          <w:sz w:val="24"/>
        </w:rPr>
        <w:t>交收日上午</w:t>
      </w:r>
      <w:proofErr w:type="gramEnd"/>
      <w:r>
        <w:rPr>
          <w:rFonts w:ascii="宋体" w:hAnsi="宋体"/>
          <w:sz w:val="24"/>
        </w:rPr>
        <w:t>8：30前补足金额</w:t>
      </w:r>
      <w:r>
        <w:rPr>
          <w:rFonts w:ascii="宋体" w:hAnsi="宋体" w:hint="eastAsia"/>
          <w:sz w:val="24"/>
        </w:rPr>
        <w:t>。</w:t>
      </w:r>
    </w:p>
    <w:p w14:paraId="51D32AD0" w14:textId="26441646" w:rsidR="005B7AA2" w:rsidRDefault="00E50B4E">
      <w:pPr>
        <w:adjustRightInd w:val="0"/>
        <w:snapToGrid w:val="0"/>
        <w:spacing w:line="360" w:lineRule="auto"/>
        <w:ind w:firstLine="480"/>
        <w:rPr>
          <w:rFonts w:ascii="宋体" w:hAnsi="宋体"/>
          <w:bCs/>
          <w:sz w:val="24"/>
        </w:rPr>
      </w:pPr>
      <w:r>
        <w:rPr>
          <w:rFonts w:ascii="宋体" w:hAnsi="宋体"/>
          <w:bCs/>
          <w:sz w:val="24"/>
        </w:rPr>
        <w:t>2</w:t>
      </w:r>
      <w:r w:rsidR="00AB5FDF">
        <w:rPr>
          <w:rFonts w:ascii="宋体" w:hAnsi="宋体" w:hint="eastAsia"/>
          <w:bCs/>
          <w:sz w:val="24"/>
        </w:rPr>
        <w:t>.</w:t>
      </w:r>
      <w:r>
        <w:rPr>
          <w:rFonts w:ascii="宋体" w:hAnsi="宋体"/>
          <w:bCs/>
          <w:sz w:val="24"/>
        </w:rPr>
        <w:t>清算交收</w:t>
      </w:r>
    </w:p>
    <w:p w14:paraId="2D1E5F88"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143A273" w14:textId="1D17550C"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如果因为基金托管人自身过错在清算上造成基金财产的直接损失，应由基金托管人负责赔偿</w:t>
      </w:r>
      <w:r w:rsidR="00AB5FDF">
        <w:rPr>
          <w:rFonts w:ascii="宋体" w:hAnsi="宋体" w:cs="Arial" w:hint="eastAsia"/>
          <w:sz w:val="24"/>
        </w:rPr>
        <w:t>,</w:t>
      </w:r>
      <w:r>
        <w:rPr>
          <w:rFonts w:ascii="宋体" w:hAnsi="宋体" w:cs="Arial" w:hint="eastAsia"/>
          <w:sz w:val="24"/>
        </w:rPr>
        <w:t>但因中国人民银行、中国结算和银行间市场登记结算机构资金结算系统以及其他机构的结算系统发生故障等</w:t>
      </w:r>
      <w:proofErr w:type="gramStart"/>
      <w:r>
        <w:rPr>
          <w:rFonts w:ascii="宋体" w:hAnsi="宋体" w:cs="Arial" w:hint="eastAsia"/>
          <w:sz w:val="24"/>
        </w:rPr>
        <w:t>非基金</w:t>
      </w:r>
      <w:proofErr w:type="gramEnd"/>
      <w:r>
        <w:rPr>
          <w:rFonts w:ascii="宋体" w:hAnsi="宋体" w:cs="Arial" w:hint="eastAsia"/>
          <w:sz w:val="24"/>
        </w:rPr>
        <w:t>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宋体" w:hAnsi="宋体" w:cs="Arial" w:hint="eastAsia"/>
          <w:sz w:val="24"/>
        </w:rPr>
        <w:t>券</w:t>
      </w:r>
      <w:proofErr w:type="gramEnd"/>
      <w:r>
        <w:rPr>
          <w:rFonts w:ascii="宋体" w:hAnsi="宋体" w:cs="Arial" w:hint="eastAsia"/>
          <w:sz w:val="24"/>
        </w:rPr>
        <w:t>欠库等原因造成基金投资清算困难和风险的，基金托管人在预清算结束后通知基金管理人预透支和预欠库事项</w:t>
      </w:r>
      <w:r>
        <w:rPr>
          <w:rFonts w:ascii="宋体" w:hAnsi="宋体" w:hint="eastAsia"/>
          <w:color w:val="000000"/>
        </w:rPr>
        <w:t>，</w:t>
      </w:r>
      <w:r>
        <w:rPr>
          <w:rFonts w:ascii="宋体" w:hAnsi="宋体" w:cs="Arial" w:hint="eastAsia"/>
          <w:sz w:val="24"/>
        </w:rPr>
        <w:t>基金管理人应保持联系方式畅通，后续补缴等事宜由基金管理人负责解决，由此给基金托管人、本基金和基金托管人托管的其他资产造成的直接损失由基金管理人承担。</w:t>
      </w:r>
    </w:p>
    <w:p w14:paraId="1ABBD88B" w14:textId="77777777" w:rsidR="005B7AA2" w:rsidRDefault="00E50B4E">
      <w:pPr>
        <w:spacing w:line="360" w:lineRule="auto"/>
        <w:ind w:firstLineChars="200" w:firstLine="480"/>
        <w:rPr>
          <w:rFonts w:ascii="宋体" w:hAnsi="宋体"/>
          <w:sz w:val="24"/>
        </w:rPr>
      </w:pPr>
      <w:r>
        <w:rPr>
          <w:rFonts w:ascii="宋体" w:hAnsi="宋体" w:cs="宋体" w:hint="eastAsia"/>
          <w:color w:val="000000"/>
          <w:kern w:val="0"/>
          <w:sz w:val="24"/>
        </w:rPr>
        <w:t>基金管理人应采取合理、必要措施，确保T日日终有足够的资金头寸完成 T+1日</w:t>
      </w:r>
      <w:r>
        <w:rPr>
          <w:rFonts w:ascii="宋体" w:hAnsi="宋体" w:hint="eastAsia"/>
          <w:sz w:val="24"/>
        </w:rPr>
        <w:t>中国证券登记结算有限责任公司的资金</w:t>
      </w:r>
      <w:r>
        <w:rPr>
          <w:rFonts w:ascii="宋体" w:hAnsi="宋体" w:cs="宋体" w:hint="eastAsia"/>
          <w:color w:val="000000"/>
          <w:kern w:val="0"/>
          <w:sz w:val="24"/>
        </w:rPr>
        <w:t>交收；如因基金管理</w:t>
      </w:r>
      <w:proofErr w:type="gramStart"/>
      <w:r>
        <w:rPr>
          <w:rFonts w:ascii="宋体" w:hAnsi="宋体" w:cs="宋体" w:hint="eastAsia"/>
          <w:color w:val="000000"/>
          <w:kern w:val="0"/>
          <w:sz w:val="24"/>
        </w:rPr>
        <w:t>人原因</w:t>
      </w:r>
      <w:proofErr w:type="gramEnd"/>
      <w:r>
        <w:rPr>
          <w:rFonts w:ascii="宋体" w:hAnsi="宋体" w:cs="宋体" w:hint="eastAsia"/>
          <w:color w:val="000000"/>
          <w:kern w:val="0"/>
          <w:sz w:val="24"/>
        </w:rPr>
        <w:t>导致资金头寸不足，基金管理人应</w:t>
      </w:r>
      <w:proofErr w:type="gramStart"/>
      <w:r>
        <w:rPr>
          <w:rFonts w:ascii="宋体" w:hAnsi="宋体" w:hint="eastAsia"/>
          <w:sz w:val="24"/>
        </w:rPr>
        <w:t>视基金</w:t>
      </w:r>
      <w:proofErr w:type="gramEnd"/>
      <w:r>
        <w:rPr>
          <w:rFonts w:ascii="宋体" w:hAnsi="宋体" w:hint="eastAsia"/>
          <w:sz w:val="24"/>
        </w:rPr>
        <w:t>托管</w:t>
      </w:r>
      <w:r>
        <w:rPr>
          <w:rFonts w:ascii="宋体" w:hAnsi="宋体"/>
          <w:sz w:val="24"/>
        </w:rPr>
        <w:t>人</w:t>
      </w:r>
      <w:r>
        <w:rPr>
          <w:rFonts w:ascii="宋体" w:hAnsi="宋体" w:hint="eastAsia"/>
          <w:sz w:val="24"/>
        </w:rPr>
        <w:t>最低结算备付金比例计收方式分别于下列时点补足透支金额：</w:t>
      </w:r>
    </w:p>
    <w:p w14:paraId="336EF9E8" w14:textId="77777777" w:rsidR="005B7AA2" w:rsidRDefault="00E50B4E">
      <w:pPr>
        <w:spacing w:line="360" w:lineRule="auto"/>
        <w:ind w:firstLineChars="200" w:firstLine="480"/>
        <w:rPr>
          <w:rFonts w:ascii="宋体" w:hAnsi="宋体"/>
          <w:sz w:val="24"/>
        </w:rPr>
      </w:pPr>
      <w:r>
        <w:rPr>
          <w:rFonts w:ascii="宋体" w:hAnsi="宋体" w:hint="eastAsia"/>
          <w:sz w:val="24"/>
        </w:rPr>
        <w:t>（</w:t>
      </w:r>
      <w:r>
        <w:rPr>
          <w:rFonts w:ascii="宋体" w:hAnsi="宋体"/>
          <w:sz w:val="24"/>
        </w:rPr>
        <w:t>1）固定备付金比例计收方式下，</w:t>
      </w:r>
      <w:r>
        <w:rPr>
          <w:rFonts w:ascii="宋体" w:hAnsi="宋体" w:hint="eastAsia"/>
          <w:sz w:val="24"/>
        </w:rPr>
        <w:t>基金</w:t>
      </w:r>
      <w:r>
        <w:rPr>
          <w:rFonts w:ascii="宋体" w:hAnsi="宋体"/>
          <w:sz w:val="24"/>
        </w:rPr>
        <w:t>管理人应</w:t>
      </w:r>
      <w:r>
        <w:rPr>
          <w:rFonts w:ascii="宋体" w:hAnsi="宋体" w:hint="eastAsia"/>
          <w:sz w:val="24"/>
        </w:rPr>
        <w:t>最晚于资金</w:t>
      </w:r>
      <w:proofErr w:type="gramStart"/>
      <w:r>
        <w:rPr>
          <w:rFonts w:ascii="宋体" w:hAnsi="宋体" w:hint="eastAsia"/>
          <w:sz w:val="24"/>
        </w:rPr>
        <w:t>交收日上午</w:t>
      </w:r>
      <w:proofErr w:type="gramEnd"/>
      <w:r>
        <w:rPr>
          <w:rFonts w:ascii="宋体" w:hAnsi="宋体"/>
          <w:sz w:val="24"/>
        </w:rPr>
        <w:t>11</w:t>
      </w:r>
      <w:r>
        <w:rPr>
          <w:rFonts w:ascii="宋体" w:hAnsi="宋体" w:hint="eastAsia"/>
          <w:sz w:val="24"/>
        </w:rPr>
        <w:t>：</w:t>
      </w:r>
      <w:r>
        <w:rPr>
          <w:rFonts w:ascii="宋体" w:hAnsi="宋体"/>
          <w:sz w:val="24"/>
        </w:rPr>
        <w:t>00前补足金额。</w:t>
      </w:r>
    </w:p>
    <w:p w14:paraId="4375FB1B" w14:textId="77777777" w:rsidR="005B7AA2" w:rsidRDefault="00E50B4E">
      <w:pPr>
        <w:adjustRightInd w:val="0"/>
        <w:snapToGrid w:val="0"/>
        <w:spacing w:line="360" w:lineRule="auto"/>
        <w:ind w:firstLine="480"/>
        <w:rPr>
          <w:rFonts w:ascii="宋体" w:hAnsi="宋体" w:cs="宋体"/>
          <w:color w:val="000000"/>
          <w:kern w:val="0"/>
          <w:sz w:val="24"/>
        </w:rPr>
      </w:pPr>
      <w:r>
        <w:rPr>
          <w:rFonts w:ascii="宋体" w:hAnsi="宋体" w:hint="eastAsia"/>
          <w:sz w:val="24"/>
        </w:rPr>
        <w:t>（</w:t>
      </w:r>
      <w:r>
        <w:rPr>
          <w:rFonts w:ascii="宋体" w:hAnsi="宋体"/>
          <w:sz w:val="24"/>
        </w:rPr>
        <w:t>2）差异化备付金比例计收方式下，</w:t>
      </w:r>
      <w:r>
        <w:rPr>
          <w:rFonts w:ascii="宋体" w:hAnsi="宋体" w:hint="eastAsia"/>
          <w:sz w:val="24"/>
        </w:rPr>
        <w:t>基金</w:t>
      </w:r>
      <w:r>
        <w:rPr>
          <w:rFonts w:ascii="宋体" w:hAnsi="宋体"/>
          <w:sz w:val="24"/>
        </w:rPr>
        <w:t>管理人应最晚于资金</w:t>
      </w:r>
      <w:proofErr w:type="gramStart"/>
      <w:r>
        <w:rPr>
          <w:rFonts w:ascii="宋体" w:hAnsi="宋体"/>
          <w:sz w:val="24"/>
        </w:rPr>
        <w:t>交收日</w:t>
      </w:r>
      <w:r>
        <w:rPr>
          <w:rFonts w:ascii="宋体" w:hAnsi="宋体" w:hint="eastAsia"/>
          <w:sz w:val="24"/>
        </w:rPr>
        <w:t>上午</w:t>
      </w:r>
      <w:proofErr w:type="gramEnd"/>
      <w:r>
        <w:rPr>
          <w:rFonts w:ascii="宋体" w:hAnsi="宋体"/>
          <w:sz w:val="24"/>
        </w:rPr>
        <w:t>8：30前补足金额</w:t>
      </w:r>
      <w:r>
        <w:rPr>
          <w:rFonts w:ascii="宋体" w:hAnsi="宋体" w:cs="宋体" w:hint="eastAsia"/>
          <w:color w:val="000000"/>
          <w:kern w:val="0"/>
          <w:sz w:val="24"/>
        </w:rPr>
        <w:t>。如果基金管理人未遵循上述规定备足资金头寸，影响基金资产的清算交收及基金托管人与中国证券登记结算有限责任公司之间的一级清算，由此</w:t>
      </w:r>
      <w:r>
        <w:rPr>
          <w:rFonts w:ascii="宋体" w:hAnsi="宋体" w:cs="宋体" w:hint="eastAsia"/>
          <w:color w:val="000000"/>
          <w:kern w:val="0"/>
          <w:sz w:val="24"/>
        </w:rPr>
        <w:lastRenderedPageBreak/>
        <w:t>给基金托管人、基金资产及基金托管人托管的其他资产造成的直接损失由基金管理人负责。</w:t>
      </w:r>
    </w:p>
    <w:p w14:paraId="202F1762" w14:textId="77777777" w:rsidR="005B7AA2" w:rsidRDefault="00E50B4E">
      <w:pPr>
        <w:adjustRightInd w:val="0"/>
        <w:snapToGrid w:val="0"/>
        <w:spacing w:line="360" w:lineRule="auto"/>
        <w:ind w:firstLine="480"/>
        <w:rPr>
          <w:rFonts w:ascii="宋体" w:hAnsi="宋体" w:cs="Arial"/>
          <w:sz w:val="24"/>
        </w:rPr>
      </w:pPr>
      <w:r>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宋体" w:hAnsi="宋体" w:cs="宋体" w:hint="eastAsia"/>
          <w:color w:val="000000"/>
          <w:kern w:val="0"/>
          <w:sz w:val="24"/>
        </w:rPr>
        <w:t>券</w:t>
      </w:r>
      <w:proofErr w:type="gramEnd"/>
      <w:r>
        <w:rPr>
          <w:rFonts w:ascii="宋体" w:hAnsi="宋体" w:cs="宋体" w:hint="eastAsia"/>
          <w:color w:val="000000"/>
          <w:kern w:val="0"/>
          <w:sz w:val="24"/>
        </w:rPr>
        <w:t>。如因基金管理</w:t>
      </w:r>
      <w:proofErr w:type="gramStart"/>
      <w:r>
        <w:rPr>
          <w:rFonts w:ascii="宋体" w:hAnsi="宋体" w:cs="宋体" w:hint="eastAsia"/>
          <w:color w:val="000000"/>
          <w:kern w:val="0"/>
          <w:sz w:val="24"/>
        </w:rPr>
        <w:t>人原因</w:t>
      </w:r>
      <w:proofErr w:type="gramEnd"/>
      <w:r>
        <w:rPr>
          <w:rFonts w:ascii="宋体"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宋体" w:hAnsi="宋体" w:cs="宋体" w:hint="eastAsia"/>
          <w:color w:val="000000"/>
          <w:kern w:val="0"/>
          <w:sz w:val="24"/>
        </w:rPr>
        <w:t>券</w:t>
      </w:r>
      <w:proofErr w:type="gramEnd"/>
      <w:r>
        <w:rPr>
          <w:rFonts w:ascii="宋体" w:hAnsi="宋体" w:cs="宋体" w:hint="eastAsia"/>
          <w:color w:val="000000"/>
          <w:kern w:val="0"/>
          <w:sz w:val="24"/>
        </w:rPr>
        <w:t>进行处置造成的投资风险和损失由基金管理人承担。</w:t>
      </w:r>
    </w:p>
    <w:p w14:paraId="49A0E138" w14:textId="77777777" w:rsidR="005B7AA2" w:rsidRDefault="00E50B4E">
      <w:pPr>
        <w:spacing w:line="360" w:lineRule="auto"/>
        <w:ind w:firstLineChars="200" w:firstLine="480"/>
        <w:rPr>
          <w:rFonts w:ascii="宋体" w:hAnsi="宋体"/>
          <w:sz w:val="24"/>
        </w:rPr>
      </w:pPr>
      <w:r>
        <w:rPr>
          <w:rFonts w:ascii="宋体" w:hAnsi="宋体" w:hint="eastAsia"/>
          <w:sz w:val="24"/>
        </w:rPr>
        <w:t>对于中国证券登记结算有限责任公司实行</w:t>
      </w:r>
      <w:r>
        <w:rPr>
          <w:rFonts w:ascii="宋体" w:hAnsi="宋体"/>
          <w:sz w:val="24"/>
        </w:rPr>
        <w:t>T+0</w:t>
      </w:r>
      <w:r>
        <w:rPr>
          <w:rFonts w:ascii="宋体" w:hAnsi="宋体" w:hint="eastAsia"/>
          <w:sz w:val="24"/>
        </w:rPr>
        <w:t>非担保交收的业务，基金管理人应在交易日</w:t>
      </w:r>
      <w:r>
        <w:rPr>
          <w:rFonts w:ascii="宋体" w:hAnsi="宋体"/>
          <w:sz w:val="24"/>
        </w:rPr>
        <w:t>14:00前将划款指令发送至</w:t>
      </w:r>
      <w:r>
        <w:rPr>
          <w:rFonts w:ascii="宋体" w:hAnsi="宋体" w:hint="eastAsia"/>
          <w:sz w:val="24"/>
        </w:rPr>
        <w:t>基金托管人</w:t>
      </w:r>
      <w:r>
        <w:rPr>
          <w:rFonts w:ascii="宋体" w:hAnsi="宋体"/>
          <w:sz w:val="24"/>
        </w:rPr>
        <w:t>。因</w:t>
      </w:r>
      <w:r>
        <w:rPr>
          <w:rFonts w:ascii="宋体" w:hAnsi="宋体" w:hint="eastAsia"/>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0D4A8D4D" w14:textId="77777777" w:rsidR="005B7AA2" w:rsidRPr="006E5EFC" w:rsidRDefault="00E50B4E">
      <w:pPr>
        <w:adjustRightInd w:val="0"/>
        <w:snapToGrid w:val="0"/>
        <w:spacing w:line="360" w:lineRule="auto"/>
        <w:ind w:firstLine="480"/>
        <w:rPr>
          <w:rFonts w:ascii="宋体" w:hAnsi="宋体"/>
          <w:sz w:val="24"/>
        </w:rPr>
      </w:pPr>
      <w:r w:rsidRPr="006E5EFC">
        <w:rPr>
          <w:rFonts w:ascii="宋体" w:hAnsi="宋体"/>
          <w:sz w:val="24"/>
        </w:rPr>
        <w:t>3</w:t>
      </w:r>
      <w:r w:rsidRPr="006E5EFC">
        <w:rPr>
          <w:rFonts w:ascii="宋体" w:hAnsi="宋体" w:hint="eastAsia"/>
          <w:sz w:val="24"/>
        </w:rPr>
        <w:t>.交易记录、资金和证券账目核对的时间和方式</w:t>
      </w:r>
    </w:p>
    <w:p w14:paraId="001B8118" w14:textId="77777777" w:rsidR="005B7AA2" w:rsidRPr="006E5EFC" w:rsidRDefault="00E50B4E">
      <w:pPr>
        <w:adjustRightInd w:val="0"/>
        <w:snapToGrid w:val="0"/>
        <w:spacing w:line="360" w:lineRule="auto"/>
        <w:ind w:firstLine="480"/>
        <w:rPr>
          <w:rFonts w:ascii="宋体" w:hAnsi="宋体"/>
          <w:sz w:val="24"/>
        </w:rPr>
      </w:pPr>
      <w:r w:rsidRPr="006E5EFC">
        <w:rPr>
          <w:rFonts w:ascii="宋体" w:hAnsi="宋体" w:hint="eastAsia"/>
          <w:sz w:val="24"/>
        </w:rPr>
        <w:t>（1）交易记录的核对</w:t>
      </w:r>
    </w:p>
    <w:p w14:paraId="3A341916" w14:textId="77777777" w:rsidR="005B7AA2" w:rsidRDefault="00E50B4E">
      <w:pPr>
        <w:adjustRightInd w:val="0"/>
        <w:snapToGrid w:val="0"/>
        <w:spacing w:line="360" w:lineRule="auto"/>
        <w:ind w:firstLineChars="200" w:firstLine="480"/>
        <w:rPr>
          <w:rFonts w:ascii="宋体" w:hAnsi="宋体" w:cs="Arial"/>
          <w:sz w:val="24"/>
        </w:rPr>
      </w:pPr>
      <w:r w:rsidRPr="006E5EFC">
        <w:rPr>
          <w:rFonts w:ascii="宋体" w:hAnsi="宋体" w:hint="eastAsia"/>
          <w:sz w:val="24"/>
        </w:rPr>
        <w:t>基金管理人按日进行交易记录的核对。每日对外披露净值之前，必须保证当天所有实际交易记录与基金会计</w:t>
      </w:r>
      <w:r>
        <w:rPr>
          <w:rFonts w:ascii="宋体" w:hAnsi="宋体" w:hint="eastAsia"/>
          <w:kern w:val="0"/>
          <w:sz w:val="24"/>
        </w:rPr>
        <w:t>账簿上的交易记录完全一致。如果实际交易记录与会计账簿记录不一致，造成基金会计核算不完整或不真实，由此导致的损失由基金管理人承担。</w:t>
      </w:r>
    </w:p>
    <w:p w14:paraId="7BB330A4"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（2）资金账目的核对</w:t>
      </w:r>
    </w:p>
    <w:p w14:paraId="245DEF07"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资金账目按日核实。</w:t>
      </w:r>
    </w:p>
    <w:p w14:paraId="42A7A54D"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（3）证券账目的核对</w:t>
      </w:r>
    </w:p>
    <w:p w14:paraId="347D58E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基金管理人和基金托管人每个估值日结束后核对基金证券账目，确保双方账目相符。</w:t>
      </w:r>
    </w:p>
    <w:p w14:paraId="47C99A1F" w14:textId="62A28F6F" w:rsidR="005B7AA2" w:rsidRDefault="00E50B4E">
      <w:pPr>
        <w:adjustRightInd w:val="0"/>
        <w:snapToGrid w:val="0"/>
        <w:spacing w:line="360" w:lineRule="auto"/>
        <w:ind w:firstLine="480"/>
        <w:outlineLvl w:val="0"/>
        <w:rPr>
          <w:rFonts w:ascii="宋体" w:hAnsi="宋体" w:cs="Arial"/>
          <w:sz w:val="24"/>
        </w:rPr>
      </w:pPr>
      <w:r>
        <w:rPr>
          <w:rFonts w:ascii="宋体" w:hAnsi="宋体" w:cs="Arial" w:hint="eastAsia"/>
          <w:sz w:val="24"/>
        </w:rPr>
        <w:t>（三）基金申购</w:t>
      </w:r>
      <w:r w:rsidR="00A2614B">
        <w:rPr>
          <w:rFonts w:ascii="宋体" w:hAnsi="宋体" w:cs="Arial" w:hint="eastAsia"/>
          <w:sz w:val="24"/>
        </w:rPr>
        <w:t>、</w:t>
      </w:r>
      <w:r>
        <w:rPr>
          <w:rFonts w:ascii="宋体" w:hAnsi="宋体" w:cs="Arial" w:hint="eastAsia"/>
          <w:sz w:val="24"/>
        </w:rPr>
        <w:t>赎回</w:t>
      </w:r>
      <w:r w:rsidR="00A2614B">
        <w:rPr>
          <w:rFonts w:ascii="宋体" w:hAnsi="宋体" w:cs="Arial" w:hint="eastAsia"/>
          <w:sz w:val="24"/>
        </w:rPr>
        <w:t>、转换</w:t>
      </w:r>
      <w:r>
        <w:rPr>
          <w:rFonts w:ascii="宋体" w:hAnsi="宋体" w:cs="Arial" w:hint="eastAsia"/>
          <w:sz w:val="24"/>
        </w:rPr>
        <w:t>业务处理的基本规定</w:t>
      </w:r>
    </w:p>
    <w:p w14:paraId="1C2A742D" w14:textId="2E32634E"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1.基金份额申购、赎回</w:t>
      </w:r>
      <w:r w:rsidR="00A2614B">
        <w:rPr>
          <w:rFonts w:ascii="宋体" w:hAnsi="宋体" w:cs="Arial" w:hint="eastAsia"/>
          <w:sz w:val="24"/>
        </w:rPr>
        <w:t>、转换</w:t>
      </w:r>
      <w:r>
        <w:rPr>
          <w:rFonts w:ascii="宋体" w:hAnsi="宋体" w:cs="Arial" w:hint="eastAsia"/>
          <w:sz w:val="24"/>
        </w:rPr>
        <w:t>的确认、清算由基金管理人或其委托的注册登记机构负责。</w:t>
      </w:r>
    </w:p>
    <w:p w14:paraId="23B79ED1" w14:textId="13C23361"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w:t>
      </w:r>
      <w:r w:rsidR="006B2200" w:rsidRPr="006B2200">
        <w:rPr>
          <w:rFonts w:ascii="宋体" w:hAnsi="宋体" w:cs="Arial" w:hint="eastAsia"/>
          <w:sz w:val="24"/>
        </w:rPr>
        <w:t>净应收款</w:t>
      </w:r>
      <w:r>
        <w:rPr>
          <w:rFonts w:ascii="宋体" w:hAnsi="宋体" w:cs="Arial" w:hint="eastAsia"/>
          <w:sz w:val="24"/>
        </w:rPr>
        <w:t>的到账情况并根据基金管理人指令及时划付</w:t>
      </w:r>
      <w:r w:rsidR="006B2200" w:rsidRPr="006B2200">
        <w:rPr>
          <w:rFonts w:ascii="宋体" w:hAnsi="宋体" w:cs="Arial" w:hint="eastAsia"/>
          <w:sz w:val="24"/>
        </w:rPr>
        <w:t>净应付款</w:t>
      </w:r>
      <w:r>
        <w:rPr>
          <w:rFonts w:ascii="宋体" w:hAnsi="宋体" w:cs="Arial" w:hint="eastAsia"/>
          <w:sz w:val="24"/>
        </w:rPr>
        <w:t>。</w:t>
      </w:r>
    </w:p>
    <w:p w14:paraId="565481CE"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lastRenderedPageBreak/>
        <w:t>3.基金管理人应保证本基金（或本基金管理人委托）的注册登记机构每个工作日15:00前向基金托管人发送前一开放</w:t>
      </w:r>
      <w:proofErr w:type="gramStart"/>
      <w:r>
        <w:rPr>
          <w:rFonts w:ascii="宋体" w:hAnsi="宋体" w:cs="Arial" w:hint="eastAsia"/>
          <w:sz w:val="24"/>
        </w:rPr>
        <w:t>日上述</w:t>
      </w:r>
      <w:proofErr w:type="gramEnd"/>
      <w:r>
        <w:rPr>
          <w:rFonts w:ascii="宋体" w:hAnsi="宋体" w:cs="Arial" w:hint="eastAsia"/>
          <w:sz w:val="24"/>
        </w:rPr>
        <w:t>有关数据，并保证相关数据的准确、完整。</w:t>
      </w:r>
    </w:p>
    <w:p w14:paraId="0304996D"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4.注册登记机构应通过与基金托管人建立的加密系统发送有关数据，如因各种原因，该系统无法正常发送，双方可协商解决处理方式。基金管理人向基金托管人发送的数据，双方各自按有关规定保存。</w:t>
      </w:r>
    </w:p>
    <w:p w14:paraId="627E990D"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5.如基金管理人委托其他机构办理本基金的注册登记业务，应保证上述相关事宜按时进行。否则，由基金管理人承担相应的责任。</w:t>
      </w:r>
    </w:p>
    <w:p w14:paraId="2DC2793E"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6.关于清算专用账户的设立和管理</w:t>
      </w:r>
    </w:p>
    <w:p w14:paraId="18B21120" w14:textId="09B697EA"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为满足申购、赎回</w:t>
      </w:r>
      <w:r w:rsidR="00732334">
        <w:rPr>
          <w:rFonts w:ascii="宋体" w:hAnsi="宋体" w:cs="Arial" w:hint="eastAsia"/>
          <w:sz w:val="24"/>
        </w:rPr>
        <w:t>、转换</w:t>
      </w:r>
      <w:r>
        <w:rPr>
          <w:rFonts w:ascii="宋体" w:hAnsi="宋体" w:cs="Arial" w:hint="eastAsia"/>
          <w:sz w:val="24"/>
        </w:rPr>
        <w:t>及分红资金汇划的需要，由基金管理人开立资金清算的专用账户，该账户由注册登记机构管理。</w:t>
      </w:r>
    </w:p>
    <w:p w14:paraId="0247A4B0" w14:textId="5463A001"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7.对于基金申购过程中产生的应收款，应由基金管理人负责与有关当事人确定到账日期并通知基金托管人，</w:t>
      </w:r>
      <w:proofErr w:type="gramStart"/>
      <w:r>
        <w:rPr>
          <w:rFonts w:ascii="宋体" w:hAnsi="宋体" w:cs="Arial" w:hint="eastAsia"/>
          <w:sz w:val="24"/>
        </w:rPr>
        <w:t>到账日</w:t>
      </w:r>
      <w:r w:rsidR="006B2200" w:rsidRPr="006B2200">
        <w:rPr>
          <w:rFonts w:ascii="宋体" w:hAnsi="宋体" w:cs="Arial" w:hint="eastAsia"/>
          <w:sz w:val="24"/>
        </w:rPr>
        <w:t>净应收</w:t>
      </w:r>
      <w:proofErr w:type="gramEnd"/>
      <w:r w:rsidR="006B2200" w:rsidRPr="006B2200">
        <w:rPr>
          <w:rFonts w:ascii="宋体" w:hAnsi="宋体" w:cs="Arial" w:hint="eastAsia"/>
          <w:sz w:val="24"/>
        </w:rPr>
        <w:t>款</w:t>
      </w:r>
      <w:r>
        <w:rPr>
          <w:rFonts w:ascii="宋体" w:hAnsi="宋体" w:cs="Arial" w:hint="eastAsia"/>
          <w:sz w:val="24"/>
        </w:rPr>
        <w:t>没有到达基金托管资金账户的，基金托管人应及时通知基金管理人采取措施进行催收，由此造成基金损失的，基金管理人应负责向有关当事人追偿基金的损失。</w:t>
      </w:r>
    </w:p>
    <w:p w14:paraId="11859FEC" w14:textId="116593CE"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8.</w:t>
      </w:r>
      <w:r w:rsidR="007E4685">
        <w:rPr>
          <w:rFonts w:ascii="宋体" w:hAnsi="宋体" w:cs="Arial" w:hint="eastAsia"/>
          <w:sz w:val="24"/>
        </w:rPr>
        <w:t>净应付款</w:t>
      </w:r>
      <w:r>
        <w:rPr>
          <w:rFonts w:ascii="宋体" w:hAnsi="宋体" w:cs="Arial" w:hint="eastAsia"/>
          <w:sz w:val="24"/>
        </w:rPr>
        <w:t>和分红资金划拨规定</w:t>
      </w:r>
    </w:p>
    <w:p w14:paraId="4E54EC1D" w14:textId="1C39DD58"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拨付</w:t>
      </w:r>
      <w:r w:rsidR="006B2200" w:rsidRPr="006814CC">
        <w:rPr>
          <w:rFonts w:ascii="宋体" w:hAnsi="宋体" w:cs="Arial" w:hint="eastAsia"/>
          <w:sz w:val="24"/>
        </w:rPr>
        <w:t>净应付款</w:t>
      </w:r>
      <w:r>
        <w:rPr>
          <w:rFonts w:ascii="宋体" w:hAnsi="宋体" w:cs="Arial" w:hint="eastAsia"/>
          <w:sz w:val="24"/>
        </w:rPr>
        <w:t>或进行基金分红时，如基金托管资金账户有足够的资金，基金托管人应按时拨付；因基金托管资金账户没有足够的资金，导致基金托管人不能按时拨付，如</w:t>
      </w:r>
      <w:proofErr w:type="gramStart"/>
      <w:r>
        <w:rPr>
          <w:rFonts w:ascii="宋体" w:hAnsi="宋体" w:cs="Arial" w:hint="eastAsia"/>
          <w:sz w:val="24"/>
        </w:rPr>
        <w:t>系基金</w:t>
      </w:r>
      <w:proofErr w:type="gramEnd"/>
      <w:r>
        <w:rPr>
          <w:rFonts w:ascii="宋体" w:hAnsi="宋体" w:cs="Arial" w:hint="eastAsia"/>
          <w:sz w:val="24"/>
        </w:rPr>
        <w:t>管理人的原因造成，责任由基金管理人承担，基金托管人不承担垫款义务。</w:t>
      </w:r>
    </w:p>
    <w:p w14:paraId="2AF2FB0A"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9.资金指令</w:t>
      </w:r>
    </w:p>
    <w:p w14:paraId="469574B1" w14:textId="0F47C92B"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除</w:t>
      </w:r>
      <w:r w:rsidR="006B2200" w:rsidRPr="006B2200">
        <w:rPr>
          <w:rFonts w:ascii="宋体" w:hAnsi="宋体" w:cs="Arial" w:hint="eastAsia"/>
          <w:sz w:val="24"/>
        </w:rPr>
        <w:t>净应收款</w:t>
      </w:r>
      <w:r>
        <w:rPr>
          <w:rFonts w:ascii="宋体" w:hAnsi="宋体" w:cs="Arial" w:hint="eastAsia"/>
          <w:sz w:val="24"/>
        </w:rPr>
        <w:t>到达基金托管资金账户需双方按约定方式对账外，回购到期付款和与投资有关的付款、</w:t>
      </w:r>
      <w:r w:rsidR="006B2200" w:rsidRPr="006B2200">
        <w:rPr>
          <w:rFonts w:ascii="宋体" w:hAnsi="宋体" w:cs="Arial" w:hint="eastAsia"/>
          <w:sz w:val="24"/>
        </w:rPr>
        <w:t>净应付款</w:t>
      </w:r>
      <w:r>
        <w:rPr>
          <w:rFonts w:ascii="宋体" w:hAnsi="宋体" w:cs="Arial" w:hint="eastAsia"/>
          <w:sz w:val="24"/>
        </w:rPr>
        <w:t>和分红资金划拨时，基金管理人需向基金托管人下达指令。</w:t>
      </w:r>
    </w:p>
    <w:p w14:paraId="6EAA7DC5"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资金指令的格式、内容、发送、接收和确认方式等与投资指令相同。</w:t>
      </w:r>
    </w:p>
    <w:p w14:paraId="1DA7D5BF" w14:textId="00E410B2"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（四）</w:t>
      </w:r>
      <w:r w:rsidR="00732334">
        <w:rPr>
          <w:rFonts w:ascii="宋体" w:hAnsi="宋体" w:cs="Arial" w:hint="eastAsia"/>
          <w:sz w:val="24"/>
        </w:rPr>
        <w:t>资金</w:t>
      </w:r>
      <w:r>
        <w:rPr>
          <w:rFonts w:ascii="宋体" w:hAnsi="宋体" w:cs="Arial" w:hint="eastAsia"/>
          <w:sz w:val="24"/>
        </w:rPr>
        <w:t>净额结算</w:t>
      </w:r>
    </w:p>
    <w:p w14:paraId="7812D37C" w14:textId="14E22AD7" w:rsidR="005B7AA2" w:rsidRDefault="00E50B4E">
      <w:pPr>
        <w:adjustRightInd w:val="0"/>
        <w:snapToGrid w:val="0"/>
        <w:spacing w:line="360" w:lineRule="auto"/>
        <w:ind w:firstLine="480"/>
        <w:outlineLvl w:val="0"/>
        <w:rPr>
          <w:rFonts w:ascii="宋体" w:hAnsi="宋体" w:cs="Arial"/>
          <w:sz w:val="24"/>
        </w:rPr>
      </w:pPr>
      <w:r>
        <w:rPr>
          <w:rFonts w:ascii="宋体"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w:t>
      </w:r>
      <w:r>
        <w:rPr>
          <w:rFonts w:ascii="宋体" w:hAnsi="宋体" w:cs="Arial" w:hint="eastAsia"/>
          <w:sz w:val="24"/>
        </w:rPr>
        <w:lastRenderedPageBreak/>
        <w:t>基金托管资金账户；当存在托管资金账户净应付额时，</w:t>
      </w:r>
      <w:r w:rsidR="006E5EFC" w:rsidRPr="006E5EFC">
        <w:rPr>
          <w:rFonts w:ascii="宋体" w:hAnsi="宋体" w:cs="Arial" w:hint="eastAsia"/>
          <w:sz w:val="24"/>
        </w:rPr>
        <w:t>基金管理人应在T日10:00前将划款指令发送给基金托管人,基金托管人按基金管理人的划款指令将托管资金账户净应付额在T日</w:t>
      </w:r>
      <w:r w:rsidR="006E5EFC">
        <w:rPr>
          <w:rFonts w:ascii="宋体" w:hAnsi="宋体" w:cs="Arial" w:hint="eastAsia"/>
          <w:sz w:val="24"/>
        </w:rPr>
        <w:t>15:00</w:t>
      </w:r>
      <w:r w:rsidR="006E5EFC" w:rsidRPr="006E5EFC">
        <w:rPr>
          <w:rFonts w:ascii="宋体" w:hAnsi="宋体" w:cs="Arial" w:hint="eastAsia"/>
          <w:sz w:val="24"/>
        </w:rPr>
        <w:t>之前</w:t>
      </w:r>
      <w:proofErr w:type="gramStart"/>
      <w:r w:rsidR="006E5EFC" w:rsidRPr="006E5EFC">
        <w:rPr>
          <w:rFonts w:ascii="宋体" w:hAnsi="宋体" w:cs="Arial" w:hint="eastAsia"/>
          <w:sz w:val="24"/>
        </w:rPr>
        <w:t>划往基金</w:t>
      </w:r>
      <w:proofErr w:type="gramEnd"/>
      <w:r w:rsidR="006E5EFC" w:rsidRPr="006E5EFC">
        <w:rPr>
          <w:rFonts w:ascii="宋体" w:hAnsi="宋体" w:cs="Arial" w:hint="eastAsia"/>
          <w:sz w:val="24"/>
        </w:rPr>
        <w:t>清算账户。</w:t>
      </w:r>
    </w:p>
    <w:p w14:paraId="22B35B1F" w14:textId="77777777" w:rsidR="005B7AA2" w:rsidRDefault="00E50B4E">
      <w:pPr>
        <w:adjustRightInd w:val="0"/>
        <w:snapToGrid w:val="0"/>
        <w:spacing w:line="360" w:lineRule="auto"/>
        <w:ind w:firstLine="480"/>
        <w:outlineLvl w:val="0"/>
        <w:rPr>
          <w:rFonts w:ascii="宋体" w:hAnsi="宋体" w:cs="Arial"/>
          <w:sz w:val="24"/>
        </w:rPr>
      </w:pPr>
      <w:r>
        <w:rPr>
          <w:rFonts w:ascii="宋体" w:hAnsi="宋体" w:cs="Arial" w:hint="eastAsia"/>
          <w:sz w:val="24"/>
        </w:rPr>
        <w:t>（五）基金转换</w:t>
      </w:r>
    </w:p>
    <w:p w14:paraId="55BB67A9"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1.在本基金与基金管理人管理的其它基金开展转换业务之前，基金管理人应函告基金托管人并就相关事宜进行协商。</w:t>
      </w:r>
    </w:p>
    <w:p w14:paraId="1184AF77" w14:textId="77777777" w:rsidR="005B7AA2" w:rsidRDefault="00E50B4E">
      <w:pPr>
        <w:adjustRightInd w:val="0"/>
        <w:snapToGrid w:val="0"/>
        <w:spacing w:line="360" w:lineRule="auto"/>
        <w:ind w:firstLine="480"/>
        <w:outlineLvl w:val="0"/>
        <w:rPr>
          <w:rFonts w:ascii="宋体" w:hAnsi="宋体" w:cs="Arial"/>
          <w:sz w:val="24"/>
        </w:rPr>
      </w:pPr>
      <w:r>
        <w:rPr>
          <w:rFonts w:ascii="宋体" w:hAnsi="宋体" w:cs="Arial" w:hint="eastAsia"/>
          <w:sz w:val="24"/>
        </w:rPr>
        <w:t>2.基金托管人将根据基金管理人传送的基金转换数据进行账务处理，</w:t>
      </w:r>
      <w:proofErr w:type="gramStart"/>
      <w:r>
        <w:rPr>
          <w:rFonts w:ascii="宋体" w:hAnsi="宋体" w:cs="Arial" w:hint="eastAsia"/>
          <w:sz w:val="24"/>
        </w:rPr>
        <w:t>具体资金</w:t>
      </w:r>
      <w:proofErr w:type="gramEnd"/>
      <w:r>
        <w:rPr>
          <w:rFonts w:ascii="宋体" w:hAnsi="宋体" w:cs="Arial" w:hint="eastAsia"/>
          <w:sz w:val="24"/>
        </w:rPr>
        <w:t>清算和数据传递的时间、程序及托管协议当事人承担的权责按基金管理人届时的公告执行。</w:t>
      </w:r>
    </w:p>
    <w:p w14:paraId="2A4C1F61" w14:textId="77777777" w:rsidR="005B7AA2" w:rsidRDefault="00E50B4E">
      <w:pPr>
        <w:adjustRightInd w:val="0"/>
        <w:snapToGrid w:val="0"/>
        <w:spacing w:line="360" w:lineRule="auto"/>
        <w:ind w:firstLine="480"/>
        <w:outlineLvl w:val="0"/>
        <w:rPr>
          <w:rFonts w:ascii="宋体" w:hAnsi="宋体" w:cs="Arial"/>
          <w:sz w:val="24"/>
        </w:rPr>
      </w:pPr>
      <w:r>
        <w:rPr>
          <w:rFonts w:ascii="宋体" w:hAnsi="宋体" w:cs="Arial" w:hint="eastAsia"/>
          <w:sz w:val="24"/>
        </w:rPr>
        <w:t>3.本基金开展基金转换业务应按相关法律法规规定及《基金合同》的约定进行公告。</w:t>
      </w:r>
    </w:p>
    <w:p w14:paraId="455C9A17" w14:textId="77777777" w:rsidR="005B7AA2" w:rsidRDefault="00E50B4E">
      <w:pPr>
        <w:adjustRightInd w:val="0"/>
        <w:snapToGrid w:val="0"/>
        <w:spacing w:line="360" w:lineRule="auto"/>
        <w:ind w:firstLine="480"/>
        <w:outlineLvl w:val="0"/>
        <w:rPr>
          <w:rFonts w:ascii="宋体" w:hAnsi="宋体" w:cs="Arial"/>
          <w:sz w:val="24"/>
        </w:rPr>
      </w:pPr>
      <w:r>
        <w:rPr>
          <w:rFonts w:ascii="宋体" w:hAnsi="宋体" w:cs="Arial" w:hint="eastAsia"/>
          <w:sz w:val="24"/>
        </w:rPr>
        <w:t>（六）基金现金分红</w:t>
      </w:r>
    </w:p>
    <w:p w14:paraId="0C9033A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1.基金管理人确定分红方案通知基金托管人，双方核定后</w:t>
      </w:r>
      <w:r>
        <w:rPr>
          <w:rFonts w:ascii="宋体" w:hAnsi="宋体" w:hint="eastAsia"/>
          <w:sz w:val="24"/>
          <w:szCs w:val="18"/>
        </w:rPr>
        <w:t>依照《信息披露办法》的有关规定在中国证监会规定媒介上公告</w:t>
      </w:r>
      <w:r>
        <w:rPr>
          <w:rFonts w:ascii="宋体" w:hAnsi="宋体" w:cs="Arial" w:hint="eastAsia"/>
          <w:sz w:val="24"/>
        </w:rPr>
        <w:t>。</w:t>
      </w:r>
    </w:p>
    <w:p w14:paraId="13198813" w14:textId="77777777" w:rsidR="005B7AA2" w:rsidRDefault="00E50B4E">
      <w:pPr>
        <w:adjustRightInd w:val="0"/>
        <w:snapToGrid w:val="0"/>
        <w:spacing w:line="360" w:lineRule="auto"/>
        <w:ind w:firstLine="480"/>
        <w:rPr>
          <w:rFonts w:ascii="宋体" w:hAnsi="宋体" w:cs="Arial"/>
          <w:sz w:val="24"/>
        </w:rPr>
      </w:pPr>
      <w:r>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5585F98C" w14:textId="77777777" w:rsidR="005B7AA2" w:rsidRDefault="00E50B4E">
      <w:pPr>
        <w:spacing w:line="360" w:lineRule="auto"/>
        <w:ind w:firstLine="480"/>
        <w:rPr>
          <w:rFonts w:ascii="宋体" w:hAnsi="宋体" w:cs="Arial"/>
          <w:sz w:val="24"/>
        </w:rPr>
      </w:pPr>
      <w:r>
        <w:rPr>
          <w:rFonts w:ascii="宋体" w:hAnsi="宋体" w:cs="Arial" w:hint="eastAsia"/>
          <w:sz w:val="24"/>
        </w:rPr>
        <w:t>3.基金管理人在下达指令时，应给基金托管人留出必需的划款时间。</w:t>
      </w:r>
    </w:p>
    <w:p w14:paraId="0FC355FD" w14:textId="77777777" w:rsidR="005B7AA2" w:rsidRDefault="00E50B4E">
      <w:pPr>
        <w:spacing w:line="360" w:lineRule="auto"/>
        <w:ind w:firstLine="480"/>
        <w:rPr>
          <w:rFonts w:ascii="宋体" w:hAnsi="宋体" w:cs="Arial"/>
          <w:sz w:val="24"/>
        </w:rPr>
      </w:pPr>
      <w:r>
        <w:rPr>
          <w:rFonts w:ascii="宋体" w:hAnsi="宋体" w:cs="Arial" w:hint="eastAsia"/>
          <w:sz w:val="24"/>
        </w:rPr>
        <w:t>（七）投资银行存款的特别约定</w:t>
      </w:r>
    </w:p>
    <w:p w14:paraId="53C6947D" w14:textId="5DFEAC07" w:rsidR="005B7AA2" w:rsidRDefault="00E50B4E">
      <w:pPr>
        <w:spacing w:line="360" w:lineRule="auto"/>
        <w:ind w:firstLine="480"/>
        <w:rPr>
          <w:rFonts w:ascii="宋体" w:hAnsi="宋体" w:cs="Arial"/>
          <w:sz w:val="24"/>
        </w:rPr>
      </w:pPr>
      <w:r>
        <w:rPr>
          <w:rFonts w:ascii="宋体" w:hAnsi="宋体" w:cs="Arial" w:hint="eastAsia"/>
          <w:sz w:val="24"/>
        </w:rPr>
        <w:t>1.本基金投资银行存款前，基金管理人应与存款银行签订具体存款协议，包括但不限于以下内容：</w:t>
      </w:r>
    </w:p>
    <w:p w14:paraId="043B677D" w14:textId="77777777" w:rsidR="005B7AA2" w:rsidRDefault="00E50B4E">
      <w:pPr>
        <w:spacing w:line="360" w:lineRule="auto"/>
        <w:ind w:firstLine="480"/>
        <w:rPr>
          <w:rFonts w:ascii="宋体" w:hAnsi="宋体" w:cs="Arial"/>
          <w:sz w:val="24"/>
        </w:rPr>
      </w:pPr>
      <w:r>
        <w:rPr>
          <w:rFonts w:ascii="宋体"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宋体" w:hAnsi="宋体" w:cs="Arial" w:hint="eastAsia"/>
          <w:sz w:val="24"/>
        </w:rPr>
        <w:t>本息划往任何</w:t>
      </w:r>
      <w:proofErr w:type="gramEnd"/>
      <w:r>
        <w:rPr>
          <w:rFonts w:ascii="宋体" w:hAnsi="宋体" w:cs="Arial" w:hint="eastAsia"/>
          <w:sz w:val="24"/>
        </w:rPr>
        <w:t>其他账户。</w:t>
      </w:r>
    </w:p>
    <w:p w14:paraId="75FDE559" w14:textId="77777777" w:rsidR="005B7AA2" w:rsidRDefault="00E50B4E">
      <w:pPr>
        <w:spacing w:line="360" w:lineRule="auto"/>
        <w:ind w:firstLine="480"/>
        <w:rPr>
          <w:rFonts w:ascii="宋体" w:hAnsi="宋体" w:cs="Arial"/>
          <w:sz w:val="24"/>
        </w:rPr>
      </w:pPr>
      <w:r>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854775A" w14:textId="77777777" w:rsidR="005B7AA2" w:rsidRDefault="00E50B4E">
      <w:pPr>
        <w:spacing w:line="360" w:lineRule="auto"/>
        <w:ind w:firstLine="480"/>
        <w:rPr>
          <w:rFonts w:ascii="宋体" w:hAnsi="宋体" w:cs="Arial"/>
          <w:sz w:val="24"/>
        </w:rPr>
      </w:pPr>
      <w:r>
        <w:rPr>
          <w:rFonts w:ascii="宋体" w:hAnsi="宋体" w:cs="Arial" w:hint="eastAsia"/>
          <w:sz w:val="24"/>
        </w:rPr>
        <w:t>（3）约定存款证实书的具体传递交接方式及交接期限。</w:t>
      </w:r>
    </w:p>
    <w:p w14:paraId="4B738073" w14:textId="77777777" w:rsidR="005B7AA2" w:rsidRDefault="00E50B4E">
      <w:pPr>
        <w:spacing w:line="360" w:lineRule="auto"/>
        <w:ind w:firstLine="480"/>
        <w:rPr>
          <w:rFonts w:ascii="宋体" w:hAnsi="宋体" w:cs="Arial"/>
          <w:sz w:val="24"/>
        </w:rPr>
      </w:pPr>
      <w:r>
        <w:rPr>
          <w:rFonts w:ascii="宋体" w:hAnsi="宋体" w:cs="Arial" w:hint="eastAsia"/>
          <w:sz w:val="24"/>
        </w:rPr>
        <w:t>（4）资金划转过程中需要使用存款银行过渡账户的，存款银行须保证资金在过渡账户中不出现滞留，不被挪用。</w:t>
      </w:r>
    </w:p>
    <w:p w14:paraId="2913A3EE"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2.本基金投资银行存款，必须采用双方认可的方式办理。托管人负责依据管理</w:t>
      </w:r>
      <w:r>
        <w:rPr>
          <w:rFonts w:ascii="宋体" w:hAnsi="宋体" w:cs="Arial" w:hint="eastAsia"/>
          <w:sz w:val="24"/>
        </w:rPr>
        <w:lastRenderedPageBreak/>
        <w:t>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184A75E" w14:textId="3F5B9953" w:rsidR="005B7AA2" w:rsidRDefault="006E5EFC">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sidR="00E50B4E">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915AD0D" w14:textId="77777777" w:rsidR="005B7AA2" w:rsidRPr="006E5EFC" w:rsidRDefault="00E50B4E" w:rsidP="006E5EFC">
      <w:pPr>
        <w:adjustRightInd w:val="0"/>
        <w:snapToGrid w:val="0"/>
        <w:spacing w:line="360" w:lineRule="auto"/>
        <w:ind w:firstLineChars="200" w:firstLine="480"/>
        <w:rPr>
          <w:rFonts w:ascii="宋体" w:hAnsi="宋体" w:cs="Arial"/>
          <w:sz w:val="24"/>
        </w:rPr>
      </w:pPr>
      <w:r w:rsidRPr="006E5EFC">
        <w:rPr>
          <w:rFonts w:ascii="宋体" w:hAnsi="宋体" w:cs="Arial"/>
          <w:sz w:val="24"/>
        </w:rPr>
        <w:t>4</w:t>
      </w:r>
      <w:r w:rsidRPr="006E5EFC">
        <w:rPr>
          <w:rFonts w:ascii="宋体"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sidRPr="006E5EFC">
        <w:rPr>
          <w:rFonts w:ascii="宋体" w:hAnsi="宋体" w:cs="Arial"/>
          <w:sz w:val="24"/>
        </w:rPr>
        <w:t>1</w:t>
      </w:r>
      <w:r w:rsidRPr="006E5EFC">
        <w:rPr>
          <w:rFonts w:ascii="宋体" w:hAnsi="宋体" w:cs="Arial" w:hint="eastAsia"/>
          <w:sz w:val="24"/>
        </w:rPr>
        <w:t>）建立风险预警机制，对于实物凭证未送达集中度较高的存款银行，主动发</w:t>
      </w:r>
      <w:proofErr w:type="gramStart"/>
      <w:r w:rsidRPr="006E5EFC">
        <w:rPr>
          <w:rFonts w:ascii="宋体" w:hAnsi="宋体" w:cs="Arial" w:hint="eastAsia"/>
          <w:sz w:val="24"/>
        </w:rPr>
        <w:t>函管</w:t>
      </w:r>
      <w:proofErr w:type="gramEnd"/>
      <w:r w:rsidRPr="006E5EFC">
        <w:rPr>
          <w:rFonts w:ascii="宋体" w:hAnsi="宋体" w:cs="Arial" w:hint="eastAsia"/>
          <w:sz w:val="24"/>
        </w:rPr>
        <w:t>理人尽量避免在此类银行进行存款投资；（</w:t>
      </w:r>
      <w:r w:rsidRPr="006E5EFC">
        <w:rPr>
          <w:rFonts w:ascii="宋体" w:hAnsi="宋体" w:cs="Arial"/>
          <w:sz w:val="24"/>
        </w:rPr>
        <w:t>2</w:t>
      </w:r>
      <w:r w:rsidRPr="006E5EFC">
        <w:rPr>
          <w:rFonts w:ascii="宋体" w:hAnsi="宋体" w:cs="Arial" w:hint="eastAsia"/>
          <w:sz w:val="24"/>
        </w:rPr>
        <w:t>）在定期报告中，对未按约定送达基金托管人保管的实物凭证信息进行规定范围信息披露；（</w:t>
      </w:r>
      <w:r w:rsidRPr="006E5EFC">
        <w:rPr>
          <w:rFonts w:ascii="宋体" w:hAnsi="宋体" w:cs="Arial"/>
          <w:sz w:val="24"/>
        </w:rPr>
        <w:t>3</w:t>
      </w:r>
      <w:r w:rsidRPr="006E5EFC">
        <w:rPr>
          <w:rFonts w:ascii="宋体" w:hAnsi="宋体" w:cs="Arial" w:hint="eastAsia"/>
          <w:sz w:val="24"/>
        </w:rPr>
        <w:t>）未送达实物凭证超过送单截止日后</w:t>
      </w:r>
      <w:r w:rsidRPr="006E5EFC">
        <w:rPr>
          <w:rFonts w:ascii="宋体" w:hAnsi="宋体" w:cs="Arial"/>
          <w:sz w:val="24"/>
        </w:rPr>
        <w:t>30</w:t>
      </w:r>
      <w:r w:rsidRPr="006E5EFC">
        <w:rPr>
          <w:rFonts w:ascii="宋体" w:hAnsi="宋体" w:cs="Arial" w:hint="eastAsia"/>
          <w:sz w:val="24"/>
        </w:rPr>
        <w:t>个工作日，且累计超过</w:t>
      </w:r>
      <w:r w:rsidRPr="006E5EFC">
        <w:rPr>
          <w:rFonts w:ascii="宋体" w:hAnsi="宋体" w:cs="Arial"/>
          <w:sz w:val="24"/>
        </w:rPr>
        <w:t>3</w:t>
      </w:r>
      <w:r w:rsidRPr="006E5EFC">
        <w:rPr>
          <w:rFonts w:ascii="宋体" w:hAnsi="宋体" w:cs="Arial" w:hint="eastAsia"/>
          <w:sz w:val="24"/>
        </w:rPr>
        <w:t>笔（含）以上的，部分或全部暂停配合基金管理人办理后续新增存款投资业务，直至实物凭证送达托管人保管后解除。实物凭证未送达但存款本息已安全划回托管</w:t>
      </w:r>
      <w:r>
        <w:rPr>
          <w:rFonts w:ascii="宋体" w:hAnsi="宋体" w:cs="Arial" w:hint="eastAsia"/>
          <w:sz w:val="24"/>
        </w:rPr>
        <w:t>资金</w:t>
      </w:r>
      <w:r w:rsidRPr="006E5EFC">
        <w:rPr>
          <w:rFonts w:ascii="宋体" w:hAnsi="宋体" w:cs="Arial" w:hint="eastAsia"/>
          <w:sz w:val="24"/>
        </w:rPr>
        <w:t>账户的，以及因发生特殊情况由管理人提供相关书面说明并重新承诺送单截止时间的，可剔除不计。</w:t>
      </w:r>
    </w:p>
    <w:p w14:paraId="1A0D6B69" w14:textId="77777777" w:rsidR="005B7AA2" w:rsidRDefault="005B7AA2">
      <w:pPr>
        <w:adjustRightInd w:val="0"/>
        <w:snapToGrid w:val="0"/>
        <w:spacing w:line="360" w:lineRule="auto"/>
        <w:ind w:firstLineChars="200" w:firstLine="480"/>
        <w:rPr>
          <w:rFonts w:ascii="宋体" w:hAnsi="宋体" w:cs="Arial"/>
          <w:sz w:val="24"/>
        </w:rPr>
      </w:pPr>
    </w:p>
    <w:p w14:paraId="0FDE622E" w14:textId="7D558E30" w:rsidR="005B7AA2" w:rsidRDefault="00E50B4E">
      <w:pPr>
        <w:pStyle w:val="2"/>
        <w:spacing w:line="360" w:lineRule="auto"/>
        <w:jc w:val="center"/>
        <w:rPr>
          <w:rFonts w:ascii="宋体" w:eastAsia="宋体" w:hAnsi="宋体"/>
          <w:sz w:val="30"/>
        </w:rPr>
      </w:pPr>
      <w:bookmarkStart w:id="96" w:name="_Toc124325892"/>
      <w:r>
        <w:rPr>
          <w:rFonts w:ascii="宋体" w:eastAsia="宋体" w:hAnsi="宋体" w:hint="eastAsia"/>
          <w:sz w:val="30"/>
        </w:rPr>
        <w:t>八、基金资产净值计算和会计核算</w:t>
      </w:r>
      <w:bookmarkEnd w:id="96"/>
    </w:p>
    <w:p w14:paraId="616939AE"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（一）基金资产净值的计算、复核与完成的时间及程序</w:t>
      </w:r>
    </w:p>
    <w:p w14:paraId="1CD6A02E" w14:textId="1BA8C7F1"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1.基金资产净值是指基金资产总值减去负债后的金额。各类基金份额净值是按照每个估值日闭市后，各类基金份额的基金资产净值除以当日该类基金份额的余额总数计算，均精确到0.00</w:t>
      </w:r>
      <w:r>
        <w:rPr>
          <w:rFonts w:ascii="宋体" w:hAnsi="宋体" w:cs="Arial"/>
          <w:sz w:val="24"/>
        </w:rPr>
        <w:t>0</w:t>
      </w:r>
      <w:r>
        <w:rPr>
          <w:rFonts w:ascii="宋体" w:hAnsi="宋体" w:cs="Arial" w:hint="eastAsia"/>
          <w:sz w:val="24"/>
        </w:rPr>
        <w:t>1元，小数点后第五位四舍五入。基金管理人可以设立大额赎回情形下的净值精度应急调整机制。国家另有规定的，从其规定。</w:t>
      </w:r>
    </w:p>
    <w:p w14:paraId="70CBC1A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每个估值日计算基金资产净值及各类基金份额净值，并按规定公告。</w:t>
      </w:r>
    </w:p>
    <w:p w14:paraId="53D00AD0" w14:textId="6F47D3FE"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w:t>
      </w:r>
      <w:proofErr w:type="gramStart"/>
      <w:r>
        <w:rPr>
          <w:rFonts w:ascii="宋体" w:hAnsi="宋体" w:cs="Arial" w:hint="eastAsia"/>
          <w:sz w:val="24"/>
        </w:rPr>
        <w:t>应每个</w:t>
      </w:r>
      <w:proofErr w:type="gramEnd"/>
      <w:r>
        <w:rPr>
          <w:rFonts w:ascii="宋体" w:hAnsi="宋体" w:cs="Arial" w:hint="eastAsia"/>
          <w:sz w:val="24"/>
        </w:rPr>
        <w:t>估值日对基金资产估值。但基金管理人根据法律法规或《基金合同》的规定暂停估值时除外。基金管理人每个估值日对基金资产估值后，</w:t>
      </w:r>
      <w:r>
        <w:rPr>
          <w:rFonts w:ascii="宋体" w:hAnsi="宋体" w:cs="Arial" w:hint="eastAsia"/>
          <w:sz w:val="24"/>
        </w:rPr>
        <w:lastRenderedPageBreak/>
        <w:t>将各类基金份额净值结果发送基金托管人，经基金托管人复核无误后，由基金管理人按规定对外公布。</w:t>
      </w:r>
    </w:p>
    <w:p w14:paraId="05EE6E0E" w14:textId="57BC0E39" w:rsidR="002669DE" w:rsidRPr="002669DE" w:rsidRDefault="002669DE" w:rsidP="002669DE">
      <w:pPr>
        <w:adjustRightInd w:val="0"/>
        <w:snapToGrid w:val="0"/>
        <w:spacing w:line="360" w:lineRule="auto"/>
        <w:ind w:firstLineChars="200" w:firstLine="480"/>
        <w:rPr>
          <w:rFonts w:ascii="宋体" w:hAnsi="宋体" w:cs="Arial"/>
          <w:sz w:val="24"/>
        </w:rPr>
      </w:pPr>
      <w:r w:rsidRPr="002669DE">
        <w:rPr>
          <w:rFonts w:ascii="宋体" w:hAnsi="宋体" w:cs="Arial" w:hint="eastAsia"/>
          <w:sz w:val="24"/>
        </w:rPr>
        <w:t>本基金在每个工作日计算基金资产净值及各类基金份额净值时，将统一按前一日</w:t>
      </w:r>
      <w:r w:rsidR="00E22F05">
        <w:rPr>
          <w:rFonts w:ascii="宋体" w:hAnsi="宋体" w:cs="Arial" w:hint="eastAsia"/>
          <w:sz w:val="24"/>
        </w:rPr>
        <w:t>各类</w:t>
      </w:r>
      <w:r w:rsidRPr="002669DE">
        <w:rPr>
          <w:rFonts w:ascii="宋体" w:hAnsi="宋体" w:cs="Arial" w:hint="eastAsia"/>
          <w:sz w:val="24"/>
        </w:rPr>
        <w:t>基金资产净值的1.20%的年费率计算管理费，投资者实际承担的管理费将依据本协议第十一章“基金费用”的约定计算和收取。</w:t>
      </w:r>
    </w:p>
    <w:p w14:paraId="6F3BB8C8" w14:textId="77777777" w:rsidR="005B7AA2" w:rsidRDefault="00E50B4E">
      <w:pPr>
        <w:spacing w:line="360" w:lineRule="auto"/>
        <w:ind w:firstLineChars="200" w:firstLine="480"/>
        <w:rPr>
          <w:rFonts w:ascii="宋体" w:hAnsi="宋体" w:cs="Arial"/>
          <w:sz w:val="24"/>
        </w:rPr>
      </w:pPr>
      <w:r>
        <w:rPr>
          <w:rFonts w:ascii="宋体" w:hAnsi="宋体" w:cs="Arial" w:hint="eastAsia"/>
          <w:sz w:val="24"/>
        </w:rPr>
        <w:t>（二）基金资产估值方法和特殊情形的处理</w:t>
      </w:r>
    </w:p>
    <w:p w14:paraId="0EEAFE88" w14:textId="0DC76A32"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本基金的估值对象为基金所拥有的股票、债券和银行存款本息、应收款项、其它投资等资产及负债。</w:t>
      </w:r>
    </w:p>
    <w:p w14:paraId="68336765" w14:textId="77777777" w:rsidR="005B7AA2" w:rsidRDefault="00E50B4E">
      <w:pPr>
        <w:spacing w:line="360" w:lineRule="auto"/>
        <w:ind w:firstLineChars="200" w:firstLine="480"/>
        <w:rPr>
          <w:rFonts w:asciiTheme="minorEastAsia" w:hAnsiTheme="minorEastAsia"/>
          <w:bCs/>
          <w:sz w:val="24"/>
        </w:rPr>
      </w:pPr>
      <w:r>
        <w:rPr>
          <w:rFonts w:asciiTheme="minorEastAsia" w:hAnsiTheme="minorEastAsia" w:hint="eastAsia"/>
          <w:bCs/>
          <w:sz w:val="24"/>
        </w:rPr>
        <w:t>本基金所持有的投资品种，按如下原则进行估值：</w:t>
      </w:r>
    </w:p>
    <w:p w14:paraId="17126C2E" w14:textId="4FFD2B98" w:rsidR="005B7AA2" w:rsidRDefault="00E50B4E">
      <w:pPr>
        <w:spacing w:line="360" w:lineRule="auto"/>
        <w:ind w:firstLine="480"/>
        <w:rPr>
          <w:bCs/>
          <w:sz w:val="24"/>
        </w:rPr>
      </w:pPr>
      <w:r>
        <w:rPr>
          <w:rFonts w:hint="eastAsia"/>
          <w:bCs/>
          <w:sz w:val="24"/>
        </w:rPr>
        <w:t>1</w:t>
      </w:r>
      <w:r w:rsidR="00AB5FDF">
        <w:rPr>
          <w:rFonts w:hint="eastAsia"/>
          <w:bCs/>
          <w:sz w:val="24"/>
        </w:rPr>
        <w:t>.</w:t>
      </w:r>
      <w:r>
        <w:rPr>
          <w:rFonts w:hint="eastAsia"/>
          <w:bCs/>
          <w:sz w:val="24"/>
        </w:rPr>
        <w:t>证券交易所上市的有价证券的估值</w:t>
      </w:r>
    </w:p>
    <w:p w14:paraId="38CCD610" w14:textId="77D0578E" w:rsidR="005B7AA2" w:rsidRDefault="00E50B4E">
      <w:pPr>
        <w:spacing w:line="360" w:lineRule="auto"/>
        <w:ind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53CE3E1" w14:textId="77777777" w:rsidR="005B7AA2" w:rsidRDefault="00E50B4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w:t>
      </w:r>
      <w:r>
        <w:rPr>
          <w:rFonts w:ascii="宋体" w:hAnsi="宋体"/>
          <w:bCs/>
          <w:sz w:val="24"/>
        </w:rPr>
        <w:t>基准服务</w:t>
      </w:r>
      <w:r>
        <w:rPr>
          <w:rFonts w:ascii="宋体" w:hAnsi="宋体" w:hint="eastAsia"/>
          <w:sz w:val="24"/>
        </w:rPr>
        <w:t>机构提供的相应品种当日的估值</w:t>
      </w:r>
      <w:r>
        <w:rPr>
          <w:rFonts w:ascii="宋体" w:hAnsi="宋体" w:hint="eastAsia"/>
          <w:bCs/>
          <w:sz w:val="24"/>
        </w:rPr>
        <w:t>全价；</w:t>
      </w:r>
      <w:r>
        <w:rPr>
          <w:rFonts w:ascii="宋体" w:hAnsi="宋体" w:hint="eastAsia"/>
          <w:sz w:val="24"/>
        </w:rPr>
        <w:t>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w:t>
      </w:r>
      <w:r>
        <w:rPr>
          <w:rFonts w:ascii="宋体" w:hAnsi="宋体"/>
          <w:bCs/>
          <w:sz w:val="24"/>
        </w:rPr>
        <w:t>基准服务</w:t>
      </w:r>
      <w:r>
        <w:rPr>
          <w:rFonts w:ascii="宋体" w:hAnsi="宋体" w:hint="eastAsia"/>
          <w:sz w:val="24"/>
        </w:rPr>
        <w:t>机构提供的相应品种当日的唯一估值</w:t>
      </w:r>
      <w:r>
        <w:rPr>
          <w:rFonts w:ascii="宋体" w:hAnsi="宋体"/>
          <w:bCs/>
          <w:sz w:val="24"/>
        </w:rPr>
        <w:t>全</w:t>
      </w:r>
      <w:r>
        <w:rPr>
          <w:rFonts w:ascii="宋体" w:hAnsi="宋体" w:hint="eastAsia"/>
          <w:bCs/>
          <w:sz w:val="24"/>
        </w:rPr>
        <w:t>价</w:t>
      </w:r>
      <w:r>
        <w:rPr>
          <w:rFonts w:ascii="宋体" w:hAnsi="宋体" w:hint="eastAsia"/>
          <w:sz w:val="24"/>
        </w:rPr>
        <w:t>或推荐估值</w:t>
      </w:r>
      <w:r>
        <w:rPr>
          <w:rFonts w:ascii="宋体" w:hAnsi="宋体"/>
          <w:bCs/>
          <w:sz w:val="24"/>
        </w:rPr>
        <w:t>全</w:t>
      </w:r>
      <w:r>
        <w:rPr>
          <w:rFonts w:ascii="宋体" w:hAnsi="宋体" w:hint="eastAsia"/>
          <w:bCs/>
          <w:sz w:val="24"/>
        </w:rPr>
        <w:t>价</w:t>
      </w:r>
      <w:r>
        <w:rPr>
          <w:rFonts w:ascii="宋体" w:hAnsi="宋体" w:hint="eastAsia"/>
          <w:sz w:val="24"/>
        </w:rPr>
        <w:t>；</w:t>
      </w:r>
    </w:p>
    <w:p w14:paraId="2BFEEDD4" w14:textId="77777777" w:rsidR="005B7AA2" w:rsidRDefault="00E50B4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3）</w:t>
      </w:r>
      <w:r>
        <w:rPr>
          <w:rFonts w:ascii="宋体" w:hAnsi="宋体" w:hint="eastAsia"/>
          <w:sz w:val="24"/>
        </w:rPr>
        <w:t>交易所上市交易的</w:t>
      </w:r>
      <w:r>
        <w:rPr>
          <w:rFonts w:ascii="宋体" w:hAnsi="宋体" w:hint="eastAsia"/>
          <w:bCs/>
          <w:sz w:val="24"/>
        </w:rPr>
        <w:t>公开发行的</w:t>
      </w:r>
      <w:r>
        <w:rPr>
          <w:rFonts w:ascii="宋体" w:hAnsi="宋体" w:hint="eastAsia"/>
          <w:sz w:val="24"/>
        </w:rPr>
        <w:t>可转换债券</w:t>
      </w:r>
      <w:r>
        <w:rPr>
          <w:rFonts w:ascii="宋体" w:hAnsi="宋体" w:hint="eastAsia"/>
          <w:bCs/>
          <w:sz w:val="24"/>
        </w:rPr>
        <w:t>等有活跃市场的含转股权的债券，实行全价交易的债券选取估值日</w:t>
      </w:r>
      <w:r>
        <w:rPr>
          <w:rFonts w:ascii="宋体" w:hAnsi="宋体" w:hint="eastAsia"/>
          <w:sz w:val="24"/>
        </w:rPr>
        <w:t>收盘价作为估值全价；</w:t>
      </w:r>
      <w:r>
        <w:rPr>
          <w:rFonts w:ascii="宋体" w:hAnsi="宋体" w:hint="eastAsia"/>
          <w:bCs/>
          <w:sz w:val="24"/>
        </w:rPr>
        <w:t>实行净价交易的债券选取估值日收盘价并加计每百元税前应计利息作为估值全价；</w:t>
      </w:r>
    </w:p>
    <w:p w14:paraId="6DF6B59B" w14:textId="77777777" w:rsidR="005B7AA2" w:rsidRDefault="00E50B4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）交易所上市不存在活跃市场的有价证券，采用估值技术确定公允价值。</w:t>
      </w:r>
    </w:p>
    <w:p w14:paraId="2CA1E21D" w14:textId="3E7E502B" w:rsidR="005B7AA2" w:rsidRDefault="00E50B4E">
      <w:pPr>
        <w:spacing w:line="360" w:lineRule="auto"/>
        <w:ind w:firstLineChars="200" w:firstLine="480"/>
        <w:rPr>
          <w:rFonts w:ascii="宋体" w:hAnsi="宋体"/>
          <w:sz w:val="24"/>
        </w:rPr>
      </w:pPr>
      <w:r>
        <w:rPr>
          <w:rFonts w:ascii="宋体" w:hAnsi="宋体"/>
          <w:sz w:val="24"/>
        </w:rPr>
        <w:t>2</w:t>
      </w:r>
      <w:r w:rsidR="00AB5FDF">
        <w:rPr>
          <w:rFonts w:ascii="宋体" w:hAnsi="宋体" w:hint="eastAsia"/>
          <w:sz w:val="24"/>
        </w:rPr>
        <w:t>.</w:t>
      </w:r>
      <w:r>
        <w:rPr>
          <w:rFonts w:ascii="宋体" w:hAnsi="宋体" w:hint="eastAsia"/>
          <w:sz w:val="24"/>
        </w:rPr>
        <w:t>处于未上市期间或流通受限的有价证券应区分如下情况处理：</w:t>
      </w:r>
    </w:p>
    <w:p w14:paraId="596C2E1A" w14:textId="77777777" w:rsidR="005B7AA2" w:rsidRDefault="00E50B4E">
      <w:pPr>
        <w:spacing w:line="360" w:lineRule="auto"/>
        <w:ind w:firstLineChars="200" w:firstLine="480"/>
        <w:rPr>
          <w:rFonts w:ascii="宋体" w:hAnsi="宋体"/>
          <w:sz w:val="24"/>
        </w:rPr>
      </w:pPr>
      <w:r>
        <w:rPr>
          <w:rFonts w:ascii="宋体" w:hAnsi="宋体" w:hint="eastAsia"/>
          <w:sz w:val="24"/>
        </w:rPr>
        <w:t>（1）送股、转增股、配股和公开增发的新股，按估值日在证券交易所挂牌的同一股票的估值方法估值；该日无交易的，以最近一日的市价（收盘价）估值；</w:t>
      </w:r>
      <w:r>
        <w:rPr>
          <w:rFonts w:ascii="宋体" w:hAnsi="宋体"/>
          <w:sz w:val="24"/>
        </w:rPr>
        <w:t xml:space="preserve"> </w:t>
      </w:r>
    </w:p>
    <w:p w14:paraId="263184CC" w14:textId="77777777" w:rsidR="005B7AA2" w:rsidRDefault="00E50B4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）首次公开发行未上市的股票，采用估值技术确定公允价值</w:t>
      </w:r>
      <w:r>
        <w:rPr>
          <w:rFonts w:ascii="宋体" w:hAnsi="宋体" w:hint="eastAsia"/>
          <w:bCs/>
          <w:sz w:val="24"/>
        </w:rPr>
        <w:t>；</w:t>
      </w:r>
    </w:p>
    <w:p w14:paraId="54C0486C" w14:textId="77777777" w:rsidR="005B7AA2" w:rsidRDefault="00E50B4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）在发行时明确一定期限限售期的股票，包括但不限于非公开发行股票、首次公开发行股票时公司股东公开发售股份、通过大宗交易取得的带限售期的股</w:t>
      </w:r>
      <w:r>
        <w:rPr>
          <w:rFonts w:ascii="宋体" w:hAnsi="宋体" w:hint="eastAsia"/>
          <w:sz w:val="24"/>
        </w:rPr>
        <w:lastRenderedPageBreak/>
        <w:t>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等流通受限股票，按监管机构或行业协会有关规定确定公允价值</w:t>
      </w:r>
      <w:r>
        <w:rPr>
          <w:rFonts w:ascii="宋体" w:hAnsi="宋体" w:hint="eastAsia"/>
          <w:bCs/>
          <w:sz w:val="24"/>
        </w:rPr>
        <w:t>；</w:t>
      </w:r>
    </w:p>
    <w:p w14:paraId="6FA7278E" w14:textId="77777777" w:rsidR="005B7AA2" w:rsidRDefault="00E50B4E">
      <w:pPr>
        <w:spacing w:line="360" w:lineRule="auto"/>
        <w:ind w:firstLineChars="200" w:firstLine="480"/>
        <w:rPr>
          <w:rFonts w:ascii="宋体" w:hAnsi="宋体"/>
          <w:sz w:val="24"/>
        </w:rPr>
      </w:pPr>
      <w:r>
        <w:rPr>
          <w:rFonts w:ascii="宋体" w:hAnsi="宋体" w:hint="eastAsia"/>
          <w:bCs/>
          <w:sz w:val="24"/>
        </w:rPr>
        <w:t>（</w:t>
      </w:r>
      <w:r>
        <w:rPr>
          <w:rFonts w:ascii="宋体" w:hAnsi="宋体"/>
          <w:bCs/>
          <w:sz w:val="24"/>
        </w:rPr>
        <w:t>4</w:t>
      </w:r>
      <w:r>
        <w:rPr>
          <w:rFonts w:ascii="宋体" w:hAnsi="宋体" w:hint="eastAsia"/>
          <w:bCs/>
          <w:sz w:val="24"/>
        </w:rPr>
        <w:t>）交易所未上市或未挂牌转让且不存在活跃市场</w:t>
      </w:r>
      <w:r>
        <w:rPr>
          <w:rFonts w:ascii="宋体" w:hAnsi="宋体" w:hint="eastAsia"/>
          <w:sz w:val="24"/>
        </w:rPr>
        <w:t>的固定收益品种</w:t>
      </w:r>
      <w:r>
        <w:rPr>
          <w:rFonts w:ascii="宋体" w:hAnsi="宋体" w:hint="eastAsia"/>
          <w:bCs/>
          <w:sz w:val="24"/>
        </w:rPr>
        <w:t>，应采用在当前情况下适用并且有足够可利用数据和其他信息支持</w:t>
      </w:r>
      <w:r>
        <w:rPr>
          <w:rFonts w:ascii="宋体" w:hAnsi="宋体" w:hint="eastAsia"/>
          <w:sz w:val="24"/>
        </w:rPr>
        <w:t>的估值</w:t>
      </w:r>
      <w:r>
        <w:rPr>
          <w:rFonts w:ascii="宋体" w:hAnsi="宋体" w:hint="eastAsia"/>
          <w:bCs/>
          <w:sz w:val="24"/>
        </w:rPr>
        <w:t>技术确定其公允价值。</w:t>
      </w:r>
    </w:p>
    <w:p w14:paraId="7AA567FF" w14:textId="0ED65552" w:rsidR="005B7AA2" w:rsidRDefault="00E50B4E">
      <w:pPr>
        <w:spacing w:line="360" w:lineRule="auto"/>
        <w:ind w:firstLineChars="200" w:firstLine="480"/>
        <w:rPr>
          <w:rFonts w:ascii="宋体" w:hAnsi="宋体"/>
          <w:sz w:val="24"/>
        </w:rPr>
      </w:pPr>
      <w:r>
        <w:rPr>
          <w:rFonts w:ascii="宋体" w:hAnsi="宋体"/>
          <w:bCs/>
          <w:sz w:val="24"/>
        </w:rPr>
        <w:t>3</w:t>
      </w:r>
      <w:r w:rsidR="00AB5FDF">
        <w:rPr>
          <w:rFonts w:ascii="宋体" w:hAnsi="宋体"/>
          <w:bCs/>
          <w:sz w:val="24"/>
        </w:rPr>
        <w:t>.</w:t>
      </w:r>
      <w:r>
        <w:rPr>
          <w:rFonts w:ascii="宋体" w:hAnsi="宋体"/>
          <w:bCs/>
          <w:sz w:val="24"/>
        </w:rPr>
        <w:t>对全国</w:t>
      </w:r>
      <w:r>
        <w:rPr>
          <w:rFonts w:ascii="宋体" w:hAnsi="宋体" w:hint="eastAsia"/>
          <w:sz w:val="24"/>
        </w:rPr>
        <w:t>银行间市场</w:t>
      </w:r>
      <w:r>
        <w:rPr>
          <w:rFonts w:ascii="宋体" w:hAnsi="宋体"/>
          <w:bCs/>
          <w:sz w:val="24"/>
        </w:rPr>
        <w:t>上</w:t>
      </w:r>
      <w:r>
        <w:rPr>
          <w:rFonts w:ascii="宋体" w:hAnsi="宋体" w:hint="eastAsia"/>
          <w:sz w:val="24"/>
        </w:rPr>
        <w:t>不含权的固定收益品种，选取</w:t>
      </w:r>
      <w:r>
        <w:rPr>
          <w:rFonts w:ascii="宋体" w:hAnsi="宋体" w:hint="eastAsia"/>
          <w:bCs/>
          <w:sz w:val="24"/>
        </w:rPr>
        <w:t>估值日</w:t>
      </w:r>
      <w:r>
        <w:rPr>
          <w:rFonts w:ascii="宋体" w:hAnsi="宋体" w:hint="eastAsia"/>
          <w:sz w:val="24"/>
        </w:rPr>
        <w:t>第三方估值</w:t>
      </w:r>
      <w:r>
        <w:rPr>
          <w:rFonts w:ascii="宋体" w:hAnsi="宋体"/>
          <w:bCs/>
          <w:sz w:val="24"/>
        </w:rPr>
        <w:t>基准服务</w:t>
      </w:r>
      <w:r>
        <w:rPr>
          <w:rFonts w:ascii="宋体" w:hAnsi="宋体" w:hint="eastAsia"/>
          <w:sz w:val="24"/>
        </w:rPr>
        <w:t>机构提供的相应品种当日的估值</w:t>
      </w:r>
      <w:r>
        <w:rPr>
          <w:rFonts w:ascii="宋体" w:hAnsi="宋体" w:hint="eastAsia"/>
          <w:bCs/>
          <w:sz w:val="24"/>
        </w:rPr>
        <w:t>全价</w:t>
      </w:r>
      <w:r>
        <w:rPr>
          <w:rFonts w:ascii="宋体" w:hAnsi="宋体"/>
          <w:bCs/>
          <w:sz w:val="24"/>
        </w:rPr>
        <w:t>；</w:t>
      </w:r>
      <w:r>
        <w:rPr>
          <w:rFonts w:ascii="宋体" w:hAnsi="宋体" w:hint="eastAsia"/>
          <w:sz w:val="24"/>
        </w:rPr>
        <w:t>对</w:t>
      </w:r>
      <w:r>
        <w:rPr>
          <w:rFonts w:ascii="宋体" w:hAnsi="宋体"/>
          <w:bCs/>
          <w:sz w:val="24"/>
        </w:rPr>
        <w:t>全国</w:t>
      </w:r>
      <w:r>
        <w:rPr>
          <w:rFonts w:ascii="宋体" w:hAnsi="宋体" w:hint="eastAsia"/>
          <w:sz w:val="24"/>
        </w:rPr>
        <w:t>银行间市场上含权的固定收益品种，选取</w:t>
      </w:r>
      <w:r>
        <w:rPr>
          <w:rFonts w:ascii="宋体" w:hAnsi="宋体" w:hint="eastAsia"/>
          <w:bCs/>
          <w:sz w:val="24"/>
        </w:rPr>
        <w:t>估值日</w:t>
      </w:r>
      <w:r>
        <w:rPr>
          <w:rFonts w:ascii="宋体" w:hAnsi="宋体" w:hint="eastAsia"/>
          <w:sz w:val="24"/>
        </w:rPr>
        <w:t>第三方估值</w:t>
      </w:r>
      <w:r>
        <w:rPr>
          <w:rFonts w:ascii="宋体" w:hAnsi="宋体"/>
          <w:bCs/>
          <w:sz w:val="24"/>
        </w:rPr>
        <w:t>基准服务</w:t>
      </w:r>
      <w:r>
        <w:rPr>
          <w:rFonts w:ascii="宋体" w:hAnsi="宋体" w:hint="eastAsia"/>
          <w:sz w:val="24"/>
        </w:rPr>
        <w:t>机构提供的相应品种当日的唯一估值</w:t>
      </w:r>
      <w:r>
        <w:rPr>
          <w:rFonts w:ascii="宋体" w:hAnsi="宋体" w:hint="eastAsia"/>
          <w:bCs/>
          <w:sz w:val="24"/>
        </w:rPr>
        <w:t>全价</w:t>
      </w:r>
      <w:r>
        <w:rPr>
          <w:rFonts w:ascii="宋体" w:hAnsi="宋体" w:hint="eastAsia"/>
          <w:sz w:val="24"/>
        </w:rPr>
        <w:t>或推荐估值</w:t>
      </w:r>
      <w:r>
        <w:rPr>
          <w:rFonts w:ascii="宋体" w:hAnsi="宋体" w:hint="eastAsia"/>
          <w:bCs/>
          <w:sz w:val="24"/>
        </w:rPr>
        <w:t>全价</w:t>
      </w:r>
      <w:r>
        <w:rPr>
          <w:rFonts w:ascii="宋体" w:hAnsi="宋体"/>
          <w:bCs/>
          <w:sz w:val="24"/>
        </w:rPr>
        <w:t>。</w:t>
      </w:r>
    </w:p>
    <w:p w14:paraId="369393C1" w14:textId="77777777" w:rsidR="005B7AA2" w:rsidRDefault="00E50B4E">
      <w:pPr>
        <w:spacing w:line="360" w:lineRule="auto"/>
        <w:ind w:firstLineChars="200" w:firstLine="480"/>
        <w:rPr>
          <w:rFonts w:ascii="宋体" w:hAnsi="宋体"/>
          <w:bCs/>
          <w:sz w:val="24"/>
        </w:rPr>
      </w:pPr>
      <w:r>
        <w:rPr>
          <w:rFonts w:ascii="宋体" w:hAnsi="宋体" w:hint="eastAsia"/>
          <w:sz w:val="24"/>
        </w:rPr>
        <w:t>对</w:t>
      </w:r>
      <w:r>
        <w:rPr>
          <w:rFonts w:ascii="宋体" w:hAnsi="宋体" w:hint="eastAsia"/>
          <w:bCs/>
          <w:sz w:val="24"/>
        </w:rPr>
        <w:t>全国</w:t>
      </w:r>
      <w:r>
        <w:rPr>
          <w:rFonts w:ascii="宋体" w:hAnsi="宋体" w:hint="eastAsia"/>
          <w:sz w:val="24"/>
        </w:rPr>
        <w:t>银行间市场未上市</w:t>
      </w:r>
      <w:r>
        <w:rPr>
          <w:rFonts w:ascii="宋体" w:hAnsi="宋体" w:hint="eastAsia"/>
          <w:bCs/>
          <w:sz w:val="24"/>
        </w:rPr>
        <w:t>或未挂牌转让且不存在活跃市场的固定收益品种，应采用在当前情况下适用并且有足够可利用数据和其他信息支持的估值技术确定其公允价值。</w:t>
      </w:r>
    </w:p>
    <w:p w14:paraId="56981F2A" w14:textId="4F93DA25" w:rsidR="005B7AA2" w:rsidRDefault="00E50B4E">
      <w:pPr>
        <w:spacing w:line="360" w:lineRule="auto"/>
        <w:ind w:firstLineChars="200" w:firstLine="480"/>
        <w:rPr>
          <w:rFonts w:ascii="宋体" w:hAnsi="宋体"/>
          <w:bCs/>
          <w:sz w:val="24"/>
        </w:rPr>
      </w:pPr>
      <w:r>
        <w:rPr>
          <w:rFonts w:ascii="宋体" w:hAnsi="宋体" w:hint="eastAsia"/>
          <w:bCs/>
          <w:sz w:val="24"/>
        </w:rPr>
        <w:t>4</w:t>
      </w:r>
      <w:r w:rsidR="00AB5FDF">
        <w:rPr>
          <w:rFonts w:ascii="宋体" w:hAnsi="宋体"/>
          <w:bCs/>
          <w:sz w:val="24"/>
        </w:rPr>
        <w:t>.</w:t>
      </w:r>
      <w:r>
        <w:rPr>
          <w:rFonts w:ascii="宋体" w:hAnsi="宋体" w:hint="eastAsia"/>
          <w:bCs/>
          <w:sz w:val="24"/>
        </w:rPr>
        <w:t>对于含投资者回售权的固定收益品种，行使回售权的，在回售登记日至实际收款日期间选取</w:t>
      </w:r>
      <w:r>
        <w:rPr>
          <w:rFonts w:ascii="宋体" w:hAnsi="宋体" w:hint="eastAsia"/>
          <w:sz w:val="24"/>
        </w:rPr>
        <w:t>第三方估值</w:t>
      </w:r>
      <w:r>
        <w:rPr>
          <w:rFonts w:ascii="宋体" w:hAnsi="宋体" w:hint="eastAsia"/>
          <w:bCs/>
          <w:sz w:val="24"/>
        </w:rPr>
        <w:t>基准服务</w:t>
      </w:r>
      <w:r>
        <w:rPr>
          <w:rFonts w:ascii="宋体" w:hAnsi="宋体" w:hint="eastAsia"/>
          <w:sz w:val="24"/>
        </w:rPr>
        <w:t>机构提供</w:t>
      </w:r>
      <w:r>
        <w:rPr>
          <w:rFonts w:ascii="宋体" w:hAnsi="宋体" w:hint="eastAsia"/>
          <w:bCs/>
          <w:sz w:val="24"/>
        </w:rPr>
        <w:t>的相应品种的唯一估值全价或推荐估值全价。回售登记期截止日（含当日）后未行使回售权的按照长待偿期所对应的</w:t>
      </w:r>
      <w:r>
        <w:rPr>
          <w:rFonts w:ascii="宋体" w:hAnsi="宋体" w:hint="eastAsia"/>
          <w:sz w:val="24"/>
        </w:rPr>
        <w:t>价格</w:t>
      </w:r>
      <w:r>
        <w:rPr>
          <w:rFonts w:ascii="宋体" w:hAnsi="宋体" w:hint="eastAsia"/>
          <w:bCs/>
          <w:sz w:val="24"/>
        </w:rPr>
        <w:t>进行估值。</w:t>
      </w:r>
    </w:p>
    <w:p w14:paraId="24F0761C" w14:textId="76248F7C" w:rsidR="005B7AA2" w:rsidRDefault="00E50B4E">
      <w:pPr>
        <w:spacing w:line="360" w:lineRule="auto"/>
        <w:ind w:firstLineChars="200" w:firstLine="480"/>
        <w:rPr>
          <w:rFonts w:ascii="宋体" w:hAnsi="宋体"/>
          <w:sz w:val="24"/>
        </w:rPr>
      </w:pPr>
      <w:r>
        <w:rPr>
          <w:rFonts w:ascii="宋体" w:hAnsi="宋体"/>
          <w:bCs/>
          <w:sz w:val="24"/>
        </w:rPr>
        <w:t>5</w:t>
      </w:r>
      <w:r w:rsidR="00AB5FDF">
        <w:rPr>
          <w:rFonts w:ascii="宋体" w:hAnsi="宋体"/>
          <w:bCs/>
          <w:sz w:val="24"/>
        </w:rPr>
        <w:t>.</w:t>
      </w:r>
      <w:r>
        <w:rPr>
          <w:rFonts w:ascii="宋体" w:hAnsi="宋体" w:hint="eastAsia"/>
          <w:bCs/>
          <w:sz w:val="24"/>
        </w:rPr>
        <w:t>对于发行人已破产、发行人未能按时足额偿付本金或利息，或者有其它可靠信息表明本金或利息无法按时足额偿付</w:t>
      </w:r>
      <w:r>
        <w:rPr>
          <w:rFonts w:ascii="宋体" w:hAnsi="宋体" w:hint="eastAsia"/>
          <w:sz w:val="24"/>
        </w:rPr>
        <w:t>的债券</w:t>
      </w:r>
      <w:r>
        <w:rPr>
          <w:rFonts w:ascii="宋体" w:hAnsi="宋体" w:hint="eastAsia"/>
          <w:bCs/>
          <w:sz w:val="24"/>
        </w:rPr>
        <w:t>投资品种，</w:t>
      </w:r>
      <w:r>
        <w:rPr>
          <w:rFonts w:ascii="宋体" w:hAnsi="宋体"/>
          <w:bCs/>
          <w:sz w:val="24"/>
        </w:rPr>
        <w:t>第三方估值基准服务机构</w:t>
      </w:r>
      <w:r>
        <w:rPr>
          <w:rFonts w:ascii="宋体" w:hAnsi="宋体" w:hint="eastAsia"/>
          <w:bCs/>
          <w:sz w:val="24"/>
        </w:rPr>
        <w:t>可在提供推荐价格的同时提供价格区间作为公允价值的参考范围以及公允价值存在重大不确定性的相关提示。基金管理人在</w:t>
      </w:r>
      <w:r>
        <w:rPr>
          <w:rFonts w:ascii="宋体" w:hAnsi="宋体" w:hint="eastAsia"/>
          <w:sz w:val="24"/>
        </w:rPr>
        <w:t>与</w:t>
      </w:r>
      <w:r>
        <w:rPr>
          <w:rFonts w:ascii="宋体" w:hAnsi="宋体" w:hint="eastAsia"/>
          <w:bCs/>
          <w:sz w:val="24"/>
        </w:rPr>
        <w:t>托管人协商一致后，可采用价格区间中的数据作为该债券投资品种的公允价值</w:t>
      </w:r>
      <w:r>
        <w:rPr>
          <w:rFonts w:ascii="宋体" w:hAnsi="宋体" w:hint="eastAsia"/>
          <w:sz w:val="24"/>
        </w:rPr>
        <w:t>。</w:t>
      </w:r>
    </w:p>
    <w:p w14:paraId="37EFE092" w14:textId="73A18446" w:rsidR="005B7AA2" w:rsidRDefault="00E50B4E">
      <w:pPr>
        <w:spacing w:line="360" w:lineRule="auto"/>
        <w:ind w:firstLineChars="200" w:firstLine="480"/>
        <w:rPr>
          <w:rFonts w:cs="Times New Roman"/>
          <w:bCs/>
          <w:sz w:val="24"/>
          <w:szCs w:val="20"/>
        </w:rPr>
      </w:pPr>
      <w:r>
        <w:rPr>
          <w:rFonts w:cs="Times New Roman"/>
          <w:bCs/>
          <w:sz w:val="24"/>
          <w:szCs w:val="20"/>
        </w:rPr>
        <w:t>6</w:t>
      </w:r>
      <w:r w:rsidR="00AB5FDF">
        <w:rPr>
          <w:rFonts w:cs="Times New Roman" w:hint="eastAsia"/>
          <w:bCs/>
          <w:sz w:val="24"/>
          <w:szCs w:val="20"/>
        </w:rPr>
        <w:t>.</w:t>
      </w:r>
      <w:r>
        <w:rPr>
          <w:rFonts w:cs="Times New Roman" w:hint="eastAsia"/>
          <w:bCs/>
          <w:sz w:val="24"/>
          <w:szCs w:val="20"/>
        </w:rPr>
        <w:t>同一证券同时在两个或两个以上市场交易的，按证券所处的市场分别估值。</w:t>
      </w:r>
    </w:p>
    <w:p w14:paraId="0887170F" w14:textId="165C77EE" w:rsidR="005B7AA2" w:rsidRDefault="00E50B4E">
      <w:pPr>
        <w:spacing w:line="360" w:lineRule="auto"/>
        <w:ind w:firstLineChars="200" w:firstLine="480"/>
        <w:rPr>
          <w:rFonts w:cs="Times New Roman"/>
          <w:bCs/>
          <w:sz w:val="24"/>
          <w:szCs w:val="20"/>
        </w:rPr>
      </w:pPr>
      <w:r>
        <w:rPr>
          <w:rFonts w:cs="Times New Roman"/>
          <w:bCs/>
          <w:sz w:val="24"/>
          <w:szCs w:val="20"/>
        </w:rPr>
        <w:t>7</w:t>
      </w:r>
      <w:r w:rsidR="00AB5FDF">
        <w:rPr>
          <w:rFonts w:cs="Times New Roman" w:hint="eastAsia"/>
          <w:bCs/>
          <w:sz w:val="24"/>
          <w:szCs w:val="20"/>
        </w:rPr>
        <w:t>.</w:t>
      </w:r>
      <w:r>
        <w:rPr>
          <w:rFonts w:cs="Times New Roman" w:hint="eastAsia"/>
          <w:bCs/>
          <w:sz w:val="24"/>
          <w:szCs w:val="20"/>
        </w:rPr>
        <w:t>期货合约以估值当日结算价进行估值，估值当日无结算价的，且最近交易日后经济环境未发生重大变化的，采用最近交易日结算价估值。</w:t>
      </w:r>
    </w:p>
    <w:p w14:paraId="418C6202" w14:textId="74719ABB" w:rsidR="005B7AA2" w:rsidRDefault="00E50B4E">
      <w:pPr>
        <w:spacing w:line="360" w:lineRule="auto"/>
        <w:ind w:firstLineChars="200" w:firstLine="480"/>
        <w:rPr>
          <w:rFonts w:cs="Times New Roman"/>
          <w:bCs/>
          <w:sz w:val="24"/>
          <w:szCs w:val="20"/>
        </w:rPr>
      </w:pPr>
      <w:r>
        <w:rPr>
          <w:rFonts w:cs="Times New Roman"/>
          <w:bCs/>
          <w:sz w:val="24"/>
          <w:szCs w:val="20"/>
        </w:rPr>
        <w:t>8</w:t>
      </w:r>
      <w:r w:rsidR="00AB5FDF">
        <w:rPr>
          <w:rFonts w:cs="Times New Roman" w:hint="eastAsia"/>
          <w:bCs/>
          <w:sz w:val="24"/>
          <w:szCs w:val="20"/>
        </w:rPr>
        <w:t>.</w:t>
      </w:r>
      <w:r>
        <w:rPr>
          <w:rFonts w:cs="Times New Roman" w:hint="eastAsia"/>
          <w:bCs/>
          <w:sz w:val="24"/>
          <w:szCs w:val="20"/>
        </w:rPr>
        <w:t>估值中的汇率选取原则：</w:t>
      </w:r>
    </w:p>
    <w:p w14:paraId="4198AC1C" w14:textId="77777777" w:rsidR="005B7AA2" w:rsidRDefault="00E50B4E">
      <w:pPr>
        <w:spacing w:line="360" w:lineRule="auto"/>
        <w:ind w:firstLineChars="200" w:firstLine="480"/>
        <w:rPr>
          <w:rFonts w:cs="Times New Roman"/>
          <w:bCs/>
          <w:sz w:val="24"/>
          <w:szCs w:val="20"/>
        </w:rPr>
      </w:pPr>
      <w:r>
        <w:rPr>
          <w:rFonts w:cs="Times New Roman" w:hint="eastAsia"/>
          <w:bCs/>
          <w:sz w:val="24"/>
          <w:szCs w:val="20"/>
        </w:rPr>
        <w:t>港股通投资持有外币证券资产估值涉及到的主要货币对人民币汇率，以估值日中国人民银行或其授权机构公布的人民币汇率中间价为准。</w:t>
      </w:r>
    </w:p>
    <w:p w14:paraId="190F8FA8" w14:textId="77777777" w:rsidR="005B7AA2" w:rsidRDefault="00E50B4E">
      <w:pPr>
        <w:spacing w:line="360" w:lineRule="auto"/>
        <w:ind w:firstLineChars="200" w:firstLine="480"/>
        <w:rPr>
          <w:rFonts w:cs="Times New Roman"/>
          <w:bCs/>
          <w:sz w:val="24"/>
          <w:szCs w:val="20"/>
        </w:rPr>
      </w:pPr>
      <w:r>
        <w:rPr>
          <w:rFonts w:cs="Times New Roman" w:hint="eastAsia"/>
          <w:bCs/>
          <w:sz w:val="24"/>
          <w:szCs w:val="20"/>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0506DF93" w14:textId="4549FDC1" w:rsidR="005B7AA2" w:rsidRPr="006E5EFC" w:rsidRDefault="00E50B4E">
      <w:pPr>
        <w:spacing w:line="360" w:lineRule="auto"/>
        <w:ind w:firstLineChars="200" w:firstLine="480"/>
        <w:rPr>
          <w:bCs/>
          <w:sz w:val="24"/>
        </w:rPr>
      </w:pPr>
      <w:r>
        <w:rPr>
          <w:rFonts w:hint="eastAsia"/>
          <w:bCs/>
          <w:sz w:val="24"/>
        </w:rPr>
        <w:lastRenderedPageBreak/>
        <w:t>9</w:t>
      </w:r>
      <w:r w:rsidR="00AB5FDF">
        <w:rPr>
          <w:bCs/>
          <w:sz w:val="24"/>
        </w:rPr>
        <w:t>.</w:t>
      </w: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3BBBF13" w14:textId="4298BED6" w:rsidR="005B7AA2" w:rsidRPr="006E5EFC" w:rsidRDefault="00E50B4E">
      <w:pPr>
        <w:spacing w:line="360" w:lineRule="auto"/>
        <w:ind w:firstLineChars="200" w:firstLine="480"/>
        <w:rPr>
          <w:bCs/>
          <w:sz w:val="24"/>
        </w:rPr>
      </w:pPr>
      <w:r w:rsidRPr="006E5EFC">
        <w:rPr>
          <w:bCs/>
          <w:sz w:val="24"/>
        </w:rPr>
        <w:t>10</w:t>
      </w:r>
      <w:r w:rsidR="00AB5FDF">
        <w:rPr>
          <w:rFonts w:hint="eastAsia"/>
          <w:bCs/>
          <w:sz w:val="24"/>
        </w:rPr>
        <w:t>.</w:t>
      </w:r>
      <w:r w:rsidRPr="006E5EFC">
        <w:rPr>
          <w:rFonts w:hint="eastAsia"/>
          <w:bCs/>
          <w:sz w:val="24"/>
        </w:rPr>
        <w:t>当本基金发生大额申购或赎回情形时，基金管理人可以采用摆动定价机制，以确保基金估值的公平性。</w:t>
      </w:r>
    </w:p>
    <w:p w14:paraId="049E3058" w14:textId="78DDFCE4" w:rsidR="005B7AA2" w:rsidRPr="006E5EFC" w:rsidRDefault="00E50B4E">
      <w:pPr>
        <w:spacing w:line="360" w:lineRule="auto"/>
        <w:ind w:firstLineChars="200" w:firstLine="480"/>
        <w:rPr>
          <w:bCs/>
          <w:sz w:val="24"/>
        </w:rPr>
      </w:pPr>
      <w:r w:rsidRPr="006E5EFC">
        <w:rPr>
          <w:bCs/>
          <w:sz w:val="24"/>
        </w:rPr>
        <w:t>11</w:t>
      </w:r>
      <w:r w:rsidR="00AB5FDF">
        <w:rPr>
          <w:rFonts w:hint="eastAsia"/>
          <w:bCs/>
          <w:sz w:val="24"/>
        </w:rPr>
        <w:t>.</w:t>
      </w:r>
      <w:r w:rsidRPr="006E5EFC">
        <w:rPr>
          <w:rFonts w:hint="eastAsia"/>
          <w:bCs/>
          <w:sz w:val="24"/>
        </w:rPr>
        <w:t>本基金投资存托凭证的估值核算，依照境内上市交易的股票执行。</w:t>
      </w:r>
    </w:p>
    <w:p w14:paraId="43B15DEF" w14:textId="773BBF45" w:rsidR="005B7AA2" w:rsidRPr="006E5EFC" w:rsidRDefault="00E50B4E">
      <w:pPr>
        <w:spacing w:line="360" w:lineRule="auto"/>
        <w:ind w:firstLineChars="200" w:firstLine="480"/>
        <w:rPr>
          <w:bCs/>
          <w:sz w:val="24"/>
        </w:rPr>
      </w:pPr>
      <w:r w:rsidRPr="006E5EFC">
        <w:rPr>
          <w:bCs/>
          <w:sz w:val="24"/>
        </w:rPr>
        <w:t>12</w:t>
      </w:r>
      <w:r w:rsidR="00AB5FDF">
        <w:rPr>
          <w:rFonts w:hint="eastAsia"/>
          <w:bCs/>
          <w:sz w:val="24"/>
        </w:rPr>
        <w:t>.</w:t>
      </w:r>
      <w:r w:rsidRPr="006E5EFC">
        <w:rPr>
          <w:rFonts w:hint="eastAsia"/>
          <w:bCs/>
          <w:sz w:val="24"/>
        </w:rPr>
        <w:t>本基金投资</w:t>
      </w:r>
      <w:r w:rsidR="00C42D4F">
        <w:rPr>
          <w:rFonts w:hint="eastAsia"/>
          <w:bCs/>
          <w:sz w:val="24"/>
        </w:rPr>
        <w:t>股票</w:t>
      </w:r>
      <w:r w:rsidRPr="006E5EFC">
        <w:rPr>
          <w:rFonts w:hint="eastAsia"/>
          <w:bCs/>
          <w:sz w:val="24"/>
        </w:rPr>
        <w:t>期权，根据相关法律法规以及监管部门的规定估值。</w:t>
      </w:r>
    </w:p>
    <w:p w14:paraId="066D7BFC" w14:textId="4A25B16D" w:rsidR="005B7AA2" w:rsidRDefault="00E50B4E">
      <w:pPr>
        <w:spacing w:line="360" w:lineRule="auto"/>
        <w:ind w:firstLineChars="200" w:firstLine="480"/>
        <w:rPr>
          <w:bCs/>
          <w:sz w:val="24"/>
        </w:rPr>
      </w:pPr>
      <w:r w:rsidRPr="006E5EFC">
        <w:rPr>
          <w:bCs/>
          <w:sz w:val="24"/>
        </w:rPr>
        <w:t>13</w:t>
      </w:r>
      <w:r w:rsidR="00AB5FDF">
        <w:rPr>
          <w:rFonts w:hint="eastAsia"/>
          <w:bCs/>
          <w:sz w:val="24"/>
        </w:rPr>
        <w:t>.</w:t>
      </w:r>
      <w:r>
        <w:rPr>
          <w:rFonts w:hint="eastAsia"/>
          <w:bCs/>
          <w:sz w:val="24"/>
        </w:rPr>
        <w:t>本基金参与融资业务的，按照相关法律法规、监管部门和行业协会的相关规定进行估值。</w:t>
      </w:r>
    </w:p>
    <w:p w14:paraId="1E86C937" w14:textId="4092A4FF" w:rsidR="005B7AA2" w:rsidRPr="00C61F0F" w:rsidRDefault="00E50B4E" w:rsidP="000C2F29">
      <w:pPr>
        <w:spacing w:line="360" w:lineRule="auto"/>
        <w:ind w:firstLineChars="200" w:firstLine="480"/>
        <w:rPr>
          <w:bCs/>
          <w:sz w:val="24"/>
        </w:rPr>
      </w:pPr>
      <w:r w:rsidRPr="006E5EFC">
        <w:rPr>
          <w:rFonts w:hint="eastAsia"/>
          <w:bCs/>
          <w:sz w:val="24"/>
        </w:rPr>
        <w:t>14</w:t>
      </w:r>
      <w:r w:rsidR="00AB5FDF">
        <w:rPr>
          <w:rFonts w:hint="eastAsia"/>
          <w:bCs/>
          <w:sz w:val="24"/>
        </w:rPr>
        <w:t>.</w:t>
      </w:r>
      <w:r w:rsidRPr="006E5EFC">
        <w:rPr>
          <w:rFonts w:hint="eastAsia"/>
          <w:bCs/>
          <w:sz w:val="24"/>
        </w:rPr>
        <w:t>如有确凿证据表明按上述方法进行估值不能客观反映其公允价值的，基金管理人可根据具体情况与基金托管人商定后，按最能反映公允价值的价格估值。</w:t>
      </w:r>
      <w:r w:rsidRPr="006E5EFC">
        <w:rPr>
          <w:rFonts w:hint="eastAsia"/>
          <w:bCs/>
          <w:sz w:val="24"/>
        </w:rPr>
        <w:t xml:space="preserve"> </w:t>
      </w:r>
    </w:p>
    <w:p w14:paraId="33E2146E" w14:textId="543AC7A6" w:rsidR="005B7AA2" w:rsidRPr="006E5EFC" w:rsidRDefault="00E50B4E">
      <w:pPr>
        <w:spacing w:line="360" w:lineRule="auto"/>
        <w:ind w:firstLineChars="200" w:firstLine="480"/>
        <w:rPr>
          <w:bCs/>
          <w:sz w:val="24"/>
        </w:rPr>
      </w:pPr>
      <w:r w:rsidRPr="006E5EFC">
        <w:rPr>
          <w:bCs/>
          <w:sz w:val="24"/>
        </w:rPr>
        <w:t>1</w:t>
      </w:r>
      <w:r w:rsidRPr="006E5EFC">
        <w:rPr>
          <w:rFonts w:hint="eastAsia"/>
          <w:bCs/>
          <w:sz w:val="24"/>
        </w:rPr>
        <w:t>5</w:t>
      </w:r>
      <w:r w:rsidR="00AB5FDF">
        <w:rPr>
          <w:rFonts w:hint="eastAsia"/>
          <w:bCs/>
          <w:sz w:val="24"/>
        </w:rPr>
        <w:t>.</w:t>
      </w:r>
      <w:r w:rsidRPr="006E5EFC">
        <w:rPr>
          <w:rFonts w:hint="eastAsia"/>
          <w:bCs/>
          <w:sz w:val="24"/>
        </w:rPr>
        <w:t>相关法律法规以及监管部门有强制规定的，从其规定。如有新增事项，按国家最新规定估值。</w:t>
      </w:r>
    </w:p>
    <w:p w14:paraId="55E15AD3" w14:textId="77777777" w:rsidR="005B7AA2" w:rsidRPr="006E5EFC" w:rsidRDefault="00E50B4E" w:rsidP="006E5EFC">
      <w:pPr>
        <w:spacing w:line="360" w:lineRule="auto"/>
        <w:ind w:firstLineChars="200" w:firstLine="480"/>
        <w:rPr>
          <w:bCs/>
          <w:sz w:val="24"/>
        </w:rPr>
      </w:pPr>
      <w:r w:rsidRPr="006E5EFC">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16641F2" w14:textId="5ACED063" w:rsidR="005B7AA2" w:rsidRDefault="00E50B4E">
      <w:pPr>
        <w:adjustRightInd w:val="0"/>
        <w:snapToGrid w:val="0"/>
        <w:spacing w:line="360" w:lineRule="auto"/>
        <w:ind w:firstLine="480"/>
        <w:rPr>
          <w:rFonts w:ascii="宋体" w:hAnsi="宋体"/>
          <w:sz w:val="24"/>
          <w:szCs w:val="21"/>
        </w:rPr>
      </w:pPr>
      <w:r>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资产净值的计算结果对外予以公布。</w:t>
      </w:r>
    </w:p>
    <w:p w14:paraId="1A846795" w14:textId="35448D6F" w:rsidR="005B7AA2" w:rsidRDefault="00E50B4E">
      <w:pPr>
        <w:adjustRightInd w:val="0"/>
        <w:snapToGrid w:val="0"/>
        <w:spacing w:line="360" w:lineRule="auto"/>
        <w:ind w:firstLineChars="200" w:firstLine="480"/>
        <w:rPr>
          <w:rStyle w:val="read"/>
          <w:rFonts w:ascii="宋体" w:hAnsi="宋体"/>
          <w:sz w:val="24"/>
        </w:rPr>
      </w:pPr>
      <w:r>
        <w:rPr>
          <w:rStyle w:val="read"/>
          <w:rFonts w:ascii="宋体" w:hAnsi="宋体" w:cs="Arial" w:hint="eastAsia"/>
          <w:sz w:val="24"/>
        </w:rPr>
        <w:t>基金管理人、基金托管人按估值方法的第</w:t>
      </w:r>
      <w:r>
        <w:rPr>
          <w:rStyle w:val="read"/>
          <w:rFonts w:ascii="宋体" w:hAnsi="宋体" w:cs="Arial"/>
          <w:sz w:val="24"/>
        </w:rPr>
        <w:t>1</w:t>
      </w:r>
      <w:r>
        <w:rPr>
          <w:rStyle w:val="read"/>
          <w:rFonts w:ascii="宋体" w:hAnsi="宋体" w:cs="Arial" w:hint="eastAsia"/>
          <w:sz w:val="24"/>
        </w:rPr>
        <w:t>4项进行估值时，所造成的误差不作为基金份</w:t>
      </w:r>
      <w:r>
        <w:rPr>
          <w:rStyle w:val="read"/>
          <w:rFonts w:ascii="宋体" w:hAnsi="宋体" w:hint="eastAsia"/>
          <w:sz w:val="24"/>
        </w:rPr>
        <w:t>额净值错误处理。</w:t>
      </w:r>
    </w:p>
    <w:p w14:paraId="193D0410" w14:textId="77777777" w:rsidR="005B7AA2" w:rsidRDefault="00E50B4E">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（三）基金份额净值错误的处理方式</w:t>
      </w:r>
    </w:p>
    <w:p w14:paraId="54D1A15E" w14:textId="77777777" w:rsidR="005B7AA2" w:rsidRDefault="00E50B4E">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1.当任一类基金份额净值小数点后</w:t>
      </w:r>
      <w:r>
        <w:rPr>
          <w:rStyle w:val="read"/>
          <w:rFonts w:ascii="宋体" w:hAnsi="宋体"/>
          <w:sz w:val="24"/>
        </w:rPr>
        <w:t>4</w:t>
      </w:r>
      <w:r>
        <w:rPr>
          <w:rStyle w:val="read"/>
          <w:rFonts w:ascii="宋体" w:hAnsi="宋体" w:hint="eastAsia"/>
          <w:sz w:val="24"/>
        </w:rPr>
        <w:t>位以内(含第</w:t>
      </w:r>
      <w:r>
        <w:rPr>
          <w:rStyle w:val="read"/>
          <w:rFonts w:ascii="宋体" w:hAnsi="宋体"/>
          <w:sz w:val="24"/>
        </w:rPr>
        <w:t>4</w:t>
      </w:r>
      <w:r>
        <w:rPr>
          <w:rStyle w:val="read"/>
          <w:rFonts w:ascii="宋体" w:hAnsi="宋体" w:hint="eastAsia"/>
          <w:sz w:val="24"/>
        </w:rPr>
        <w:t>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w:t>
      </w:r>
      <w:r>
        <w:rPr>
          <w:rFonts w:ascii="宋体" w:hAnsi="宋体" w:cs="Arial" w:hint="eastAsia"/>
          <w:sz w:val="24"/>
        </w:rPr>
        <w:t>；错误</w:t>
      </w:r>
      <w:r>
        <w:rPr>
          <w:rFonts w:ascii="宋体" w:hAnsi="宋体" w:cs="Arial" w:hint="eastAsia"/>
          <w:sz w:val="24"/>
        </w:rPr>
        <w:lastRenderedPageBreak/>
        <w:t>偏差达到该类基金份额净值的</w:t>
      </w:r>
      <w:r>
        <w:rPr>
          <w:rFonts w:ascii="宋体" w:hAnsi="宋体" w:hint="eastAsia"/>
          <w:sz w:val="24"/>
        </w:rPr>
        <w:t>0.5%时，基金管理人应当公告</w:t>
      </w:r>
      <w:r>
        <w:rPr>
          <w:rFonts w:ascii="宋体" w:hAnsi="宋体" w:cs="Arial" w:hint="eastAsia"/>
          <w:sz w:val="24"/>
        </w:rPr>
        <w:t>，并报中国证监会备案</w:t>
      </w:r>
      <w:r>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09287EE6" w14:textId="77777777" w:rsidR="005B7AA2" w:rsidRDefault="00E50B4E">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2.当基金份额净值计算差错给基金和基金份额持有人造成损失需要进行赔偿时，基金管理人和基金托管人根据实际情况界定双方承担的责任，经确认后按以下条款进行赔偿：</w:t>
      </w:r>
    </w:p>
    <w:p w14:paraId="7198F8AC" w14:textId="77777777" w:rsidR="005B7AA2" w:rsidRDefault="00E50B4E">
      <w:pPr>
        <w:adjustRightInd w:val="0"/>
        <w:snapToGrid w:val="0"/>
        <w:spacing w:line="360" w:lineRule="auto"/>
        <w:ind w:firstLineChars="200" w:firstLine="480"/>
        <w:rPr>
          <w:rFonts w:ascii="宋体" w:hAnsi="宋体" w:cs="Arial"/>
          <w:sz w:val="24"/>
        </w:rPr>
      </w:pPr>
      <w:r>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hAnsi="宋体" w:cs="Arial" w:hint="eastAsia"/>
          <w:sz w:val="24"/>
        </w:rPr>
        <w:t>损失，由基金管理人负责赔付。</w:t>
      </w:r>
    </w:p>
    <w:p w14:paraId="1488C46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w:t>
      </w:r>
      <w:proofErr w:type="gramStart"/>
      <w:r>
        <w:rPr>
          <w:rFonts w:ascii="宋体" w:hAnsi="宋体" w:hint="eastAsia"/>
          <w:kern w:val="0"/>
          <w:sz w:val="24"/>
        </w:rPr>
        <w:t>若基金</w:t>
      </w:r>
      <w:proofErr w:type="gramEnd"/>
      <w:r>
        <w:rPr>
          <w:rFonts w:ascii="宋体" w:hAnsi="宋体" w:hint="eastAsia"/>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DE2E50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(3)如基金管理人和基金托管人对</w:t>
      </w:r>
      <w:r>
        <w:rPr>
          <w:rFonts w:ascii="宋体" w:hAnsi="宋体" w:hint="eastAsia"/>
          <w:kern w:val="0"/>
          <w:sz w:val="24"/>
        </w:rPr>
        <w:t>各类</w:t>
      </w:r>
      <w:r>
        <w:rPr>
          <w:rFonts w:ascii="宋体" w:hAnsi="宋体" w:cs="Arial" w:hint="eastAsia"/>
          <w:sz w:val="24"/>
        </w:rPr>
        <w:t>基金份额净值的计算结果，虽然多次重新计算和核对，尚不能达成一致时，为避免不能按时公布</w:t>
      </w:r>
      <w:r>
        <w:rPr>
          <w:rFonts w:ascii="宋体" w:hAnsi="宋体" w:hint="eastAsia"/>
          <w:kern w:val="0"/>
          <w:sz w:val="24"/>
        </w:rPr>
        <w:t>各类</w:t>
      </w:r>
      <w:r>
        <w:rPr>
          <w:rFonts w:ascii="宋体" w:hAnsi="宋体" w:cs="Arial" w:hint="eastAsia"/>
          <w:sz w:val="24"/>
        </w:rPr>
        <w:t>基金份额净值的情形，以基金管理人的计算结果对外公布，由此给基金份额持有人和基金造成的损失，由基金管理人负责赔付。</w:t>
      </w:r>
    </w:p>
    <w:p w14:paraId="0D23A1D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B05A1C8" w14:textId="21F2B1A5"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由于证券交易所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121C513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4.基金管理人和基金托管人由于各自技术系统设置而产生的净值计算尾差，以基金管理人计算结果为准。</w:t>
      </w:r>
    </w:p>
    <w:p w14:paraId="6364A9D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5.前述内容如法律法规或者监管部门另有规定的，从其规定。如果行业另有通</w:t>
      </w:r>
      <w:r>
        <w:rPr>
          <w:rFonts w:ascii="宋体" w:hAnsi="宋体" w:cs="Arial" w:hint="eastAsia"/>
          <w:sz w:val="24"/>
        </w:rPr>
        <w:lastRenderedPageBreak/>
        <w:t>行做法，双方当事人应本着平等和保护基金份额持有人利益的原则进行协商。</w:t>
      </w:r>
    </w:p>
    <w:p w14:paraId="27D43E13"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（四）暂停估值与公告基金份额净值的情形</w:t>
      </w:r>
    </w:p>
    <w:p w14:paraId="145E35BF"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1.基金投资所涉及的证券交易市场遇法定节假日或因其他原因暂停营业时；</w:t>
      </w:r>
    </w:p>
    <w:p w14:paraId="7D40A7DD"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2.因不可抗力致使基金管理人、基金托管人无法准确评估基金资产价值时；</w:t>
      </w:r>
    </w:p>
    <w:p w14:paraId="3474D46E" w14:textId="34BE98BE"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3.经与基金托管人协商确认，当特定资产占前一估值日基金资产净值50%以上的，基金管理人应当暂停基金估值；</w:t>
      </w:r>
    </w:p>
    <w:p w14:paraId="01063F48"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4.中国证监会和《基金合同》认定的其他情形。</w:t>
      </w:r>
    </w:p>
    <w:p w14:paraId="67B64CEC"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（五）实施</w:t>
      </w:r>
      <w:proofErr w:type="gramStart"/>
      <w:r>
        <w:rPr>
          <w:rFonts w:ascii="宋体" w:hAnsi="宋体" w:cs="Arial" w:hint="eastAsia"/>
          <w:sz w:val="24"/>
        </w:rPr>
        <w:t>侧袋机制</w:t>
      </w:r>
      <w:proofErr w:type="gramEnd"/>
      <w:r>
        <w:rPr>
          <w:rFonts w:ascii="宋体" w:hAnsi="宋体" w:cs="Arial" w:hint="eastAsia"/>
          <w:sz w:val="24"/>
        </w:rPr>
        <w:t>期间的基金资产估值</w:t>
      </w:r>
    </w:p>
    <w:p w14:paraId="57B1FA89" w14:textId="34543292"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的，应根据本部分的约定</w:t>
      </w:r>
      <w:proofErr w:type="gramStart"/>
      <w:r>
        <w:rPr>
          <w:rFonts w:ascii="宋体" w:hAnsi="宋体" w:cs="Arial" w:hint="eastAsia"/>
          <w:sz w:val="24"/>
        </w:rPr>
        <w:t>对主袋账户</w:t>
      </w:r>
      <w:proofErr w:type="gramEnd"/>
      <w:r>
        <w:rPr>
          <w:rFonts w:ascii="宋体" w:hAnsi="宋体" w:cs="Arial" w:hint="eastAsia"/>
          <w:sz w:val="24"/>
        </w:rPr>
        <w:t>资产进行估值并</w:t>
      </w:r>
      <w:proofErr w:type="gramStart"/>
      <w:r>
        <w:rPr>
          <w:rFonts w:ascii="宋体" w:hAnsi="宋体" w:cs="Arial" w:hint="eastAsia"/>
          <w:sz w:val="24"/>
        </w:rPr>
        <w:t>披露主袋账户</w:t>
      </w:r>
      <w:proofErr w:type="gramEnd"/>
      <w:r>
        <w:rPr>
          <w:rFonts w:ascii="宋体" w:hAnsi="宋体" w:cs="Arial" w:hint="eastAsia"/>
          <w:sz w:val="24"/>
        </w:rPr>
        <w:t>的基金净值信息，暂停</w:t>
      </w:r>
      <w:proofErr w:type="gramStart"/>
      <w:r>
        <w:rPr>
          <w:rFonts w:ascii="宋体" w:hAnsi="宋体" w:cs="Arial" w:hint="eastAsia"/>
          <w:sz w:val="24"/>
        </w:rPr>
        <w:t>披露侧袋账户</w:t>
      </w:r>
      <w:proofErr w:type="gramEnd"/>
      <w:r>
        <w:rPr>
          <w:rFonts w:ascii="宋体" w:hAnsi="宋体" w:cs="Arial" w:hint="eastAsia"/>
          <w:sz w:val="24"/>
        </w:rPr>
        <w:t>份额净值。</w:t>
      </w:r>
    </w:p>
    <w:p w14:paraId="61E54849" w14:textId="6E6838E9"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w:t>
      </w:r>
      <w:r w:rsidR="00C42D4F">
        <w:rPr>
          <w:rFonts w:ascii="宋体" w:hAnsi="宋体" w:cs="Arial" w:hint="eastAsia"/>
          <w:sz w:val="24"/>
        </w:rPr>
        <w:t>六</w:t>
      </w:r>
      <w:r>
        <w:rPr>
          <w:rFonts w:ascii="宋体" w:hAnsi="宋体" w:cs="Arial" w:hint="eastAsia"/>
          <w:sz w:val="24"/>
        </w:rPr>
        <w:t>）基金会计制度</w:t>
      </w:r>
    </w:p>
    <w:p w14:paraId="341315A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按国家有关部门规定的会计制度执行。</w:t>
      </w:r>
    </w:p>
    <w:p w14:paraId="5B32682E" w14:textId="2F5C2EB1"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w:t>
      </w:r>
      <w:r w:rsidR="00C42D4F">
        <w:rPr>
          <w:rFonts w:ascii="宋体" w:hAnsi="宋体" w:cs="Arial" w:hint="eastAsia"/>
          <w:sz w:val="24"/>
        </w:rPr>
        <w:t>七</w:t>
      </w:r>
      <w:r>
        <w:rPr>
          <w:rFonts w:ascii="宋体" w:hAnsi="宋体" w:cs="Arial" w:hint="eastAsia"/>
          <w:sz w:val="24"/>
        </w:rPr>
        <w:t>）基金账册的建立</w:t>
      </w:r>
    </w:p>
    <w:p w14:paraId="37D3959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基金管理人进行基金会计核算并编制基金财务会计报告。基金管理人独立地设置、记录和保管本基金的全套账册。</w:t>
      </w:r>
      <w:proofErr w:type="gramStart"/>
      <w:r>
        <w:rPr>
          <w:rFonts w:ascii="宋体" w:hAnsi="宋体" w:cs="Arial" w:hint="eastAsia"/>
          <w:sz w:val="24"/>
        </w:rPr>
        <w:t>若基金</w:t>
      </w:r>
      <w:proofErr w:type="gramEnd"/>
      <w:r>
        <w:rPr>
          <w:rFonts w:ascii="宋体"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4B1F66E6" w14:textId="7E781370"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w:t>
      </w:r>
      <w:r w:rsidR="00C42D4F">
        <w:rPr>
          <w:rFonts w:ascii="宋体" w:hAnsi="宋体" w:cs="Arial" w:hint="eastAsia"/>
          <w:sz w:val="24"/>
        </w:rPr>
        <w:t>八</w:t>
      </w:r>
      <w:r>
        <w:rPr>
          <w:rFonts w:ascii="宋体" w:hAnsi="宋体" w:cs="Arial" w:hint="eastAsia"/>
          <w:sz w:val="24"/>
        </w:rPr>
        <w:t>）基金财务报表与报告的编制和复核</w:t>
      </w:r>
    </w:p>
    <w:p w14:paraId="0EBB6E9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1.财务报表的编制</w:t>
      </w:r>
    </w:p>
    <w:p w14:paraId="478EFD1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基金财务报表由基金管理人编制，基金托管人复核。</w:t>
      </w:r>
    </w:p>
    <w:p w14:paraId="5390FBFA"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2.报表复核</w:t>
      </w:r>
    </w:p>
    <w:p w14:paraId="7C1F99BB"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63599B0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3.财务报表的编制与复核时间安排</w:t>
      </w:r>
    </w:p>
    <w:p w14:paraId="7F9E7FAA"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(1)报表的编制</w:t>
      </w:r>
    </w:p>
    <w:p w14:paraId="7E94883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w:t>
      </w:r>
      <w:r>
        <w:rPr>
          <w:rFonts w:ascii="宋体" w:hAnsi="宋体" w:cs="Arial" w:hint="eastAsia"/>
          <w:sz w:val="24"/>
        </w:rPr>
        <w:lastRenderedPageBreak/>
        <w:t>期报告或者年度报告。</w:t>
      </w:r>
    </w:p>
    <w:p w14:paraId="233A1F04" w14:textId="77777777" w:rsidR="005B7AA2" w:rsidRDefault="00E50B4E">
      <w:pPr>
        <w:pStyle w:val="a0"/>
        <w:adjustRightInd w:val="0"/>
        <w:snapToGrid w:val="0"/>
        <w:spacing w:line="360" w:lineRule="auto"/>
        <w:ind w:firstLine="480"/>
        <w:rPr>
          <w:rFonts w:ascii="宋体" w:hAnsi="宋体" w:cs="Arial"/>
          <w:sz w:val="24"/>
        </w:rPr>
      </w:pPr>
      <w:r>
        <w:rPr>
          <w:rFonts w:ascii="宋体" w:hAnsi="宋体" w:cs="Arial" w:hint="eastAsia"/>
          <w:sz w:val="24"/>
        </w:rPr>
        <w:t>(2)报表的复核</w:t>
      </w:r>
    </w:p>
    <w:p w14:paraId="07C49421" w14:textId="77777777" w:rsidR="005B7AA2" w:rsidRDefault="00E50B4E">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B7367E5" w14:textId="77777777" w:rsidR="005B7AA2" w:rsidRDefault="00E50B4E">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基金管理人应留足充分的时间，便于基金托管人复核相关报表及报告。如果基金管理人与基金托管人不能</w:t>
      </w:r>
      <w:proofErr w:type="gramStart"/>
      <w:r>
        <w:rPr>
          <w:rFonts w:ascii="宋体" w:hAnsi="宋体" w:cs="Arial" w:hint="eastAsia"/>
          <w:sz w:val="24"/>
        </w:rPr>
        <w:t>于应当</w:t>
      </w:r>
      <w:proofErr w:type="gramEnd"/>
      <w:r>
        <w:rPr>
          <w:rFonts w:ascii="宋体" w:hAnsi="宋体" w:cs="Arial" w:hint="eastAsia"/>
          <w:sz w:val="24"/>
        </w:rPr>
        <w:t>发布公告之日之前就相关报表达成一致，基金管理人按照其编制的报表对外发布公告，基金托管人有权就相关情况报中国证监会备案。</w:t>
      </w:r>
    </w:p>
    <w:p w14:paraId="35656E9E" w14:textId="5F8EB967" w:rsidR="005B7AA2" w:rsidRDefault="00E50B4E">
      <w:pPr>
        <w:pStyle w:val="a0"/>
        <w:adjustRightInd w:val="0"/>
        <w:snapToGrid w:val="0"/>
        <w:spacing w:line="360" w:lineRule="auto"/>
        <w:ind w:firstLine="480"/>
        <w:rPr>
          <w:rFonts w:ascii="宋体" w:hAnsi="宋体" w:cs="Arial"/>
          <w:sz w:val="24"/>
        </w:rPr>
      </w:pPr>
      <w:r>
        <w:rPr>
          <w:rFonts w:ascii="宋体" w:hAnsi="宋体" w:cs="Arial" w:hint="eastAsia"/>
          <w:sz w:val="24"/>
        </w:rPr>
        <w:t>（</w:t>
      </w:r>
      <w:r w:rsidR="00C42D4F">
        <w:rPr>
          <w:rFonts w:ascii="宋体" w:hAnsi="宋体" w:cs="Arial" w:hint="eastAsia"/>
          <w:sz w:val="24"/>
        </w:rPr>
        <w:t>九</w:t>
      </w:r>
      <w:r>
        <w:rPr>
          <w:rFonts w:ascii="宋体" w:hAnsi="宋体" w:cs="Arial" w:hint="eastAsia"/>
          <w:sz w:val="24"/>
        </w:rPr>
        <w:t>）基金管理人应在编制季度报告、中期报告或者年度报告之前及时向基金托管人提供基金业绩比较基准的基础数据和编制结果。</w:t>
      </w:r>
    </w:p>
    <w:p w14:paraId="0F51869B" w14:textId="77777777" w:rsidR="005B7AA2" w:rsidRDefault="005B7AA2">
      <w:pPr>
        <w:pStyle w:val="a0"/>
        <w:adjustRightInd w:val="0"/>
        <w:snapToGrid w:val="0"/>
        <w:spacing w:line="360" w:lineRule="auto"/>
        <w:ind w:firstLineChars="0" w:firstLine="0"/>
        <w:rPr>
          <w:rFonts w:ascii="宋体" w:hAnsi="宋体" w:cs="Arial"/>
          <w:sz w:val="24"/>
        </w:rPr>
      </w:pPr>
    </w:p>
    <w:p w14:paraId="45A5AEAB" w14:textId="77777777" w:rsidR="005B7AA2" w:rsidRDefault="00E50B4E">
      <w:pPr>
        <w:pStyle w:val="2"/>
        <w:spacing w:line="360" w:lineRule="auto"/>
        <w:jc w:val="center"/>
        <w:rPr>
          <w:rFonts w:ascii="宋体" w:eastAsia="宋体" w:hAnsi="宋体"/>
          <w:sz w:val="30"/>
        </w:rPr>
      </w:pPr>
      <w:bookmarkStart w:id="97" w:name="_Toc124325893"/>
      <w:r>
        <w:rPr>
          <w:rFonts w:ascii="宋体" w:eastAsia="宋体" w:hAnsi="宋体" w:hint="eastAsia"/>
          <w:sz w:val="30"/>
        </w:rPr>
        <w:t>九、基金收益分配</w:t>
      </w:r>
      <w:bookmarkEnd w:id="97"/>
    </w:p>
    <w:p w14:paraId="002A9F1B"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基金收益分配是指按规定将基金的可分配收益按基金份额进行比例分配。</w:t>
      </w:r>
    </w:p>
    <w:p w14:paraId="7E267F22"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（一）基金收益分配的原则</w:t>
      </w:r>
    </w:p>
    <w:p w14:paraId="25E841A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基金收益分配应遵循下列原则：</w:t>
      </w:r>
    </w:p>
    <w:p w14:paraId="5A2A6C2B"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1.在符合有关基金分红条件的前提下，基金管理人可以根据实际情况进行收益分配，具体分配方案以公告为准。若《基金合同》生效不满3个月可不进行收益分配；</w:t>
      </w:r>
    </w:p>
    <w:p w14:paraId="28848DAE" w14:textId="55B56896"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sidR="002669DE" w:rsidRPr="002669DE">
        <w:rPr>
          <w:rFonts w:hint="eastAsia"/>
        </w:rPr>
        <w:t xml:space="preserve"> </w:t>
      </w:r>
      <w:r w:rsidR="002669DE" w:rsidRPr="002669DE">
        <w:rPr>
          <w:rFonts w:ascii="宋体" w:hAnsi="宋体" w:cs="Arial" w:hint="eastAsia"/>
          <w:sz w:val="24"/>
        </w:rPr>
        <w:t>本基金的收益分配方式仅有现金分红一种方式</w:t>
      </w:r>
      <w:r>
        <w:rPr>
          <w:rFonts w:ascii="宋体" w:hAnsi="宋体" w:cs="Arial" w:hint="eastAsia"/>
          <w:sz w:val="24"/>
        </w:rPr>
        <w:t>；</w:t>
      </w:r>
    </w:p>
    <w:p w14:paraId="003C20C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3.基金收益分配后各类基金份额净值不能低于面值；即基金收益分配基准日的各类基金份额净值减去每单位该类基金份额收益分配金额后不能低于面值；</w:t>
      </w:r>
    </w:p>
    <w:p w14:paraId="1DC35B73" w14:textId="0497582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sidR="00D9035A" w:rsidRPr="00D9035A">
        <w:rPr>
          <w:rFonts w:hint="eastAsia"/>
        </w:rPr>
        <w:t xml:space="preserve"> </w:t>
      </w:r>
      <w:r w:rsidR="00D9035A" w:rsidRPr="00D9035A">
        <w:rPr>
          <w:rFonts w:ascii="宋体" w:hAnsi="宋体" w:cs="Arial" w:hint="eastAsia"/>
          <w:sz w:val="24"/>
        </w:rPr>
        <w:t>由于本基金A类基金份额和C类基金份额费用收取不同，</w:t>
      </w:r>
      <w:r>
        <w:rPr>
          <w:rFonts w:ascii="宋体" w:hAnsi="宋体" w:cs="Arial" w:hint="eastAsia"/>
          <w:sz w:val="24"/>
        </w:rPr>
        <w:t>不同类别基金份额对应的可供分配收益将有所不同，基金管理人可对各类别基金份额分别制定收益分配方案。本基金同一类别的每一基金份额享有同等分配权；</w:t>
      </w:r>
    </w:p>
    <w:p w14:paraId="6A9811BC" w14:textId="435F8C20"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5.法律法规或监管机关另有规定的，从其规定。</w:t>
      </w:r>
    </w:p>
    <w:p w14:paraId="438F7BD8" w14:textId="05F29EE8" w:rsidR="002669DE" w:rsidRDefault="002669DE">
      <w:pPr>
        <w:adjustRightInd w:val="0"/>
        <w:snapToGrid w:val="0"/>
        <w:spacing w:line="360" w:lineRule="auto"/>
        <w:ind w:firstLineChars="200" w:firstLine="480"/>
        <w:outlineLvl w:val="0"/>
        <w:rPr>
          <w:rFonts w:ascii="宋体" w:hAnsi="宋体" w:cs="Arial"/>
          <w:sz w:val="24"/>
        </w:rPr>
      </w:pPr>
      <w:r w:rsidRPr="002669DE">
        <w:rPr>
          <w:rFonts w:ascii="宋体" w:hAnsi="宋体" w:cs="Arial" w:hint="eastAsia"/>
          <w:sz w:val="24"/>
        </w:rPr>
        <w:t>在符合法律法规及基金合同约定，并对基金份额持有人利益无实质性不利影响的前提下，经与基金托管人协商一致并履行适当程序后，基金管理人可对基金收</w:t>
      </w:r>
      <w:r w:rsidRPr="002669DE">
        <w:rPr>
          <w:rFonts w:ascii="宋体" w:hAnsi="宋体" w:cs="Arial" w:hint="eastAsia"/>
          <w:sz w:val="24"/>
        </w:rPr>
        <w:lastRenderedPageBreak/>
        <w:t>益分配原则和支付方式进行调整。</w:t>
      </w:r>
    </w:p>
    <w:p w14:paraId="44CA02CB"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（二）基金收益分配的时间和程序</w:t>
      </w:r>
    </w:p>
    <w:p w14:paraId="14D9EC68" w14:textId="3A941234"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收益分配方案由基金管理人拟订，并由基金托管人复核，并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074F1046" w14:textId="2B7A279C"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基金收益分配时所发生的银行转账或其他手续费用由投资者自行承担。</w:t>
      </w:r>
    </w:p>
    <w:p w14:paraId="7F3013A2" w14:textId="77777777" w:rsidR="005B7AA2" w:rsidRPr="006814CC" w:rsidRDefault="00E50B4E">
      <w:pPr>
        <w:adjustRightInd w:val="0"/>
        <w:snapToGrid w:val="0"/>
        <w:spacing w:line="360" w:lineRule="auto"/>
        <w:ind w:firstLineChars="200" w:firstLine="480"/>
        <w:outlineLvl w:val="0"/>
        <w:rPr>
          <w:rFonts w:ascii="宋体" w:hAnsi="宋体" w:cs="Arial"/>
          <w:sz w:val="24"/>
        </w:rPr>
      </w:pPr>
      <w:r w:rsidRPr="006814CC">
        <w:rPr>
          <w:rFonts w:ascii="宋体" w:hAnsi="宋体" w:cs="Arial" w:hint="eastAsia"/>
          <w:sz w:val="24"/>
        </w:rPr>
        <w:t>（三）实施</w:t>
      </w:r>
      <w:proofErr w:type="gramStart"/>
      <w:r w:rsidRPr="006814CC">
        <w:rPr>
          <w:rFonts w:ascii="宋体" w:hAnsi="宋体" w:cs="Arial" w:hint="eastAsia"/>
          <w:sz w:val="24"/>
        </w:rPr>
        <w:t>侧袋机制</w:t>
      </w:r>
      <w:proofErr w:type="gramEnd"/>
      <w:r w:rsidRPr="006814CC">
        <w:rPr>
          <w:rFonts w:ascii="宋体" w:hAnsi="宋体" w:cs="Arial" w:hint="eastAsia"/>
          <w:sz w:val="24"/>
        </w:rPr>
        <w:t>期间的收益分配</w:t>
      </w:r>
    </w:p>
    <w:p w14:paraId="726E359E" w14:textId="2481BB16" w:rsidR="005B7AA2" w:rsidRPr="006814CC" w:rsidRDefault="00E50B4E">
      <w:pPr>
        <w:adjustRightInd w:val="0"/>
        <w:snapToGrid w:val="0"/>
        <w:spacing w:line="360" w:lineRule="auto"/>
        <w:ind w:firstLineChars="200" w:firstLine="480"/>
        <w:outlineLvl w:val="0"/>
        <w:rPr>
          <w:rFonts w:ascii="宋体" w:hAnsi="宋体" w:cs="Arial"/>
          <w:sz w:val="24"/>
        </w:rPr>
      </w:pPr>
      <w:r w:rsidRPr="006814CC">
        <w:rPr>
          <w:rFonts w:ascii="宋体" w:hAnsi="宋体" w:cs="Arial" w:hint="eastAsia"/>
          <w:sz w:val="24"/>
        </w:rPr>
        <w:t>本基金实施</w:t>
      </w:r>
      <w:proofErr w:type="gramStart"/>
      <w:r w:rsidRPr="006814CC">
        <w:rPr>
          <w:rFonts w:ascii="宋体" w:hAnsi="宋体" w:cs="Arial" w:hint="eastAsia"/>
          <w:sz w:val="24"/>
        </w:rPr>
        <w:t>侧袋机制</w:t>
      </w:r>
      <w:proofErr w:type="gramEnd"/>
      <w:r w:rsidRPr="006814CC">
        <w:rPr>
          <w:rFonts w:ascii="宋体" w:hAnsi="宋体" w:cs="Arial" w:hint="eastAsia"/>
          <w:sz w:val="24"/>
        </w:rPr>
        <w:t>的，</w:t>
      </w:r>
      <w:proofErr w:type="gramStart"/>
      <w:r w:rsidRPr="006814CC">
        <w:rPr>
          <w:rFonts w:ascii="宋体" w:hAnsi="宋体" w:cs="Arial" w:hint="eastAsia"/>
          <w:sz w:val="24"/>
        </w:rPr>
        <w:t>侧袋账户</w:t>
      </w:r>
      <w:proofErr w:type="gramEnd"/>
      <w:r w:rsidRPr="006814CC">
        <w:rPr>
          <w:rFonts w:ascii="宋体" w:hAnsi="宋体" w:cs="Arial" w:hint="eastAsia"/>
          <w:sz w:val="24"/>
        </w:rPr>
        <w:t>不进行收益分配，详见招募说明书的规定。</w:t>
      </w:r>
    </w:p>
    <w:p w14:paraId="090BF3B3" w14:textId="77777777" w:rsidR="005B7AA2" w:rsidRDefault="005B7AA2">
      <w:pPr>
        <w:adjustRightInd w:val="0"/>
        <w:snapToGrid w:val="0"/>
        <w:spacing w:line="360" w:lineRule="auto"/>
        <w:rPr>
          <w:rFonts w:ascii="宋体" w:hAnsi="宋体" w:cs="Arial"/>
          <w:sz w:val="24"/>
        </w:rPr>
      </w:pPr>
    </w:p>
    <w:p w14:paraId="2A90D2E6" w14:textId="77777777" w:rsidR="005B7AA2" w:rsidRDefault="00E50B4E">
      <w:pPr>
        <w:pStyle w:val="2"/>
        <w:spacing w:line="360" w:lineRule="auto"/>
        <w:jc w:val="center"/>
        <w:rPr>
          <w:rFonts w:ascii="宋体" w:eastAsia="宋体" w:hAnsi="宋体"/>
          <w:sz w:val="30"/>
        </w:rPr>
      </w:pPr>
      <w:bookmarkStart w:id="98" w:name="_Toc124325894"/>
      <w:r>
        <w:rPr>
          <w:rFonts w:ascii="宋体" w:eastAsia="宋体" w:hAnsi="宋体" w:hint="eastAsia"/>
          <w:sz w:val="30"/>
        </w:rPr>
        <w:t>十、基金信息披露</w:t>
      </w:r>
      <w:bookmarkEnd w:id="98"/>
    </w:p>
    <w:p w14:paraId="10F7963A"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（一）保密义务</w:t>
      </w:r>
    </w:p>
    <w:p w14:paraId="054AEC4A"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65795B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1.非因基金管理人和基金托管人的原因导致保密信息被披露、泄露或公开；</w:t>
      </w:r>
    </w:p>
    <w:p w14:paraId="09178E96" w14:textId="084E570E"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2.基金管理人和基金托管人为遵守和服从法院判决或裁定、仲裁裁决或中国证监会等监管机构的命令、决定所做出的信息披露或公开</w:t>
      </w:r>
      <w:r w:rsidR="00AB5FDF">
        <w:rPr>
          <w:rFonts w:ascii="宋体" w:hAnsi="宋体" w:cs="Arial" w:hint="eastAsia"/>
          <w:sz w:val="24"/>
        </w:rPr>
        <w:t>；</w:t>
      </w:r>
    </w:p>
    <w:p w14:paraId="67C5C2B1" w14:textId="406E5D39"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因审计、法律等专业服务向外部专业顾问提供信息。</w:t>
      </w:r>
    </w:p>
    <w:p w14:paraId="28CAF4F7"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（二）信息披露的内容</w:t>
      </w:r>
    </w:p>
    <w:p w14:paraId="0D247A74" w14:textId="64FB22D4" w:rsidR="005B7AA2" w:rsidRDefault="00E50B4E">
      <w:pPr>
        <w:spacing w:line="360" w:lineRule="auto"/>
        <w:ind w:firstLineChars="200" w:firstLine="480"/>
        <w:rPr>
          <w:rFonts w:ascii="宋体" w:hAnsi="宋体" w:cs="Arial"/>
          <w:sz w:val="24"/>
        </w:rPr>
      </w:pPr>
      <w:r>
        <w:rPr>
          <w:rFonts w:ascii="宋体"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清算报告、</w:t>
      </w:r>
      <w:r>
        <w:rPr>
          <w:rFonts w:asciiTheme="minorEastAsia" w:hAnsiTheme="minorEastAsia" w:cs="Arial" w:hint="eastAsia"/>
          <w:sz w:val="24"/>
        </w:rPr>
        <w:t>投资资产支持证券的信息披露、投资股指期货相关公告、投资国债期货相关公告、投资股票期权相关公告、投资港股通标的股票的相关公告、</w:t>
      </w:r>
      <w:r>
        <w:rPr>
          <w:rFonts w:hint="eastAsia"/>
          <w:bCs/>
          <w:sz w:val="24"/>
        </w:rPr>
        <w:t>参与融资的相关公</w:t>
      </w:r>
      <w:r>
        <w:rPr>
          <w:rFonts w:hint="eastAsia"/>
          <w:bCs/>
          <w:sz w:val="24"/>
        </w:rPr>
        <w:lastRenderedPageBreak/>
        <w:t>告</w:t>
      </w:r>
      <w:r w:rsidRPr="00F93683">
        <w:rPr>
          <w:rFonts w:asciiTheme="minorEastAsia" w:hAnsiTheme="minorEastAsia" w:hint="eastAsia"/>
          <w:sz w:val="24"/>
        </w:rPr>
        <w:t>、</w:t>
      </w:r>
      <w:r>
        <w:rPr>
          <w:rFonts w:asciiTheme="minorEastAsia" w:hAnsiTheme="minorEastAsia" w:cs="Arial" w:hint="eastAsia"/>
          <w:sz w:val="24"/>
        </w:rPr>
        <w:t>实施</w:t>
      </w:r>
      <w:proofErr w:type="gramStart"/>
      <w:r>
        <w:rPr>
          <w:rFonts w:asciiTheme="minorEastAsia" w:hAnsiTheme="minorEastAsia" w:cs="Arial" w:hint="eastAsia"/>
          <w:sz w:val="24"/>
        </w:rPr>
        <w:t>侧袋机制</w:t>
      </w:r>
      <w:proofErr w:type="gramEnd"/>
      <w:r>
        <w:rPr>
          <w:rFonts w:asciiTheme="minorEastAsia" w:hAnsiTheme="minorEastAsia" w:cs="Arial" w:hint="eastAsia"/>
          <w:sz w:val="24"/>
        </w:rPr>
        <w:t>期间的信息披露</w:t>
      </w:r>
      <w:r>
        <w:rPr>
          <w:rFonts w:ascii="宋体" w:hAnsi="宋体" w:cs="Arial" w:hint="eastAsia"/>
          <w:sz w:val="24"/>
        </w:rPr>
        <w:t>以及中国证监会规定的其他信息。基金年度报告中的财务会计报告需</w:t>
      </w:r>
      <w:proofErr w:type="gramStart"/>
      <w:r>
        <w:rPr>
          <w:rFonts w:ascii="宋体" w:hAnsi="宋体" w:cs="Arial" w:hint="eastAsia"/>
          <w:sz w:val="24"/>
        </w:rPr>
        <w:t>经符合</w:t>
      </w:r>
      <w:proofErr w:type="gramEnd"/>
      <w:r>
        <w:rPr>
          <w:rFonts w:ascii="宋体" w:hAnsi="宋体" w:cs="Arial" w:hint="eastAsia"/>
          <w:sz w:val="24"/>
        </w:rPr>
        <w:t>《证券法》规定的会计师事务所审计后，方可披露。</w:t>
      </w:r>
    </w:p>
    <w:p w14:paraId="34F3C6E5"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（三）基金托管人和基金管理人在信息披露中的职责和信息披露程序</w:t>
      </w:r>
    </w:p>
    <w:p w14:paraId="0722103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1.职责</w:t>
      </w:r>
    </w:p>
    <w:p w14:paraId="40D3E8D7" w14:textId="48D8BE6C"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C984D0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对于不需要基金托管人复核的信息，基金管理人在公告前应告知基金托管人。</w:t>
      </w:r>
    </w:p>
    <w:p w14:paraId="19D100D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基金管理人和基金托管人应积极配合、互相监督，保证其履行按照法定方式和限时披露的义务。</w:t>
      </w:r>
    </w:p>
    <w:p w14:paraId="0219B0B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2E9C2A7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381567CE"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283C152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(2)基金投资所涉及的证券交易市场遇法定节假日或因其他原因暂停营业时；</w:t>
      </w:r>
    </w:p>
    <w:p w14:paraId="2403CE9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(3)出现基金管理人认为属于会导致基金管理人不能出售或评估基金资产的紧急事故的任何情况；</w:t>
      </w:r>
    </w:p>
    <w:p w14:paraId="411A09EB"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(4)法律法规、《基金合同》或中国证监会规定的情况。</w:t>
      </w:r>
    </w:p>
    <w:p w14:paraId="1EFB4EA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2.程序</w:t>
      </w:r>
    </w:p>
    <w:p w14:paraId="2A04D45A"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653545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3.信息文本的存放</w:t>
      </w:r>
    </w:p>
    <w:p w14:paraId="15D6762E" w14:textId="1A84F28A" w:rsidR="005B7AA2" w:rsidRDefault="00E50B4E">
      <w:pPr>
        <w:pStyle w:val="a0"/>
        <w:spacing w:line="360" w:lineRule="auto"/>
        <w:ind w:firstLine="480"/>
        <w:rPr>
          <w:rFonts w:ascii="宋体" w:hAnsi="宋体" w:cs="Arial"/>
          <w:sz w:val="24"/>
        </w:rPr>
      </w:pPr>
      <w:r>
        <w:rPr>
          <w:rFonts w:ascii="宋体" w:hAnsi="宋体" w:cs="Arial" w:hint="eastAsia"/>
          <w:sz w:val="24"/>
        </w:rPr>
        <w:t>依法必须披露的信息发布后，基金管理人、基金托管人应当按照相关法律法规规定将信息置备于公司住所，供社会公众查阅、复制。</w:t>
      </w:r>
    </w:p>
    <w:p w14:paraId="5F807283" w14:textId="77777777" w:rsidR="005B7AA2" w:rsidRPr="006814CC" w:rsidRDefault="00E50B4E">
      <w:pPr>
        <w:adjustRightInd w:val="0"/>
        <w:snapToGrid w:val="0"/>
        <w:spacing w:line="360" w:lineRule="auto"/>
        <w:ind w:firstLineChars="200" w:firstLine="480"/>
        <w:rPr>
          <w:rFonts w:ascii="宋体" w:hAnsi="宋体" w:cs="Arial"/>
          <w:sz w:val="24"/>
        </w:rPr>
      </w:pPr>
      <w:r w:rsidRPr="006814CC">
        <w:rPr>
          <w:rFonts w:ascii="宋体" w:hAnsi="宋体" w:cs="Arial" w:hint="eastAsia"/>
          <w:sz w:val="24"/>
        </w:rPr>
        <w:t>（四）实施</w:t>
      </w:r>
      <w:proofErr w:type="gramStart"/>
      <w:r w:rsidRPr="006814CC">
        <w:rPr>
          <w:rFonts w:ascii="宋体" w:hAnsi="宋体" w:cs="Arial" w:hint="eastAsia"/>
          <w:sz w:val="24"/>
        </w:rPr>
        <w:t>侧袋机制</w:t>
      </w:r>
      <w:proofErr w:type="gramEnd"/>
      <w:r w:rsidRPr="006814CC">
        <w:rPr>
          <w:rFonts w:ascii="宋体" w:hAnsi="宋体" w:cs="Arial" w:hint="eastAsia"/>
          <w:sz w:val="24"/>
        </w:rPr>
        <w:t>期间的信息披露</w:t>
      </w:r>
    </w:p>
    <w:p w14:paraId="5DB60772" w14:textId="268727E3" w:rsidR="005B7AA2" w:rsidRPr="006814CC" w:rsidRDefault="00E50B4E">
      <w:pPr>
        <w:adjustRightInd w:val="0"/>
        <w:snapToGrid w:val="0"/>
        <w:spacing w:line="360" w:lineRule="auto"/>
        <w:ind w:firstLineChars="200" w:firstLine="480"/>
        <w:rPr>
          <w:rFonts w:ascii="宋体" w:hAnsi="宋体" w:cs="Arial"/>
          <w:sz w:val="24"/>
        </w:rPr>
      </w:pPr>
      <w:r w:rsidRPr="006814CC">
        <w:rPr>
          <w:rFonts w:ascii="宋体" w:hAnsi="宋体" w:cs="Arial" w:hint="eastAsia"/>
          <w:sz w:val="24"/>
        </w:rPr>
        <w:t>本基金实施</w:t>
      </w:r>
      <w:proofErr w:type="gramStart"/>
      <w:r w:rsidRPr="006814CC">
        <w:rPr>
          <w:rFonts w:ascii="宋体" w:hAnsi="宋体" w:cs="Arial" w:hint="eastAsia"/>
          <w:sz w:val="24"/>
        </w:rPr>
        <w:t>侧袋机制</w:t>
      </w:r>
      <w:proofErr w:type="gramEnd"/>
      <w:r w:rsidRPr="006814CC">
        <w:rPr>
          <w:rFonts w:ascii="宋体" w:hAnsi="宋体" w:cs="Arial" w:hint="eastAsia"/>
          <w:sz w:val="24"/>
        </w:rPr>
        <w:t>的，相关信息披露义务人应当根据法律法规、基金合同和</w:t>
      </w:r>
      <w:r w:rsidRPr="006814CC">
        <w:rPr>
          <w:rFonts w:ascii="宋体" w:hAnsi="宋体" w:cs="Arial" w:hint="eastAsia"/>
          <w:sz w:val="24"/>
        </w:rPr>
        <w:lastRenderedPageBreak/>
        <w:t>招募说明书的规定进行信息披露，详见招募说明书的规定。</w:t>
      </w:r>
    </w:p>
    <w:p w14:paraId="2B4883EC" w14:textId="77777777" w:rsidR="005B7AA2" w:rsidRDefault="00E50B4E">
      <w:pPr>
        <w:pStyle w:val="a0"/>
        <w:spacing w:line="360" w:lineRule="auto"/>
        <w:ind w:firstLine="480"/>
        <w:rPr>
          <w:rFonts w:ascii="宋体" w:hAnsi="宋体" w:cs="Arial"/>
          <w:sz w:val="24"/>
        </w:rPr>
      </w:pPr>
      <w:r>
        <w:rPr>
          <w:rFonts w:ascii="宋体" w:hAnsi="宋体" w:cs="Arial" w:hint="eastAsia"/>
          <w:sz w:val="24"/>
        </w:rPr>
        <w:t>（五）法律法规或监管部门对适用于本基金的信息披露另有规定的，从其规定。如规定发生变化的，从其最新规定。</w:t>
      </w:r>
    </w:p>
    <w:p w14:paraId="17F9B09B" w14:textId="77777777" w:rsidR="005B7AA2" w:rsidRDefault="005B7AA2">
      <w:pPr>
        <w:pStyle w:val="a0"/>
        <w:spacing w:line="360" w:lineRule="auto"/>
        <w:ind w:firstLineChars="0" w:firstLine="0"/>
        <w:rPr>
          <w:rFonts w:ascii="宋体" w:hAnsi="宋体" w:cs="Arial"/>
          <w:sz w:val="24"/>
        </w:rPr>
      </w:pPr>
    </w:p>
    <w:p w14:paraId="60F8E2CE" w14:textId="77777777" w:rsidR="005B7AA2" w:rsidRDefault="00E50B4E">
      <w:pPr>
        <w:pStyle w:val="2"/>
        <w:spacing w:line="360" w:lineRule="auto"/>
        <w:jc w:val="center"/>
        <w:rPr>
          <w:rFonts w:ascii="宋体" w:eastAsia="宋体" w:hAnsi="宋体"/>
          <w:sz w:val="30"/>
        </w:rPr>
      </w:pPr>
      <w:bookmarkStart w:id="99" w:name="_Toc124325895"/>
      <w:r>
        <w:rPr>
          <w:rFonts w:ascii="宋体" w:eastAsia="宋体" w:hAnsi="宋体" w:hint="eastAsia"/>
          <w:sz w:val="30"/>
        </w:rPr>
        <w:t>十一、基金费用</w:t>
      </w:r>
      <w:bookmarkEnd w:id="99"/>
    </w:p>
    <w:p w14:paraId="4721D10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（一）基金管理费的计提比例和计提方法</w:t>
      </w:r>
    </w:p>
    <w:p w14:paraId="4F446FE0" w14:textId="77777777" w:rsidR="002669DE" w:rsidRPr="007F1705" w:rsidRDefault="002669DE" w:rsidP="002669DE">
      <w:pPr>
        <w:spacing w:line="360" w:lineRule="auto"/>
        <w:ind w:firstLineChars="200" w:firstLine="480"/>
        <w:rPr>
          <w:bCs/>
          <w:sz w:val="24"/>
          <w14:ligatures w14:val="standardContextual"/>
        </w:rPr>
      </w:pPr>
      <w:r w:rsidRPr="00F93683">
        <w:rPr>
          <w:rFonts w:hint="eastAsia"/>
          <w:sz w:val="24"/>
          <w14:ligatures w14:val="standardContextual"/>
        </w:rPr>
        <w:t>本基金</w:t>
      </w:r>
      <w:r w:rsidRPr="007F1705">
        <w:rPr>
          <w:rFonts w:hint="eastAsia"/>
          <w:bCs/>
          <w:sz w:val="24"/>
          <w14:ligatures w14:val="standardContextual"/>
        </w:rPr>
        <w:t>根据每笔基金份额的持有期限与持有</w:t>
      </w:r>
      <w:proofErr w:type="gramStart"/>
      <w:r w:rsidRPr="007F1705">
        <w:rPr>
          <w:rFonts w:hint="eastAsia"/>
          <w:bCs/>
          <w:sz w:val="24"/>
          <w14:ligatures w14:val="standardContextual"/>
        </w:rPr>
        <w:t>期间年化收益率</w:t>
      </w:r>
      <w:proofErr w:type="gramEnd"/>
      <w:r w:rsidRPr="007F1705">
        <w:rPr>
          <w:rFonts w:hint="eastAsia"/>
          <w:bCs/>
          <w:sz w:val="24"/>
          <w14:ligatures w14:val="standardContextual"/>
        </w:rPr>
        <w:t>，在赎回、转出基金份额或基金合同终止的情形发生时确定该笔基金份额对应</w:t>
      </w:r>
      <w:r w:rsidRPr="00F93683">
        <w:rPr>
          <w:rFonts w:hint="eastAsia"/>
          <w:sz w:val="24"/>
          <w14:ligatures w14:val="standardContextual"/>
        </w:rPr>
        <w:t>的管理费</w:t>
      </w:r>
      <w:r w:rsidRPr="007F1705">
        <w:rPr>
          <w:rFonts w:hint="eastAsia"/>
          <w:bCs/>
          <w:sz w:val="24"/>
          <w14:ligatures w14:val="standardContextual"/>
        </w:rPr>
        <w:t>。当投资者赎回、转出基金份额或基金合同终止的情形发生时，持有期限不足一年（即</w:t>
      </w:r>
      <w:r w:rsidRPr="007F1705">
        <w:rPr>
          <w:rFonts w:hint="eastAsia"/>
          <w:bCs/>
          <w:sz w:val="24"/>
          <w14:ligatures w14:val="standardContextual"/>
        </w:rPr>
        <w:t>365</w:t>
      </w:r>
      <w:r w:rsidRPr="007F1705">
        <w:rPr>
          <w:rFonts w:hint="eastAsia"/>
          <w:bCs/>
          <w:sz w:val="24"/>
          <w14:ligatures w14:val="standardContextual"/>
        </w:rPr>
        <w:t>天，下同），则按</w:t>
      </w:r>
      <w:r w:rsidRPr="007F1705">
        <w:rPr>
          <w:rFonts w:hint="eastAsia"/>
          <w:bCs/>
          <w:sz w:val="24"/>
          <w14:ligatures w14:val="standardContextual"/>
        </w:rPr>
        <w:t>1.20%</w:t>
      </w:r>
      <w:r w:rsidRPr="007F1705">
        <w:rPr>
          <w:rFonts w:hint="eastAsia"/>
          <w:bCs/>
          <w:sz w:val="24"/>
          <w14:ligatures w14:val="standardContextual"/>
        </w:rPr>
        <w:t>年费率收取管理费；持有期限达到一年及以上，则根据持有</w:t>
      </w:r>
      <w:proofErr w:type="gramStart"/>
      <w:r w:rsidRPr="007F1705">
        <w:rPr>
          <w:rFonts w:hint="eastAsia"/>
          <w:bCs/>
          <w:sz w:val="24"/>
          <w14:ligatures w14:val="standardContextual"/>
        </w:rPr>
        <w:t>期间年化收益率</w:t>
      </w:r>
      <w:proofErr w:type="gramEnd"/>
      <w:r w:rsidRPr="007F1705">
        <w:rPr>
          <w:rFonts w:hint="eastAsia"/>
          <w:bCs/>
          <w:sz w:val="24"/>
          <w14:ligatures w14:val="standardContextual"/>
        </w:rPr>
        <w:t>分为以下三种情况，分别确定对应的管理费率档位：</w:t>
      </w:r>
    </w:p>
    <w:p w14:paraId="0F84D405" w14:textId="77777777" w:rsidR="002669DE" w:rsidRDefault="002669DE" w:rsidP="002669DE">
      <w:pPr>
        <w:spacing w:line="360" w:lineRule="auto"/>
        <w:ind w:firstLineChars="200" w:firstLine="480"/>
        <w:rPr>
          <w:bCs/>
          <w:sz w:val="24"/>
          <w14:ligatures w14:val="standardContextual"/>
        </w:rPr>
      </w:pPr>
      <w:r w:rsidRPr="007F1705">
        <w:rPr>
          <w:rFonts w:hint="eastAsia"/>
          <w:bCs/>
          <w:sz w:val="24"/>
          <w14:ligatures w14:val="standardContextual"/>
        </w:rPr>
        <w:t>若持有期间相对业绩比较基准</w:t>
      </w:r>
      <w:proofErr w:type="gramStart"/>
      <w:r w:rsidRPr="007F1705">
        <w:rPr>
          <w:rFonts w:hint="eastAsia"/>
          <w:bCs/>
          <w:sz w:val="24"/>
          <w14:ligatures w14:val="standardContextual"/>
        </w:rPr>
        <w:t>的年化超额</w:t>
      </w:r>
      <w:proofErr w:type="gramEnd"/>
      <w:r w:rsidRPr="007F1705">
        <w:rPr>
          <w:rFonts w:hint="eastAsia"/>
          <w:bCs/>
          <w:sz w:val="24"/>
          <w14:ligatures w14:val="standardContextual"/>
        </w:rPr>
        <w:t>收益率在</w:t>
      </w:r>
      <w:r w:rsidRPr="007F1705">
        <w:rPr>
          <w:rFonts w:hint="eastAsia"/>
          <w:bCs/>
          <w:sz w:val="24"/>
          <w14:ligatures w14:val="standardContextual"/>
        </w:rPr>
        <w:t>-3%</w:t>
      </w:r>
      <w:r w:rsidRPr="007F1705">
        <w:rPr>
          <w:rFonts w:hint="eastAsia"/>
          <w:bCs/>
          <w:sz w:val="24"/>
          <w14:ligatures w14:val="standardContextual"/>
        </w:rPr>
        <w:t>及以下，按</w:t>
      </w:r>
      <w:r w:rsidRPr="007F1705">
        <w:rPr>
          <w:rFonts w:hint="eastAsia"/>
          <w:bCs/>
          <w:sz w:val="24"/>
          <w14:ligatures w14:val="standardContextual"/>
        </w:rPr>
        <w:t>0.60%</w:t>
      </w:r>
      <w:r w:rsidRPr="007F1705">
        <w:rPr>
          <w:rFonts w:hint="eastAsia"/>
          <w:bCs/>
          <w:sz w:val="24"/>
          <w14:ligatures w14:val="standardContextual"/>
        </w:rPr>
        <w:t>年费率确认管理费；若持有期间</w:t>
      </w:r>
      <w:proofErr w:type="gramStart"/>
      <w:r w:rsidRPr="007F1705">
        <w:rPr>
          <w:rFonts w:hint="eastAsia"/>
          <w:bCs/>
          <w:sz w:val="24"/>
          <w14:ligatures w14:val="standardContextual"/>
        </w:rPr>
        <w:t>的年化超额</w:t>
      </w:r>
      <w:proofErr w:type="gramEnd"/>
      <w:r w:rsidRPr="007F1705">
        <w:rPr>
          <w:rFonts w:hint="eastAsia"/>
          <w:bCs/>
          <w:sz w:val="24"/>
          <w14:ligatures w14:val="standardContextual"/>
        </w:rPr>
        <w:t>收益率（扣除超额管理费后）超过</w:t>
      </w:r>
      <w:r w:rsidRPr="007F1705">
        <w:rPr>
          <w:rFonts w:hint="eastAsia"/>
          <w:bCs/>
          <w:sz w:val="24"/>
          <w14:ligatures w14:val="standardContextual"/>
        </w:rPr>
        <w:t>6%</w:t>
      </w:r>
      <w:r w:rsidRPr="007F1705">
        <w:rPr>
          <w:rFonts w:hint="eastAsia"/>
          <w:bCs/>
          <w:sz w:val="24"/>
          <w14:ligatures w14:val="standardContextual"/>
        </w:rPr>
        <w:t>且持有收益率（扣除超额管理费后）为正，按</w:t>
      </w:r>
      <w:r w:rsidRPr="007F1705">
        <w:rPr>
          <w:rFonts w:hint="eastAsia"/>
          <w:bCs/>
          <w:sz w:val="24"/>
          <w14:ligatures w14:val="standardContextual"/>
        </w:rPr>
        <w:t>1.50%</w:t>
      </w:r>
      <w:r w:rsidRPr="007F1705">
        <w:rPr>
          <w:rFonts w:hint="eastAsia"/>
          <w:bCs/>
          <w:sz w:val="24"/>
          <w14:ligatures w14:val="standardContextual"/>
        </w:rPr>
        <w:t>年费率确认管理费；其他情形按</w:t>
      </w:r>
      <w:r w:rsidRPr="007F1705">
        <w:rPr>
          <w:rFonts w:hint="eastAsia"/>
          <w:bCs/>
          <w:sz w:val="24"/>
          <w14:ligatures w14:val="standardContextual"/>
        </w:rPr>
        <w:t>1.20%</w:t>
      </w:r>
      <w:r w:rsidRPr="007F1705">
        <w:rPr>
          <w:rFonts w:hint="eastAsia"/>
          <w:bCs/>
          <w:sz w:val="24"/>
          <w14:ligatures w14:val="standardContextual"/>
        </w:rPr>
        <w:t>年费率确认管理费。</w:t>
      </w:r>
    </w:p>
    <w:p w14:paraId="75C69004" w14:textId="77777777" w:rsidR="002669DE" w:rsidRPr="007F1705" w:rsidRDefault="002669DE" w:rsidP="002669DE">
      <w:pPr>
        <w:spacing w:line="360" w:lineRule="auto"/>
        <w:ind w:firstLineChars="200" w:firstLine="480"/>
        <w:rPr>
          <w:bCs/>
          <w:sz w:val="24"/>
          <w14:ligatures w14:val="standardContextual"/>
        </w:rPr>
      </w:pPr>
    </w:p>
    <w:tbl>
      <w:tblPr>
        <w:tblStyle w:val="50"/>
        <w:tblW w:w="6658" w:type="dxa"/>
        <w:jc w:val="center"/>
        <w:tblLook w:val="04A0" w:firstRow="1" w:lastRow="0" w:firstColumn="1" w:lastColumn="0" w:noHBand="0" w:noVBand="1"/>
      </w:tblPr>
      <w:tblGrid>
        <w:gridCol w:w="3827"/>
        <w:gridCol w:w="2831"/>
      </w:tblGrid>
      <w:tr w:rsidR="002669DE" w:rsidRPr="007F1705" w14:paraId="47708AFA" w14:textId="77777777" w:rsidTr="001324A0">
        <w:trPr>
          <w:trHeight w:val="510"/>
          <w:jc w:val="center"/>
        </w:trPr>
        <w:tc>
          <w:tcPr>
            <w:tcW w:w="3827" w:type="dxa"/>
            <w:vAlign w:val="center"/>
          </w:tcPr>
          <w:p w14:paraId="5D8FDF3D" w14:textId="77777777" w:rsidR="002669DE" w:rsidRPr="007F1705" w:rsidRDefault="002669DE" w:rsidP="001324A0">
            <w:pPr>
              <w:spacing w:line="276" w:lineRule="auto"/>
              <w:jc w:val="center"/>
              <w:rPr>
                <w:b/>
                <w:sz w:val="22"/>
                <w:szCs w:val="22"/>
                <w14:ligatures w14:val="standardContextual"/>
              </w:rPr>
            </w:pPr>
            <w:r w:rsidRPr="007F1705">
              <w:rPr>
                <w:rFonts w:hint="eastAsia"/>
                <w:b/>
                <w:sz w:val="22"/>
                <w:szCs w:val="22"/>
                <w14:ligatures w14:val="standardContextual"/>
              </w:rPr>
              <w:t>持有</w:t>
            </w:r>
            <w:proofErr w:type="gramStart"/>
            <w:r w:rsidRPr="007F1705">
              <w:rPr>
                <w:rFonts w:hint="eastAsia"/>
                <w:b/>
                <w:sz w:val="22"/>
                <w:szCs w:val="22"/>
                <w14:ligatures w14:val="standardContextual"/>
              </w:rPr>
              <w:t>期间年化收益率</w:t>
            </w:r>
            <w:proofErr w:type="gramEnd"/>
            <w:r w:rsidRPr="007F1705">
              <w:rPr>
                <w:rFonts w:hint="eastAsia"/>
                <w:b/>
                <w:sz w:val="22"/>
                <w:szCs w:val="22"/>
                <w14:ligatures w14:val="standardContextual"/>
              </w:rPr>
              <w:t>（</w:t>
            </w:r>
            <w:r w:rsidRPr="007F1705">
              <w:rPr>
                <w:rFonts w:hint="eastAsia"/>
                <w:b/>
                <w:sz w:val="22"/>
                <w:szCs w:val="22"/>
                <w14:ligatures w14:val="standardContextual"/>
              </w:rPr>
              <w:t>R</w:t>
            </w:r>
            <w:r w:rsidRPr="007F1705">
              <w:rPr>
                <w:rFonts w:hint="eastAsia"/>
                <w:b/>
                <w:sz w:val="22"/>
                <w:szCs w:val="22"/>
                <w14:ligatures w14:val="standardContextual"/>
              </w:rPr>
              <w:t>）</w:t>
            </w:r>
          </w:p>
        </w:tc>
        <w:tc>
          <w:tcPr>
            <w:tcW w:w="2831" w:type="dxa"/>
            <w:vAlign w:val="center"/>
          </w:tcPr>
          <w:p w14:paraId="737415AD" w14:textId="77777777" w:rsidR="002669DE" w:rsidRPr="007F1705" w:rsidRDefault="002669DE" w:rsidP="001324A0">
            <w:pPr>
              <w:spacing w:line="276" w:lineRule="auto"/>
              <w:jc w:val="center"/>
              <w:rPr>
                <w:b/>
                <w:sz w:val="22"/>
                <w:szCs w:val="22"/>
                <w14:ligatures w14:val="standardContextual"/>
              </w:rPr>
            </w:pPr>
            <w:r w:rsidRPr="007F1705">
              <w:rPr>
                <w:rFonts w:hint="eastAsia"/>
                <w:b/>
                <w:sz w:val="22"/>
                <w:szCs w:val="22"/>
                <w14:ligatures w14:val="standardContextual"/>
              </w:rPr>
              <w:t>管理费率（年费率）</w:t>
            </w:r>
          </w:p>
        </w:tc>
      </w:tr>
      <w:tr w:rsidR="002669DE" w:rsidRPr="007F1705" w14:paraId="30652553" w14:textId="77777777" w:rsidTr="001324A0">
        <w:trPr>
          <w:trHeight w:val="510"/>
          <w:jc w:val="center"/>
        </w:trPr>
        <w:tc>
          <w:tcPr>
            <w:tcW w:w="3827" w:type="dxa"/>
            <w:vAlign w:val="center"/>
          </w:tcPr>
          <w:p w14:paraId="43907FD9" w14:textId="77777777" w:rsidR="002669DE" w:rsidRPr="007F1705" w:rsidRDefault="002669DE" w:rsidP="001324A0">
            <w:pPr>
              <w:spacing w:line="276" w:lineRule="auto"/>
              <w:jc w:val="center"/>
              <w:rPr>
                <w:bCs/>
                <w:sz w:val="22"/>
                <w:szCs w:val="22"/>
                <w14:ligatures w14:val="standardContextual"/>
              </w:rPr>
            </w:pPr>
            <w:r w:rsidRPr="007F1705">
              <w:rPr>
                <w:bCs/>
                <w:sz w:val="22"/>
                <w:szCs w:val="22"/>
              </w:rPr>
              <w:t>R</w:t>
            </w:r>
            <w:r w:rsidRPr="007F1705">
              <w:rPr>
                <w:rFonts w:ascii="仿宋" w:eastAsia="仿宋" w:hAnsi="仿宋"/>
                <w:bCs/>
                <w:sz w:val="22"/>
                <w:szCs w:val="22"/>
              </w:rPr>
              <w:t>≤</w:t>
            </w:r>
            <w:r w:rsidRPr="007F1705">
              <w:rPr>
                <w:bCs/>
                <w:sz w:val="22"/>
                <w:szCs w:val="22"/>
              </w:rPr>
              <w:t>R</w:t>
            </w:r>
            <w:r w:rsidRPr="007F1705">
              <w:rPr>
                <w:rFonts w:ascii="Cambria" w:hAnsi="Cambria"/>
                <w:spacing w:val="-2"/>
                <w:sz w:val="22"/>
                <w:szCs w:val="22"/>
                <w:vertAlign w:val="subscript"/>
              </w:rPr>
              <w:t>b</w:t>
            </w:r>
            <w:r w:rsidRPr="007F1705">
              <w:rPr>
                <w:bCs/>
                <w:sz w:val="22"/>
                <w:szCs w:val="22"/>
              </w:rPr>
              <w:t>-3%</w:t>
            </w:r>
          </w:p>
        </w:tc>
        <w:tc>
          <w:tcPr>
            <w:tcW w:w="2831" w:type="dxa"/>
            <w:vAlign w:val="center"/>
          </w:tcPr>
          <w:p w14:paraId="1985784F" w14:textId="77777777" w:rsidR="002669DE" w:rsidRPr="007F1705" w:rsidRDefault="002669DE" w:rsidP="001324A0">
            <w:pPr>
              <w:spacing w:line="276" w:lineRule="auto"/>
              <w:jc w:val="center"/>
              <w:rPr>
                <w:rFonts w:ascii="Cambria" w:eastAsia="仿宋" w:hAnsi="Cambria"/>
                <w:kern w:val="0"/>
                <w:sz w:val="22"/>
                <w:szCs w:val="22"/>
                <w14:ligatures w14:val="standardContextual"/>
              </w:rPr>
            </w:pPr>
            <w:r w:rsidRPr="007F1705">
              <w:rPr>
                <w:rFonts w:ascii="Cambria" w:eastAsia="仿宋" w:hAnsi="Cambria"/>
                <w:kern w:val="0"/>
                <w:sz w:val="22"/>
                <w:szCs w:val="22"/>
                <w14:ligatures w14:val="standardContextual"/>
              </w:rPr>
              <w:t>0.60%/</w:t>
            </w:r>
            <w:r w:rsidRPr="007F1705">
              <w:rPr>
                <w:rFonts w:ascii="宋体" w:hAnsi="宋体"/>
                <w:bCs/>
                <w:kern w:val="0"/>
                <w:sz w:val="22"/>
                <w:szCs w:val="22"/>
                <w14:ligatures w14:val="standardContextual"/>
              </w:rPr>
              <w:t>年</w:t>
            </w:r>
          </w:p>
        </w:tc>
      </w:tr>
      <w:tr w:rsidR="002669DE" w:rsidRPr="007F1705" w14:paraId="1C7636FF" w14:textId="77777777" w:rsidTr="001324A0">
        <w:trPr>
          <w:trHeight w:val="510"/>
          <w:jc w:val="center"/>
        </w:trPr>
        <w:tc>
          <w:tcPr>
            <w:tcW w:w="3827" w:type="dxa"/>
            <w:vAlign w:val="center"/>
          </w:tcPr>
          <w:p w14:paraId="3355A497" w14:textId="77777777" w:rsidR="002669DE" w:rsidRPr="007F1705" w:rsidRDefault="002669DE" w:rsidP="001324A0">
            <w:pPr>
              <w:spacing w:line="276" w:lineRule="auto"/>
              <w:jc w:val="center"/>
              <w:rPr>
                <w:bCs/>
                <w:sz w:val="22"/>
                <w:szCs w:val="22"/>
                <w14:ligatures w14:val="standardContextual"/>
              </w:rPr>
            </w:pPr>
            <w:r w:rsidRPr="007F1705">
              <w:rPr>
                <w:bCs/>
                <w:sz w:val="22"/>
                <w:szCs w:val="22"/>
                <w14:ligatures w14:val="standardContextual"/>
              </w:rPr>
              <w:t>其他情形</w:t>
            </w:r>
          </w:p>
        </w:tc>
        <w:tc>
          <w:tcPr>
            <w:tcW w:w="2831" w:type="dxa"/>
            <w:vAlign w:val="center"/>
          </w:tcPr>
          <w:p w14:paraId="7797FA9C" w14:textId="77777777" w:rsidR="002669DE" w:rsidRPr="007F1705" w:rsidRDefault="002669DE" w:rsidP="001324A0">
            <w:pPr>
              <w:spacing w:line="276" w:lineRule="auto"/>
              <w:jc w:val="center"/>
              <w:rPr>
                <w:rFonts w:ascii="Cambria" w:eastAsia="仿宋" w:hAnsi="Cambria"/>
                <w:kern w:val="0"/>
                <w:sz w:val="22"/>
                <w:szCs w:val="22"/>
                <w14:ligatures w14:val="standardContextual"/>
              </w:rPr>
            </w:pPr>
            <w:r w:rsidRPr="007F1705">
              <w:rPr>
                <w:rFonts w:ascii="Cambria" w:eastAsia="仿宋" w:hAnsi="Cambria"/>
                <w:kern w:val="0"/>
                <w:sz w:val="22"/>
                <w:szCs w:val="22"/>
                <w14:ligatures w14:val="standardContextual"/>
              </w:rPr>
              <w:t>1.20%/</w:t>
            </w:r>
            <w:r w:rsidRPr="007F1705">
              <w:rPr>
                <w:rFonts w:ascii="宋体" w:hAnsi="宋体"/>
                <w:bCs/>
                <w:kern w:val="0"/>
                <w:sz w:val="22"/>
                <w:szCs w:val="22"/>
                <w14:ligatures w14:val="standardContextual"/>
              </w:rPr>
              <w:t>年</w:t>
            </w:r>
          </w:p>
        </w:tc>
      </w:tr>
      <w:tr w:rsidR="002669DE" w:rsidRPr="007F1705" w14:paraId="3CCD490F" w14:textId="77777777" w:rsidTr="001324A0">
        <w:trPr>
          <w:trHeight w:val="510"/>
          <w:jc w:val="center"/>
        </w:trPr>
        <w:tc>
          <w:tcPr>
            <w:tcW w:w="3827" w:type="dxa"/>
            <w:vAlign w:val="center"/>
          </w:tcPr>
          <w:p w14:paraId="7E28A615" w14:textId="77777777" w:rsidR="002669DE" w:rsidRPr="007F1705" w:rsidRDefault="002669DE" w:rsidP="001324A0">
            <w:pPr>
              <w:spacing w:line="276" w:lineRule="auto"/>
              <w:jc w:val="center"/>
              <w:rPr>
                <w:bCs/>
                <w:sz w:val="22"/>
                <w:szCs w:val="22"/>
                <w14:ligatures w14:val="standardContextual"/>
              </w:rPr>
            </w:pPr>
            <w:r w:rsidRPr="007F1705">
              <w:rPr>
                <w:bCs/>
                <w:sz w:val="22"/>
                <w:szCs w:val="22"/>
              </w:rPr>
              <w:t>R</w:t>
            </w:r>
            <w:r w:rsidRPr="007F1705">
              <w:rPr>
                <w:rFonts w:ascii="仿宋" w:eastAsia="仿宋" w:hAnsi="仿宋"/>
                <w:bCs/>
                <w:sz w:val="22"/>
                <w:szCs w:val="22"/>
              </w:rPr>
              <w:t>＞</w:t>
            </w:r>
            <w:r w:rsidRPr="007F1705">
              <w:rPr>
                <w:bCs/>
                <w:sz w:val="22"/>
                <w:szCs w:val="22"/>
              </w:rPr>
              <w:t>R</w:t>
            </w:r>
            <w:r w:rsidRPr="007F1705">
              <w:rPr>
                <w:rFonts w:ascii="Cambria" w:hAnsi="Cambria"/>
                <w:spacing w:val="-2"/>
                <w:sz w:val="22"/>
                <w:szCs w:val="22"/>
                <w:vertAlign w:val="subscript"/>
              </w:rPr>
              <w:t>b</w:t>
            </w:r>
            <w:r w:rsidRPr="007F1705">
              <w:rPr>
                <w:bCs/>
                <w:sz w:val="22"/>
                <w:szCs w:val="22"/>
              </w:rPr>
              <w:t>+6%</w:t>
            </w:r>
            <w:r w:rsidRPr="007F1705">
              <w:rPr>
                <w:bCs/>
                <w:sz w:val="22"/>
                <w:szCs w:val="22"/>
              </w:rPr>
              <w:t>，</w:t>
            </w:r>
            <w:r w:rsidRPr="007F1705">
              <w:rPr>
                <w:bCs/>
                <w:sz w:val="22"/>
                <w:szCs w:val="22"/>
              </w:rPr>
              <w:t>R</w:t>
            </w:r>
            <w:r w:rsidRPr="007F1705">
              <w:rPr>
                <w:rFonts w:ascii="仿宋" w:eastAsia="仿宋" w:hAnsi="仿宋"/>
                <w:bCs/>
                <w:sz w:val="22"/>
                <w:szCs w:val="22"/>
              </w:rPr>
              <w:t>＞</w:t>
            </w:r>
            <w:r w:rsidRPr="007F1705">
              <w:rPr>
                <w:bCs/>
                <w:sz w:val="22"/>
                <w:szCs w:val="22"/>
              </w:rPr>
              <w:t>0</w:t>
            </w:r>
          </w:p>
        </w:tc>
        <w:tc>
          <w:tcPr>
            <w:tcW w:w="2831" w:type="dxa"/>
            <w:vAlign w:val="center"/>
          </w:tcPr>
          <w:p w14:paraId="78785E79" w14:textId="77777777" w:rsidR="002669DE" w:rsidRPr="007F1705" w:rsidRDefault="002669DE" w:rsidP="001324A0">
            <w:pPr>
              <w:spacing w:line="276" w:lineRule="auto"/>
              <w:jc w:val="center"/>
              <w:rPr>
                <w:rFonts w:ascii="Cambria" w:eastAsia="仿宋" w:hAnsi="Cambria"/>
                <w:kern w:val="0"/>
                <w:sz w:val="22"/>
                <w:szCs w:val="22"/>
                <w14:ligatures w14:val="standardContextual"/>
              </w:rPr>
            </w:pPr>
            <w:r w:rsidRPr="007F1705">
              <w:rPr>
                <w:rFonts w:ascii="Cambria" w:eastAsia="仿宋" w:hAnsi="Cambria"/>
                <w:kern w:val="0"/>
                <w:sz w:val="22"/>
                <w:szCs w:val="22"/>
                <w14:ligatures w14:val="standardContextual"/>
              </w:rPr>
              <w:t>1.50%/</w:t>
            </w:r>
            <w:r w:rsidRPr="007F1705">
              <w:rPr>
                <w:rFonts w:ascii="宋体" w:hAnsi="宋体"/>
                <w:bCs/>
                <w:kern w:val="0"/>
                <w:sz w:val="22"/>
                <w:szCs w:val="22"/>
                <w14:ligatures w14:val="standardContextual"/>
              </w:rPr>
              <w:t>年</w:t>
            </w:r>
          </w:p>
        </w:tc>
      </w:tr>
    </w:tbl>
    <w:p w14:paraId="2A789D17" w14:textId="77777777" w:rsidR="002669DE" w:rsidRPr="007F1705" w:rsidRDefault="002669DE" w:rsidP="002669DE">
      <w:pPr>
        <w:spacing w:line="360" w:lineRule="auto"/>
        <w:rPr>
          <w:bCs/>
          <w:szCs w:val="21"/>
          <w14:ligatures w14:val="standardContextual"/>
        </w:rPr>
      </w:pPr>
      <w:r w:rsidRPr="007F1705">
        <w:rPr>
          <w:rFonts w:hint="eastAsia"/>
          <w:bCs/>
          <w:szCs w:val="21"/>
          <w14:ligatures w14:val="standardContextual"/>
        </w:rPr>
        <w:t>注：①</w:t>
      </w:r>
      <w:r w:rsidRPr="007F1705">
        <w:rPr>
          <w:bCs/>
          <w:szCs w:val="21"/>
          <w14:ligatures w14:val="standardContextual"/>
        </w:rPr>
        <w:t>R</w:t>
      </w:r>
      <w:r w:rsidRPr="007F1705">
        <w:rPr>
          <w:rFonts w:hint="eastAsia"/>
          <w:bCs/>
          <w:szCs w:val="21"/>
          <w14:ligatures w14:val="standardContextual"/>
        </w:rPr>
        <w:t>为该笔基金份额</w:t>
      </w:r>
      <w:proofErr w:type="gramStart"/>
      <w:r w:rsidRPr="007F1705">
        <w:rPr>
          <w:rFonts w:hint="eastAsia"/>
          <w:bCs/>
          <w:szCs w:val="21"/>
          <w14:ligatures w14:val="standardContextual"/>
        </w:rPr>
        <w:t>的年化收益率</w:t>
      </w:r>
      <w:proofErr w:type="gramEnd"/>
      <w:r w:rsidRPr="007F1705">
        <w:rPr>
          <w:rFonts w:hint="eastAsia"/>
          <w:bCs/>
          <w:szCs w:val="21"/>
          <w14:ligatures w14:val="standardContextual"/>
        </w:rPr>
        <w:t>，</w:t>
      </w:r>
      <w:proofErr w:type="spellStart"/>
      <w:r w:rsidRPr="007F1705">
        <w:rPr>
          <w:bCs/>
          <w:szCs w:val="21"/>
          <w14:ligatures w14:val="standardContextual"/>
        </w:rPr>
        <w:t>R</w:t>
      </w:r>
      <w:r w:rsidRPr="007F1705">
        <w:rPr>
          <w:bCs/>
          <w:szCs w:val="21"/>
          <w:vertAlign w:val="subscript"/>
          <w14:ligatures w14:val="standardContextual"/>
        </w:rPr>
        <w:t>b</w:t>
      </w:r>
      <w:proofErr w:type="spellEnd"/>
      <w:r w:rsidRPr="007F1705">
        <w:rPr>
          <w:rFonts w:hint="eastAsia"/>
          <w:bCs/>
          <w:szCs w:val="21"/>
          <w14:ligatures w14:val="standardContextual"/>
        </w:rPr>
        <w:t>为本基金业绩比较基准</w:t>
      </w:r>
      <w:proofErr w:type="gramStart"/>
      <w:r w:rsidRPr="007F1705">
        <w:rPr>
          <w:rFonts w:hint="eastAsia"/>
          <w:bCs/>
          <w:szCs w:val="21"/>
          <w14:ligatures w14:val="standardContextual"/>
        </w:rPr>
        <w:t>同期年化</w:t>
      </w:r>
      <w:proofErr w:type="gramEnd"/>
      <w:r w:rsidRPr="007F1705">
        <w:rPr>
          <w:rFonts w:hint="eastAsia"/>
          <w:bCs/>
          <w:szCs w:val="21"/>
          <w14:ligatures w14:val="standardContextual"/>
        </w:rPr>
        <w:t>收益率。</w:t>
      </w:r>
    </w:p>
    <w:p w14:paraId="702F509F" w14:textId="77777777" w:rsidR="002669DE" w:rsidRPr="007F1705" w:rsidRDefault="002669DE" w:rsidP="002669DE">
      <w:pPr>
        <w:spacing w:line="360" w:lineRule="auto"/>
        <w:rPr>
          <w:bCs/>
          <w:szCs w:val="21"/>
          <w14:ligatures w14:val="standardContextual"/>
        </w:rPr>
      </w:pPr>
      <w:r w:rsidRPr="007F1705">
        <w:rPr>
          <w:rFonts w:hint="eastAsia"/>
          <w:bCs/>
          <w:szCs w:val="21"/>
          <w14:ligatures w14:val="standardContextual"/>
        </w:rPr>
        <w:t>②特别的，当持有期限达到一年及以上，</w:t>
      </w:r>
      <w:r w:rsidRPr="007F1705">
        <w:rPr>
          <w:bCs/>
          <w:szCs w:val="21"/>
          <w14:ligatures w14:val="standardContextual"/>
        </w:rPr>
        <w:t>R</w:t>
      </w:r>
      <w:r w:rsidRPr="007F1705">
        <w:rPr>
          <w:rFonts w:hint="eastAsia"/>
          <w:bCs/>
          <w:szCs w:val="21"/>
          <w14:ligatures w14:val="standardContextual"/>
        </w:rPr>
        <w:t>＞</w:t>
      </w:r>
      <w:r w:rsidRPr="007F1705">
        <w:rPr>
          <w:bCs/>
          <w:szCs w:val="21"/>
          <w14:ligatures w14:val="standardContextual"/>
        </w:rPr>
        <w:t>R</w:t>
      </w:r>
      <w:r w:rsidRPr="007F1705">
        <w:rPr>
          <w:bCs/>
          <w:szCs w:val="21"/>
          <w:vertAlign w:val="subscript"/>
          <w14:ligatures w14:val="standardContextual"/>
        </w:rPr>
        <w:t>b</w:t>
      </w:r>
      <w:r w:rsidRPr="007F1705">
        <w:rPr>
          <w:bCs/>
          <w:szCs w:val="21"/>
          <w14:ligatures w14:val="standardContextual"/>
        </w:rPr>
        <w:t>+6%</w:t>
      </w:r>
      <w:r w:rsidRPr="007F1705">
        <w:rPr>
          <w:rFonts w:hint="eastAsia"/>
          <w:bCs/>
          <w:szCs w:val="21"/>
          <w14:ligatures w14:val="standardContextual"/>
        </w:rPr>
        <w:t>且</w:t>
      </w:r>
      <w:r w:rsidRPr="007F1705">
        <w:rPr>
          <w:bCs/>
          <w:szCs w:val="21"/>
          <w14:ligatures w14:val="standardContextual"/>
        </w:rPr>
        <w:t>R</w:t>
      </w:r>
      <w:r w:rsidRPr="007F1705">
        <w:rPr>
          <w:rFonts w:hint="eastAsia"/>
          <w:bCs/>
          <w:szCs w:val="21"/>
          <w14:ligatures w14:val="standardContextual"/>
        </w:rPr>
        <w:t>＞</w:t>
      </w:r>
      <w:r w:rsidRPr="007F1705">
        <w:rPr>
          <w:bCs/>
          <w:szCs w:val="21"/>
          <w14:ligatures w14:val="standardContextual"/>
        </w:rPr>
        <w:t>0</w:t>
      </w:r>
      <w:r w:rsidRPr="007F1705">
        <w:rPr>
          <w:rFonts w:hint="eastAsia"/>
          <w:bCs/>
          <w:szCs w:val="21"/>
          <w14:ligatures w14:val="standardContextual"/>
        </w:rPr>
        <w:t>的情形下，</w:t>
      </w:r>
      <w:proofErr w:type="gramStart"/>
      <w:r w:rsidRPr="007F1705">
        <w:rPr>
          <w:rFonts w:hint="eastAsia"/>
          <w:bCs/>
          <w:szCs w:val="21"/>
          <w14:ligatures w14:val="standardContextual"/>
        </w:rPr>
        <w:t>若拟扣除</w:t>
      </w:r>
      <w:proofErr w:type="gramEnd"/>
      <w:r w:rsidRPr="007F1705">
        <w:rPr>
          <w:rFonts w:hint="eastAsia"/>
          <w:bCs/>
          <w:szCs w:val="21"/>
          <w14:ligatures w14:val="standardContextual"/>
        </w:rPr>
        <w:t>超额管理费后</w:t>
      </w:r>
      <w:proofErr w:type="gramStart"/>
      <w:r w:rsidRPr="007F1705">
        <w:rPr>
          <w:rFonts w:hint="eastAsia"/>
          <w:bCs/>
          <w:szCs w:val="21"/>
          <w14:ligatures w14:val="standardContextual"/>
        </w:rPr>
        <w:t>的年化收益率</w:t>
      </w:r>
      <w:proofErr w:type="gramEnd"/>
      <w:r w:rsidRPr="007F1705">
        <w:rPr>
          <w:rFonts w:hint="eastAsia"/>
          <w:bCs/>
          <w:szCs w:val="21"/>
          <w14:ligatures w14:val="standardContextual"/>
        </w:rPr>
        <w:t>小于等于</w:t>
      </w:r>
      <w:r w:rsidRPr="007F1705">
        <w:rPr>
          <w:bCs/>
          <w:szCs w:val="21"/>
          <w14:ligatures w14:val="standardContextual"/>
        </w:rPr>
        <w:t>R</w:t>
      </w:r>
      <w:r w:rsidRPr="007F1705">
        <w:rPr>
          <w:bCs/>
          <w:szCs w:val="21"/>
          <w:vertAlign w:val="subscript"/>
          <w14:ligatures w14:val="standardContextual"/>
        </w:rPr>
        <w:t>b</w:t>
      </w:r>
      <w:r w:rsidRPr="007F1705">
        <w:rPr>
          <w:bCs/>
          <w:szCs w:val="21"/>
          <w14:ligatures w14:val="standardContextual"/>
        </w:rPr>
        <w:t>+6%</w:t>
      </w:r>
      <w:r w:rsidRPr="007F1705">
        <w:rPr>
          <w:rFonts w:hint="eastAsia"/>
          <w:bCs/>
          <w:szCs w:val="21"/>
          <w14:ligatures w14:val="standardContextual"/>
        </w:rPr>
        <w:t>，或小于等于</w:t>
      </w:r>
      <w:r w:rsidRPr="007F1705">
        <w:rPr>
          <w:bCs/>
          <w:szCs w:val="21"/>
          <w14:ligatures w14:val="standardContextual"/>
        </w:rPr>
        <w:t>0</w:t>
      </w:r>
      <w:r w:rsidRPr="007F1705">
        <w:rPr>
          <w:rFonts w:hint="eastAsia"/>
          <w:bCs/>
          <w:szCs w:val="21"/>
          <w14:ligatures w14:val="standardContextual"/>
        </w:rPr>
        <w:t>时，仍按</w:t>
      </w:r>
      <w:r w:rsidRPr="007F1705">
        <w:rPr>
          <w:bCs/>
          <w:szCs w:val="21"/>
          <w14:ligatures w14:val="standardContextual"/>
        </w:rPr>
        <w:t>1.20%</w:t>
      </w:r>
      <w:r w:rsidRPr="007F1705">
        <w:rPr>
          <w:rFonts w:hint="eastAsia"/>
          <w:bCs/>
          <w:szCs w:val="21"/>
          <w14:ligatures w14:val="standardContextual"/>
        </w:rPr>
        <w:t>年费率收取该笔基金份额的管理费，以使得该笔基金份额在扣除超额管理费后</w:t>
      </w:r>
      <w:proofErr w:type="gramStart"/>
      <w:r w:rsidRPr="007F1705">
        <w:rPr>
          <w:rFonts w:hint="eastAsia"/>
          <w:bCs/>
          <w:szCs w:val="21"/>
          <w14:ligatures w14:val="standardContextual"/>
        </w:rPr>
        <w:t>的年化收益率</w:t>
      </w:r>
      <w:proofErr w:type="gramEnd"/>
      <w:r w:rsidRPr="007F1705">
        <w:rPr>
          <w:rFonts w:hint="eastAsia"/>
          <w:bCs/>
          <w:szCs w:val="21"/>
          <w14:ligatures w14:val="standardContextual"/>
        </w:rPr>
        <w:t>仍需满足本基金收取超额管理费的标准。</w:t>
      </w:r>
    </w:p>
    <w:p w14:paraId="6234D8B9" w14:textId="77777777" w:rsidR="002669DE" w:rsidRPr="00023102" w:rsidRDefault="002669DE" w:rsidP="002669DE">
      <w:pPr>
        <w:spacing w:line="360" w:lineRule="auto"/>
        <w:ind w:firstLineChars="200" w:firstLine="480"/>
        <w:rPr>
          <w:bCs/>
          <w:sz w:val="24"/>
          <w14:ligatures w14:val="standardContextual"/>
        </w:rPr>
      </w:pPr>
      <w:r w:rsidRPr="00023102">
        <w:rPr>
          <w:rFonts w:hint="eastAsia"/>
          <w:bCs/>
          <w:sz w:val="24"/>
          <w14:ligatures w14:val="standardContextual"/>
        </w:rPr>
        <w:t>具体而言，本基金的管理费包含固定管理费、或有管理费和超额管理费，按以下方式计算和确认。</w:t>
      </w:r>
    </w:p>
    <w:p w14:paraId="206B1FE1"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（1）固定管理费</w:t>
      </w:r>
    </w:p>
    <w:p w14:paraId="48B2B914" w14:textId="11741807" w:rsidR="002669DE" w:rsidRPr="0078009B" w:rsidRDefault="002669DE" w:rsidP="00F93683">
      <w:pPr>
        <w:adjustRightInd w:val="0"/>
        <w:snapToGrid w:val="0"/>
        <w:spacing w:line="360" w:lineRule="auto"/>
        <w:ind w:left="60" w:firstLine="420"/>
        <w:rPr>
          <w:rFonts w:ascii="宋体" w:hAnsi="宋体"/>
          <w:sz w:val="24"/>
        </w:rPr>
      </w:pPr>
      <w:r w:rsidRPr="00023102">
        <w:rPr>
          <w:rFonts w:ascii="宋体" w:hAnsi="宋体" w:hint="eastAsia"/>
          <w:sz w:val="24"/>
        </w:rPr>
        <w:lastRenderedPageBreak/>
        <w:t>固定管理费</w:t>
      </w:r>
      <w:r w:rsidRPr="0078009B">
        <w:rPr>
          <w:rFonts w:ascii="宋体" w:hAnsi="宋体" w:hint="eastAsia"/>
          <w:sz w:val="24"/>
        </w:rPr>
        <w:t>按前一日基金资产净值的</w:t>
      </w:r>
      <w:r w:rsidRPr="00023102">
        <w:rPr>
          <w:rFonts w:ascii="宋体" w:hAnsi="宋体" w:hint="eastAsia"/>
          <w:sz w:val="24"/>
        </w:rPr>
        <w:t>0.60</w:t>
      </w:r>
      <w:r w:rsidRPr="0078009B">
        <w:rPr>
          <w:rFonts w:ascii="宋体" w:hAnsi="宋体" w:hint="eastAsia"/>
          <w:sz w:val="24"/>
        </w:rPr>
        <w:t>%年费率</w:t>
      </w:r>
      <w:r w:rsidRPr="00023102">
        <w:rPr>
          <w:rFonts w:ascii="宋体" w:hAnsi="宋体" w:hint="eastAsia"/>
          <w:sz w:val="24"/>
        </w:rPr>
        <w:t>每日</w:t>
      </w:r>
      <w:r w:rsidRPr="0078009B">
        <w:rPr>
          <w:rFonts w:ascii="宋体" w:hAnsi="宋体" w:hint="eastAsia"/>
          <w:sz w:val="24"/>
        </w:rPr>
        <w:t>计提。</w:t>
      </w:r>
      <w:r w:rsidRPr="009458C2">
        <w:rPr>
          <w:rFonts w:ascii="宋体" w:hAnsi="宋体" w:hint="eastAsia"/>
          <w:sz w:val="24"/>
        </w:rPr>
        <w:t>固定</w:t>
      </w:r>
      <w:r w:rsidRPr="0078009B">
        <w:rPr>
          <w:rFonts w:ascii="宋体" w:hAnsi="宋体" w:hint="eastAsia"/>
          <w:sz w:val="24"/>
        </w:rPr>
        <w:t>管理费的计算方法如下：</w:t>
      </w:r>
    </w:p>
    <w:p w14:paraId="0B7312E7" w14:textId="4D6DB257" w:rsidR="002669DE" w:rsidRPr="0078009B" w:rsidRDefault="002669DE" w:rsidP="00F93683">
      <w:pPr>
        <w:adjustRightInd w:val="0"/>
        <w:snapToGrid w:val="0"/>
        <w:spacing w:line="360" w:lineRule="auto"/>
        <w:ind w:left="60" w:firstLine="420"/>
        <w:rPr>
          <w:rFonts w:ascii="宋体" w:hAnsi="宋体"/>
          <w:sz w:val="24"/>
        </w:rPr>
      </w:pPr>
      <w:r w:rsidRPr="00023102">
        <w:rPr>
          <w:rFonts w:hint="eastAsia"/>
          <w:bCs/>
          <w:sz w:val="24"/>
          <w14:ligatures w14:val="standardContextual"/>
        </w:rPr>
        <w:t>H</w:t>
      </w:r>
      <w:r w:rsidRPr="00023102">
        <w:rPr>
          <w:rFonts w:hint="eastAsia"/>
          <w:bCs/>
          <w:sz w:val="24"/>
          <w:vertAlign w:val="subscript"/>
          <w14:ligatures w14:val="standardContextual"/>
        </w:rPr>
        <w:t>1</w:t>
      </w:r>
      <w:r w:rsidRPr="0078009B">
        <w:rPr>
          <w:rFonts w:ascii="宋体" w:hAnsi="宋体" w:hint="eastAsia"/>
          <w:sz w:val="24"/>
        </w:rPr>
        <w:t>＝E×</w:t>
      </w:r>
      <w:r w:rsidRPr="00023102">
        <w:rPr>
          <w:rFonts w:ascii="宋体" w:hAnsi="宋体" w:hint="eastAsia"/>
          <w:sz w:val="24"/>
        </w:rPr>
        <w:t>0.60</w:t>
      </w:r>
      <w:r w:rsidRPr="0078009B">
        <w:rPr>
          <w:rFonts w:ascii="宋体" w:hAnsi="宋体" w:hint="eastAsia"/>
          <w:sz w:val="24"/>
        </w:rPr>
        <w:t>%÷当年天数</w:t>
      </w:r>
    </w:p>
    <w:p w14:paraId="58A8EB34" w14:textId="5F608FFE" w:rsidR="002669DE" w:rsidRPr="0078009B" w:rsidRDefault="002669DE" w:rsidP="00F93683">
      <w:pPr>
        <w:adjustRightInd w:val="0"/>
        <w:snapToGrid w:val="0"/>
        <w:spacing w:line="360" w:lineRule="auto"/>
        <w:ind w:left="60" w:firstLine="420"/>
        <w:rPr>
          <w:rFonts w:ascii="宋体" w:hAnsi="宋体"/>
          <w:sz w:val="24"/>
        </w:rPr>
      </w:pPr>
      <w:r w:rsidRPr="00023102">
        <w:rPr>
          <w:rFonts w:hint="eastAsia"/>
          <w:bCs/>
          <w:sz w:val="24"/>
          <w14:ligatures w14:val="standardContextual"/>
        </w:rPr>
        <w:t>H</w:t>
      </w:r>
      <w:r w:rsidRPr="00023102">
        <w:rPr>
          <w:rFonts w:hint="eastAsia"/>
          <w:bCs/>
          <w:sz w:val="24"/>
          <w:vertAlign w:val="subscript"/>
          <w14:ligatures w14:val="standardContextual"/>
        </w:rPr>
        <w:t>1</w:t>
      </w:r>
      <w:r w:rsidRPr="0078009B">
        <w:rPr>
          <w:rFonts w:ascii="宋体" w:hAnsi="宋体"/>
          <w:sz w:val="24"/>
        </w:rPr>
        <w:t>为每日应计提的</w:t>
      </w:r>
      <w:r w:rsidRPr="00023102">
        <w:rPr>
          <w:rFonts w:ascii="宋体" w:hAnsi="宋体"/>
          <w:sz w:val="24"/>
        </w:rPr>
        <w:t>固定</w:t>
      </w:r>
      <w:r w:rsidRPr="0078009B">
        <w:rPr>
          <w:rFonts w:ascii="宋体" w:hAnsi="宋体"/>
          <w:sz w:val="24"/>
        </w:rPr>
        <w:t>管理费</w:t>
      </w:r>
    </w:p>
    <w:p w14:paraId="63540813" w14:textId="77777777" w:rsidR="002669DE" w:rsidRPr="0078009B" w:rsidRDefault="002669DE" w:rsidP="00F93683">
      <w:pPr>
        <w:adjustRightInd w:val="0"/>
        <w:snapToGrid w:val="0"/>
        <w:spacing w:line="360" w:lineRule="auto"/>
        <w:ind w:left="60" w:firstLine="420"/>
        <w:rPr>
          <w:rFonts w:ascii="宋体" w:hAnsi="宋体"/>
          <w:sz w:val="24"/>
        </w:rPr>
      </w:pPr>
      <w:r w:rsidRPr="0078009B">
        <w:rPr>
          <w:rFonts w:ascii="宋体" w:hAnsi="宋体" w:hint="eastAsia"/>
          <w:sz w:val="24"/>
        </w:rPr>
        <w:t>E为前一日的基金资产净值</w:t>
      </w:r>
    </w:p>
    <w:p w14:paraId="29C6A71B"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固定</w:t>
      </w:r>
      <w:r w:rsidRPr="0078009B">
        <w:rPr>
          <w:rFonts w:ascii="宋体" w:hAnsi="宋体" w:hint="eastAsia"/>
          <w:sz w:val="24"/>
        </w:rPr>
        <w:t>管理费每日</w:t>
      </w:r>
      <w:r w:rsidRPr="00023102">
        <w:rPr>
          <w:rFonts w:ascii="宋体" w:hAnsi="宋体" w:hint="eastAsia"/>
          <w:sz w:val="24"/>
        </w:rPr>
        <w:t>计提</w:t>
      </w:r>
      <w:r w:rsidRPr="0078009B">
        <w:rPr>
          <w:rFonts w:ascii="宋体" w:hAnsi="宋体" w:hint="eastAsia"/>
          <w:sz w:val="24"/>
        </w:rPr>
        <w:t>，逐日累计至</w:t>
      </w:r>
      <w:r w:rsidRPr="00023102">
        <w:rPr>
          <w:rFonts w:ascii="宋体" w:hAnsi="宋体" w:hint="eastAsia"/>
          <w:sz w:val="24"/>
        </w:rPr>
        <w:t>每个</w:t>
      </w:r>
      <w:r w:rsidRPr="0078009B">
        <w:rPr>
          <w:rFonts w:ascii="宋体" w:hAnsi="宋体" w:hint="eastAsia"/>
          <w:sz w:val="24"/>
        </w:rPr>
        <w:t>月月末，按月支付</w:t>
      </w:r>
      <w:r w:rsidRPr="00023102">
        <w:rPr>
          <w:rFonts w:ascii="宋体" w:hAnsi="宋体" w:hint="eastAsia"/>
          <w:sz w:val="24"/>
        </w:rPr>
        <w:t>。</w:t>
      </w:r>
      <w:r w:rsidRPr="00AD4F46">
        <w:rPr>
          <w:rFonts w:hint="eastAsia"/>
          <w:bCs/>
          <w:sz w:val="24"/>
        </w:rPr>
        <w:t>由基金管理人与基金托管人核对一致后，基金托管人按照与基金管理人协商一致的方式</w:t>
      </w:r>
      <w:r w:rsidRPr="0078009B">
        <w:rPr>
          <w:rFonts w:ascii="宋体" w:hAnsi="宋体" w:hint="eastAsia"/>
          <w:sz w:val="24"/>
        </w:rPr>
        <w:t>在次</w:t>
      </w:r>
      <w:r w:rsidRPr="00023102">
        <w:rPr>
          <w:rFonts w:ascii="宋体" w:hAnsi="宋体" w:hint="eastAsia"/>
          <w:sz w:val="24"/>
        </w:rPr>
        <w:t>月初五</w:t>
      </w:r>
      <w:proofErr w:type="gramStart"/>
      <w:r w:rsidRPr="0078009B">
        <w:rPr>
          <w:rFonts w:ascii="宋体" w:hAnsi="宋体" w:hint="eastAsia"/>
          <w:sz w:val="24"/>
        </w:rPr>
        <w:t>个</w:t>
      </w:r>
      <w:proofErr w:type="gramEnd"/>
      <w:r w:rsidRPr="0078009B">
        <w:rPr>
          <w:rFonts w:ascii="宋体" w:hAnsi="宋体" w:hint="eastAsia"/>
          <w:sz w:val="24"/>
        </w:rPr>
        <w:t>工作日内</w:t>
      </w:r>
      <w:r w:rsidRPr="00023102">
        <w:rPr>
          <w:rFonts w:ascii="宋体" w:hAnsi="宋体" w:hint="eastAsia"/>
          <w:sz w:val="24"/>
        </w:rPr>
        <w:t>、</w:t>
      </w:r>
      <w:r w:rsidRPr="0078009B">
        <w:rPr>
          <w:rFonts w:ascii="宋体" w:hAnsi="宋体" w:hint="eastAsia"/>
          <w:sz w:val="24"/>
        </w:rPr>
        <w:t>按照指定的账户路径</w:t>
      </w:r>
      <w:r w:rsidRPr="00023102">
        <w:rPr>
          <w:rFonts w:ascii="宋体" w:hAnsi="宋体" w:hint="eastAsia"/>
          <w:sz w:val="24"/>
        </w:rPr>
        <w:t>进行</w:t>
      </w:r>
      <w:r w:rsidRPr="0078009B">
        <w:rPr>
          <w:rFonts w:ascii="宋体" w:hAnsi="宋体" w:hint="eastAsia"/>
          <w:sz w:val="24"/>
        </w:rPr>
        <w:t>资金</w:t>
      </w:r>
      <w:r w:rsidRPr="00023102">
        <w:rPr>
          <w:rFonts w:ascii="宋体" w:hAnsi="宋体" w:hint="eastAsia"/>
          <w:sz w:val="24"/>
        </w:rPr>
        <w:t>支付</w:t>
      </w:r>
      <w:r w:rsidRPr="0078009B">
        <w:rPr>
          <w:rFonts w:ascii="宋体" w:hAnsi="宋体" w:hint="eastAsia"/>
          <w:sz w:val="24"/>
        </w:rPr>
        <w:t>。若遇法定节假日、</w:t>
      </w:r>
      <w:r w:rsidRPr="00023102">
        <w:rPr>
          <w:rFonts w:ascii="宋体" w:hAnsi="宋体" w:hint="eastAsia"/>
          <w:sz w:val="24"/>
        </w:rPr>
        <w:t>休息</w:t>
      </w:r>
      <w:r w:rsidRPr="0078009B">
        <w:rPr>
          <w:rFonts w:ascii="宋体" w:hAnsi="宋体" w:hint="eastAsia"/>
          <w:sz w:val="24"/>
        </w:rPr>
        <w:t>日等，支付日期顺延。费用扣划后，</w:t>
      </w:r>
      <w:r w:rsidRPr="00023102">
        <w:rPr>
          <w:rFonts w:ascii="宋体" w:hAnsi="宋体" w:hint="eastAsia"/>
          <w:sz w:val="24"/>
        </w:rPr>
        <w:t>基金</w:t>
      </w:r>
      <w:r w:rsidRPr="0078009B">
        <w:rPr>
          <w:rFonts w:ascii="宋体" w:hAnsi="宋体" w:hint="eastAsia"/>
          <w:sz w:val="24"/>
        </w:rPr>
        <w:t>管理人应进行核对，如发现数据不符，及时联系</w:t>
      </w:r>
      <w:r w:rsidRPr="00023102">
        <w:rPr>
          <w:rFonts w:ascii="宋体" w:hAnsi="宋体" w:hint="eastAsia"/>
          <w:sz w:val="24"/>
        </w:rPr>
        <w:t>基金</w:t>
      </w:r>
      <w:r w:rsidRPr="0078009B">
        <w:rPr>
          <w:rFonts w:ascii="宋体" w:hAnsi="宋体" w:hint="eastAsia"/>
          <w:sz w:val="24"/>
        </w:rPr>
        <w:t>托管人协商解决</w:t>
      </w:r>
      <w:r w:rsidRPr="00023102">
        <w:rPr>
          <w:rFonts w:ascii="宋体" w:hAnsi="宋体" w:hint="eastAsia"/>
          <w:sz w:val="24"/>
        </w:rPr>
        <w:t>。</w:t>
      </w:r>
    </w:p>
    <w:p w14:paraId="4505875B"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（2）或有管理费</w:t>
      </w:r>
      <w:r w:rsidRPr="00023102">
        <w:rPr>
          <w:rFonts w:ascii="宋体" w:hAnsi="宋体"/>
          <w:sz w:val="24"/>
        </w:rPr>
        <w:t>和超额管理费</w:t>
      </w:r>
    </w:p>
    <w:p w14:paraId="00269204"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或有管理费按前一日基金资产净值的0.60%年费率每日计提。</w:t>
      </w:r>
      <w:r w:rsidRPr="00023102">
        <w:rPr>
          <w:rFonts w:hint="eastAsia"/>
          <w:bCs/>
          <w:sz w:val="24"/>
          <w14:ligatures w14:val="standardContextual"/>
        </w:rPr>
        <w:t>或有管理费的</w:t>
      </w:r>
      <w:r w:rsidRPr="00023102">
        <w:rPr>
          <w:rFonts w:ascii="宋体" w:hAnsi="宋体" w:hint="eastAsia"/>
          <w:sz w:val="24"/>
        </w:rPr>
        <w:t>计算方法如下：</w:t>
      </w:r>
    </w:p>
    <w:p w14:paraId="62BC62C4"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hint="eastAsia"/>
          <w:bCs/>
          <w:sz w:val="24"/>
          <w14:ligatures w14:val="standardContextual"/>
        </w:rPr>
        <w:t>H</w:t>
      </w:r>
      <w:r w:rsidRPr="00023102">
        <w:rPr>
          <w:rFonts w:hint="eastAsia"/>
          <w:bCs/>
          <w:sz w:val="24"/>
          <w:vertAlign w:val="subscript"/>
          <w14:ligatures w14:val="standardContextual"/>
        </w:rPr>
        <w:t>2</w:t>
      </w:r>
      <w:r w:rsidRPr="00023102">
        <w:rPr>
          <w:rFonts w:ascii="宋体" w:hAnsi="宋体" w:hint="eastAsia"/>
          <w:sz w:val="24"/>
        </w:rPr>
        <w:t>＝E×0.60%÷当年天数</w:t>
      </w:r>
    </w:p>
    <w:p w14:paraId="7025E5B3"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hint="eastAsia"/>
          <w:bCs/>
          <w:sz w:val="24"/>
          <w14:ligatures w14:val="standardContextual"/>
        </w:rPr>
        <w:t>H</w:t>
      </w:r>
      <w:r w:rsidRPr="00023102">
        <w:rPr>
          <w:rFonts w:hint="eastAsia"/>
          <w:bCs/>
          <w:sz w:val="24"/>
          <w:vertAlign w:val="subscript"/>
          <w14:ligatures w14:val="standardContextual"/>
        </w:rPr>
        <w:t>2</w:t>
      </w:r>
      <w:r w:rsidRPr="00023102">
        <w:rPr>
          <w:rFonts w:ascii="宋体" w:hAnsi="宋体" w:hint="eastAsia"/>
          <w:sz w:val="24"/>
        </w:rPr>
        <w:t>为每日应计提的或有管理费</w:t>
      </w:r>
    </w:p>
    <w:p w14:paraId="78E9ECD9"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E为前一日的基金资产净值</w:t>
      </w:r>
    </w:p>
    <w:p w14:paraId="41304588" w14:textId="77777777" w:rsidR="002669DE" w:rsidRPr="00023102" w:rsidRDefault="002669DE" w:rsidP="002669DE">
      <w:pPr>
        <w:spacing w:line="360" w:lineRule="auto"/>
        <w:ind w:firstLineChars="200" w:firstLine="480"/>
        <w:rPr>
          <w:bCs/>
          <w:sz w:val="24"/>
          <w14:ligatures w14:val="standardContextual"/>
        </w:rPr>
      </w:pPr>
      <w:r w:rsidRPr="009458C2">
        <w:rPr>
          <w:rFonts w:hint="eastAsia"/>
          <w:bCs/>
          <w:sz w:val="24"/>
          <w14:ligatures w14:val="standardContextual"/>
        </w:rPr>
        <w:t>投资者赎回、转出基金份额或基金合同终止的情形发生时，</w:t>
      </w:r>
      <w:r w:rsidRPr="00023102">
        <w:rPr>
          <w:rFonts w:hint="eastAsia"/>
          <w:bCs/>
          <w:sz w:val="24"/>
          <w14:ligatures w14:val="standardContextual"/>
        </w:rPr>
        <w:t>若该笔基金份额持有天数达到或超过</w:t>
      </w:r>
      <w:r w:rsidRPr="00023102">
        <w:rPr>
          <w:rFonts w:hint="eastAsia"/>
          <w:bCs/>
          <w:sz w:val="24"/>
          <w14:ligatures w14:val="standardContextual"/>
        </w:rPr>
        <w:t>365</w:t>
      </w:r>
      <w:r w:rsidRPr="00023102">
        <w:rPr>
          <w:rFonts w:hint="eastAsia"/>
          <w:bCs/>
          <w:sz w:val="24"/>
          <w14:ligatures w14:val="standardContextual"/>
        </w:rPr>
        <w:t>天，且该笔基金份额的持有收益率</w:t>
      </w:r>
      <w:r w:rsidRPr="00023102">
        <w:rPr>
          <w:rFonts w:hint="eastAsia"/>
          <w:bCs/>
          <w:sz w:val="24"/>
          <w14:ligatures w14:val="standardContextual"/>
        </w:rPr>
        <w:t>R</w:t>
      </w:r>
      <w:r w:rsidRPr="00023102">
        <w:rPr>
          <w:rFonts w:hint="eastAsia"/>
          <w:bCs/>
          <w:sz w:val="24"/>
          <w14:ligatures w14:val="standardContextual"/>
        </w:rPr>
        <w:t>符合下表“情形一”的收取情形，或有管理费为</w:t>
      </w:r>
      <w:r w:rsidRPr="00023102">
        <w:rPr>
          <w:rFonts w:hint="eastAsia"/>
          <w:bCs/>
          <w:sz w:val="24"/>
          <w14:ligatures w14:val="standardContextual"/>
        </w:rPr>
        <w:t>0</w:t>
      </w:r>
      <w:r w:rsidRPr="00023102">
        <w:rPr>
          <w:rFonts w:hint="eastAsia"/>
          <w:bCs/>
          <w:sz w:val="24"/>
          <w14:ligatures w14:val="standardContextual"/>
        </w:rPr>
        <w:t>，则该笔基金份额持有期内计提的或有管理费</w:t>
      </w:r>
      <w:r w:rsidRPr="009458C2">
        <w:rPr>
          <w:rFonts w:hint="eastAsia"/>
          <w:bCs/>
          <w:sz w:val="24"/>
          <w14:ligatures w14:val="standardContextual"/>
        </w:rPr>
        <w:t>将全额随赎回款（或清算款）一并返还给投资者</w:t>
      </w:r>
      <w:r w:rsidRPr="00023102">
        <w:rPr>
          <w:rFonts w:hint="eastAsia"/>
          <w:bCs/>
          <w:sz w:val="24"/>
          <w14:ligatures w14:val="standardContextual"/>
        </w:rPr>
        <w:t>；在其他情形下，该笔基金份额持有期内计提的或有管理费应确认为应由管理人收取的管理费。</w:t>
      </w:r>
    </w:p>
    <w:p w14:paraId="73E84041" w14:textId="77777777" w:rsidR="002669DE" w:rsidRPr="00023102" w:rsidRDefault="002669DE" w:rsidP="002669DE">
      <w:pPr>
        <w:spacing w:line="360" w:lineRule="auto"/>
        <w:ind w:firstLineChars="200" w:firstLine="480"/>
        <w:rPr>
          <w:bCs/>
          <w:sz w:val="24"/>
          <w14:ligatures w14:val="standardContextual"/>
        </w:rPr>
      </w:pPr>
      <w:r w:rsidRPr="00023102">
        <w:rPr>
          <w:rFonts w:hint="eastAsia"/>
          <w:bCs/>
          <w:sz w:val="24"/>
          <w14:ligatures w14:val="standardContextual"/>
        </w:rPr>
        <w:t>本基金每日预估计算并记录每笔基金份额的超额管理费，基金超额管理费的预估计算方法如下：</w:t>
      </w:r>
    </w:p>
    <w:p w14:paraId="2FF5F341" w14:textId="77777777" w:rsidR="002669DE" w:rsidRPr="00023102" w:rsidRDefault="002669DE" w:rsidP="002669DE">
      <w:pPr>
        <w:spacing w:line="360" w:lineRule="auto"/>
        <w:ind w:firstLineChars="200" w:firstLine="480"/>
        <w:rPr>
          <w:bCs/>
          <w:sz w:val="24"/>
          <w14:ligatures w14:val="standardContextual"/>
        </w:rPr>
      </w:pPr>
      <w:r w:rsidRPr="00023102">
        <w:rPr>
          <w:rFonts w:hint="eastAsia"/>
          <w:bCs/>
          <w:sz w:val="24"/>
          <w14:ligatures w14:val="standardContextual"/>
        </w:rPr>
        <w:t>H</w:t>
      </w:r>
      <w:r w:rsidRPr="00023102">
        <w:rPr>
          <w:rFonts w:hint="eastAsia"/>
          <w:bCs/>
          <w:sz w:val="24"/>
          <w:vertAlign w:val="subscript"/>
          <w14:ligatures w14:val="standardContextual"/>
        </w:rPr>
        <w:t>3</w:t>
      </w:r>
      <w:r w:rsidRPr="00023102">
        <w:rPr>
          <w:rFonts w:hint="eastAsia"/>
          <w:bCs/>
          <w:sz w:val="24"/>
          <w14:ligatures w14:val="standardContextual"/>
        </w:rPr>
        <w:t>＝</w:t>
      </w:r>
      <w:r w:rsidRPr="00023102">
        <w:rPr>
          <w:rFonts w:hint="eastAsia"/>
          <w:bCs/>
          <w:sz w:val="24"/>
          <w14:ligatures w14:val="standardContextual"/>
        </w:rPr>
        <w:t>E</w:t>
      </w:r>
      <w:r w:rsidRPr="00023102">
        <w:rPr>
          <w:rFonts w:hint="eastAsia"/>
          <w:bCs/>
          <w:sz w:val="24"/>
          <w14:ligatures w14:val="standardContextual"/>
        </w:rPr>
        <w:t>×</w:t>
      </w:r>
      <w:r w:rsidRPr="00023102">
        <w:rPr>
          <w:rFonts w:hint="eastAsia"/>
          <w:bCs/>
          <w:sz w:val="24"/>
          <w14:ligatures w14:val="standardContextual"/>
        </w:rPr>
        <w:t>0.30%</w:t>
      </w:r>
      <w:r w:rsidRPr="00023102">
        <w:rPr>
          <w:rFonts w:hint="eastAsia"/>
          <w:bCs/>
          <w:sz w:val="24"/>
          <w14:ligatures w14:val="standardContextual"/>
        </w:rPr>
        <w:t>÷当年天数</w:t>
      </w:r>
    </w:p>
    <w:p w14:paraId="0981BEFC" w14:textId="77777777" w:rsidR="002669DE" w:rsidRPr="00023102" w:rsidRDefault="002669DE" w:rsidP="002669DE">
      <w:pPr>
        <w:spacing w:line="360" w:lineRule="auto"/>
        <w:ind w:firstLineChars="200" w:firstLine="480"/>
        <w:rPr>
          <w:bCs/>
          <w:sz w:val="24"/>
          <w14:ligatures w14:val="standardContextual"/>
        </w:rPr>
      </w:pPr>
      <w:r w:rsidRPr="00023102">
        <w:rPr>
          <w:rFonts w:hint="eastAsia"/>
          <w:bCs/>
          <w:sz w:val="24"/>
          <w14:ligatures w14:val="standardContextual"/>
        </w:rPr>
        <w:t>H</w:t>
      </w:r>
      <w:r w:rsidRPr="00023102">
        <w:rPr>
          <w:rFonts w:hint="eastAsia"/>
          <w:bCs/>
          <w:sz w:val="24"/>
          <w:vertAlign w:val="subscript"/>
          <w14:ligatures w14:val="standardContextual"/>
        </w:rPr>
        <w:t>3</w:t>
      </w:r>
      <w:r w:rsidRPr="00023102">
        <w:rPr>
          <w:rFonts w:hint="eastAsia"/>
          <w:bCs/>
          <w:sz w:val="24"/>
          <w14:ligatures w14:val="standardContextual"/>
        </w:rPr>
        <w:t>为每日预估计算的基金超额管理费</w:t>
      </w:r>
    </w:p>
    <w:p w14:paraId="51889021" w14:textId="77777777" w:rsidR="002669DE" w:rsidRPr="0078009B" w:rsidRDefault="002669DE" w:rsidP="002669DE">
      <w:pPr>
        <w:spacing w:line="360" w:lineRule="auto"/>
        <w:ind w:firstLineChars="200" w:firstLine="480"/>
        <w:rPr>
          <w:sz w:val="24"/>
          <w14:ligatures w14:val="standardContextual"/>
        </w:rPr>
      </w:pPr>
      <w:r w:rsidRPr="0078009B">
        <w:rPr>
          <w:rFonts w:hint="eastAsia"/>
          <w:sz w:val="24"/>
          <w14:ligatures w14:val="standardContextual"/>
        </w:rPr>
        <w:t>E</w:t>
      </w:r>
      <w:r w:rsidRPr="0078009B">
        <w:rPr>
          <w:rFonts w:hint="eastAsia"/>
          <w:sz w:val="24"/>
          <w14:ligatures w14:val="standardContextual"/>
        </w:rPr>
        <w:t>为前一日的基金资产净值</w:t>
      </w:r>
    </w:p>
    <w:p w14:paraId="7F0E1FDF" w14:textId="77777777" w:rsidR="002669DE" w:rsidRPr="00023102" w:rsidRDefault="002669DE" w:rsidP="002669DE">
      <w:pPr>
        <w:adjustRightInd w:val="0"/>
        <w:snapToGrid w:val="0"/>
        <w:spacing w:line="360" w:lineRule="auto"/>
        <w:ind w:left="60" w:firstLine="420"/>
        <w:rPr>
          <w:bCs/>
          <w:sz w:val="24"/>
          <w14:ligatures w14:val="standardContextual"/>
        </w:rPr>
      </w:pPr>
      <w:r w:rsidRPr="00023102">
        <w:rPr>
          <w:rFonts w:hint="eastAsia"/>
          <w:bCs/>
          <w:sz w:val="24"/>
          <w14:ligatures w14:val="standardContextual"/>
        </w:rPr>
        <w:t>每笔基金份额的超额管理费每日预估计算，但不从基金资产中实际计提，逐日累计。</w:t>
      </w:r>
      <w:r w:rsidRPr="009458C2">
        <w:rPr>
          <w:rFonts w:hint="eastAsia"/>
          <w:bCs/>
          <w:sz w:val="24"/>
          <w14:ligatures w14:val="standardContextual"/>
        </w:rPr>
        <w:t>投资者赎回、转出基金份额或基金合同终止的情形发生时，</w:t>
      </w:r>
      <w:r w:rsidRPr="00023102">
        <w:rPr>
          <w:rFonts w:hint="eastAsia"/>
          <w:bCs/>
          <w:sz w:val="24"/>
          <w14:ligatures w14:val="standardContextual"/>
        </w:rPr>
        <w:t>当且仅当该笔基金份额持有天数达到或超过</w:t>
      </w:r>
      <w:r w:rsidRPr="00023102">
        <w:rPr>
          <w:rFonts w:hint="eastAsia"/>
          <w:bCs/>
          <w:sz w:val="24"/>
          <w14:ligatures w14:val="standardContextual"/>
        </w:rPr>
        <w:t>365</w:t>
      </w:r>
      <w:r w:rsidRPr="00023102">
        <w:rPr>
          <w:rFonts w:hint="eastAsia"/>
          <w:bCs/>
          <w:sz w:val="24"/>
          <w14:ligatures w14:val="standardContextual"/>
        </w:rPr>
        <w:t>天，且该笔基金份额</w:t>
      </w:r>
      <w:proofErr w:type="gramStart"/>
      <w:r w:rsidRPr="00023102">
        <w:rPr>
          <w:rFonts w:hint="eastAsia"/>
          <w:bCs/>
          <w:sz w:val="24"/>
          <w14:ligatures w14:val="standardContextual"/>
        </w:rPr>
        <w:t>的年化收益率</w:t>
      </w:r>
      <w:proofErr w:type="gramEnd"/>
      <w:r w:rsidRPr="00023102">
        <w:rPr>
          <w:rFonts w:hint="eastAsia"/>
          <w:bCs/>
          <w:sz w:val="24"/>
          <w14:ligatures w14:val="standardContextual"/>
        </w:rPr>
        <w:t>（</w:t>
      </w:r>
      <w:r w:rsidRPr="00023102">
        <w:rPr>
          <w:rFonts w:hint="eastAsia"/>
          <w:bCs/>
          <w:sz w:val="24"/>
          <w14:ligatures w14:val="standardContextual"/>
        </w:rPr>
        <w:t>R</w:t>
      </w:r>
      <w:r w:rsidRPr="00023102">
        <w:rPr>
          <w:rFonts w:hint="eastAsia"/>
          <w:bCs/>
          <w:sz w:val="24"/>
          <w14:ligatures w14:val="standardContextual"/>
        </w:rPr>
        <w:t>）符合下表“情形三”的收取情形，将从该笔基金份额的赎回款（或清算款）中扣除</w:t>
      </w:r>
      <w:r w:rsidRPr="00023102">
        <w:rPr>
          <w:rFonts w:hint="eastAsia"/>
          <w:bCs/>
          <w:sz w:val="24"/>
          <w14:ligatures w14:val="standardContextual"/>
        </w:rPr>
        <w:t>0.30%</w:t>
      </w:r>
      <w:r w:rsidRPr="00023102">
        <w:rPr>
          <w:rFonts w:hint="eastAsia"/>
          <w:bCs/>
          <w:sz w:val="24"/>
          <w14:ligatures w14:val="standardContextual"/>
        </w:rPr>
        <w:lastRenderedPageBreak/>
        <w:t>年费率的超额管理费，并随已计提的或有管理费一同确认为应由管理人收取的管理费。</w:t>
      </w:r>
    </w:p>
    <w:p w14:paraId="5BE99EB4" w14:textId="77777777" w:rsidR="002669DE" w:rsidRPr="00023102" w:rsidRDefault="002669DE" w:rsidP="002669DE">
      <w:pPr>
        <w:spacing w:line="360" w:lineRule="auto"/>
        <w:ind w:firstLineChars="200" w:firstLine="480"/>
        <w:rPr>
          <w:bCs/>
          <w:sz w:val="24"/>
          <w14:ligatures w14:val="standardContextual"/>
        </w:rPr>
      </w:pPr>
      <w:r w:rsidRPr="00023102">
        <w:rPr>
          <w:rFonts w:hint="eastAsia"/>
          <w:bCs/>
          <w:sz w:val="24"/>
          <w14:ligatures w14:val="standardContextual"/>
        </w:rPr>
        <w:t>当投资者赎回、转出基金份额或基金合同终止的情形发生时，</w:t>
      </w:r>
      <w:r w:rsidRPr="009458C2">
        <w:rPr>
          <w:rFonts w:hint="eastAsia"/>
          <w:bCs/>
          <w:sz w:val="24"/>
          <w14:ligatures w14:val="standardContextual"/>
        </w:rPr>
        <w:t>基金份额持有天数达到或超过</w:t>
      </w:r>
      <w:r w:rsidRPr="009458C2">
        <w:rPr>
          <w:rFonts w:hint="eastAsia"/>
          <w:bCs/>
          <w:sz w:val="24"/>
          <w14:ligatures w14:val="standardContextual"/>
        </w:rPr>
        <w:t>365</w:t>
      </w:r>
      <w:r w:rsidRPr="009458C2">
        <w:rPr>
          <w:rFonts w:hint="eastAsia"/>
          <w:bCs/>
          <w:sz w:val="24"/>
          <w14:ligatures w14:val="standardContextual"/>
        </w:rPr>
        <w:t>天，</w:t>
      </w:r>
      <w:r w:rsidRPr="00023102">
        <w:rPr>
          <w:rFonts w:hint="eastAsia"/>
          <w:bCs/>
          <w:sz w:val="24"/>
          <w14:ligatures w14:val="standardContextual"/>
        </w:rPr>
        <w:t>本基金根据以下三种情形确认</w:t>
      </w:r>
      <w:proofErr w:type="gramStart"/>
      <w:r w:rsidRPr="00023102">
        <w:rPr>
          <w:rFonts w:hint="eastAsia"/>
          <w:bCs/>
          <w:sz w:val="24"/>
          <w14:ligatures w14:val="standardContextual"/>
        </w:rPr>
        <w:t>应实际</w:t>
      </w:r>
      <w:proofErr w:type="gramEnd"/>
      <w:r w:rsidRPr="00023102">
        <w:rPr>
          <w:rFonts w:hint="eastAsia"/>
          <w:bCs/>
          <w:sz w:val="24"/>
          <w14:ligatures w14:val="standardContextual"/>
        </w:rPr>
        <w:t>收取的或有管理费和超额管理费：</w:t>
      </w:r>
    </w:p>
    <w:tbl>
      <w:tblPr>
        <w:tblStyle w:val="130"/>
        <w:tblW w:w="7582" w:type="dxa"/>
        <w:jc w:val="center"/>
        <w:tblLook w:val="04A0" w:firstRow="1" w:lastRow="0" w:firstColumn="1" w:lastColumn="0" w:noHBand="0" w:noVBand="1"/>
      </w:tblPr>
      <w:tblGrid>
        <w:gridCol w:w="1247"/>
        <w:gridCol w:w="2933"/>
        <w:gridCol w:w="1701"/>
        <w:gridCol w:w="1701"/>
      </w:tblGrid>
      <w:tr w:rsidR="002669DE" w:rsidRPr="00023102" w14:paraId="39B19DD6" w14:textId="77777777" w:rsidTr="001324A0">
        <w:trPr>
          <w:trHeight w:val="510"/>
          <w:jc w:val="center"/>
        </w:trPr>
        <w:tc>
          <w:tcPr>
            <w:tcW w:w="1247" w:type="dxa"/>
            <w:vAlign w:val="center"/>
          </w:tcPr>
          <w:p w14:paraId="2C7A406D" w14:textId="77777777" w:rsidR="002669DE" w:rsidRPr="00023102" w:rsidRDefault="002669DE" w:rsidP="001324A0">
            <w:pPr>
              <w:jc w:val="center"/>
              <w:rPr>
                <w:rFonts w:ascii="宋体" w:hAnsi="宋体"/>
                <w:b/>
                <w:bCs/>
                <w:kern w:val="0"/>
                <w:sz w:val="22"/>
                <w:szCs w:val="22"/>
              </w:rPr>
            </w:pPr>
            <w:bookmarkStart w:id="100" w:name="_Hlk195865040"/>
            <w:r w:rsidRPr="00023102">
              <w:rPr>
                <w:rFonts w:ascii="宋体" w:hAnsi="宋体" w:hint="eastAsia"/>
                <w:b/>
                <w:bCs/>
                <w:kern w:val="0"/>
                <w:sz w:val="22"/>
                <w:szCs w:val="22"/>
              </w:rPr>
              <w:t>收取情形</w:t>
            </w:r>
          </w:p>
        </w:tc>
        <w:tc>
          <w:tcPr>
            <w:tcW w:w="2933" w:type="dxa"/>
            <w:vAlign w:val="center"/>
          </w:tcPr>
          <w:p w14:paraId="690651B0" w14:textId="77777777" w:rsidR="002669DE" w:rsidRPr="00023102" w:rsidRDefault="002669DE" w:rsidP="001324A0">
            <w:pPr>
              <w:jc w:val="center"/>
              <w:rPr>
                <w:rFonts w:ascii="宋体" w:hAnsi="宋体"/>
                <w:b/>
                <w:bCs/>
                <w:kern w:val="0"/>
                <w:sz w:val="22"/>
                <w:szCs w:val="22"/>
              </w:rPr>
            </w:pPr>
            <w:proofErr w:type="gramStart"/>
            <w:r w:rsidRPr="00023102">
              <w:rPr>
                <w:rFonts w:ascii="宋体" w:hAnsi="宋体" w:hint="eastAsia"/>
                <w:b/>
                <w:bCs/>
                <w:kern w:val="0"/>
                <w:sz w:val="22"/>
                <w:szCs w:val="22"/>
              </w:rPr>
              <w:t>年化收益率</w:t>
            </w:r>
            <w:proofErr w:type="gramEnd"/>
            <w:r w:rsidRPr="00023102">
              <w:rPr>
                <w:rFonts w:ascii="宋体" w:hAnsi="宋体" w:hint="eastAsia"/>
                <w:b/>
                <w:bCs/>
                <w:kern w:val="0"/>
                <w:sz w:val="22"/>
                <w:szCs w:val="22"/>
              </w:rPr>
              <w:t>（</w:t>
            </w:r>
            <w:r w:rsidRPr="00023102">
              <w:rPr>
                <w:rFonts w:ascii="宋体" w:hAnsi="宋体"/>
                <w:b/>
                <w:bCs/>
                <w:kern w:val="0"/>
                <w:sz w:val="22"/>
                <w:szCs w:val="22"/>
              </w:rPr>
              <w:t>R</w:t>
            </w:r>
            <w:r w:rsidRPr="00023102">
              <w:rPr>
                <w:rFonts w:ascii="宋体" w:hAnsi="宋体" w:hint="eastAsia"/>
                <w:b/>
                <w:bCs/>
                <w:kern w:val="0"/>
                <w:sz w:val="22"/>
                <w:szCs w:val="22"/>
              </w:rPr>
              <w:t>）</w:t>
            </w:r>
          </w:p>
        </w:tc>
        <w:tc>
          <w:tcPr>
            <w:tcW w:w="1701" w:type="dxa"/>
            <w:vAlign w:val="center"/>
          </w:tcPr>
          <w:p w14:paraId="3278C0B4" w14:textId="77777777" w:rsidR="002669DE" w:rsidRPr="00023102" w:rsidRDefault="002669DE" w:rsidP="001324A0">
            <w:pPr>
              <w:jc w:val="center"/>
              <w:rPr>
                <w:rFonts w:ascii="宋体" w:hAnsi="宋体"/>
                <w:b/>
                <w:bCs/>
                <w:kern w:val="0"/>
                <w:sz w:val="22"/>
                <w:szCs w:val="22"/>
              </w:rPr>
            </w:pPr>
            <w:r w:rsidRPr="00023102">
              <w:rPr>
                <w:rFonts w:ascii="宋体" w:hAnsi="宋体" w:hint="eastAsia"/>
                <w:b/>
                <w:bCs/>
                <w:kern w:val="0"/>
                <w:sz w:val="22"/>
                <w:szCs w:val="22"/>
              </w:rPr>
              <w:t>或有管理费</w:t>
            </w:r>
          </w:p>
          <w:p w14:paraId="5D858537" w14:textId="77777777" w:rsidR="002669DE" w:rsidRPr="00023102" w:rsidRDefault="002669DE" w:rsidP="001324A0">
            <w:pPr>
              <w:jc w:val="center"/>
              <w:rPr>
                <w:rFonts w:ascii="宋体" w:hAnsi="宋体"/>
                <w:b/>
                <w:bCs/>
                <w:kern w:val="0"/>
                <w:sz w:val="22"/>
                <w:szCs w:val="22"/>
              </w:rPr>
            </w:pPr>
            <w:r w:rsidRPr="00023102">
              <w:rPr>
                <w:rFonts w:ascii="宋体" w:hAnsi="宋体" w:hint="eastAsia"/>
                <w:b/>
                <w:bCs/>
                <w:kern w:val="0"/>
                <w:sz w:val="22"/>
                <w:szCs w:val="22"/>
              </w:rPr>
              <w:t>（年费率）</w:t>
            </w:r>
          </w:p>
        </w:tc>
        <w:tc>
          <w:tcPr>
            <w:tcW w:w="1701" w:type="dxa"/>
            <w:vAlign w:val="center"/>
          </w:tcPr>
          <w:p w14:paraId="6654884A" w14:textId="77777777" w:rsidR="002669DE" w:rsidRPr="00023102" w:rsidRDefault="002669DE" w:rsidP="001324A0">
            <w:pPr>
              <w:jc w:val="center"/>
              <w:rPr>
                <w:rFonts w:ascii="宋体" w:hAnsi="宋体"/>
                <w:b/>
                <w:bCs/>
                <w:kern w:val="0"/>
                <w:sz w:val="22"/>
                <w:szCs w:val="22"/>
              </w:rPr>
            </w:pPr>
            <w:r w:rsidRPr="00023102">
              <w:rPr>
                <w:rFonts w:ascii="宋体" w:hAnsi="宋体" w:hint="eastAsia"/>
                <w:b/>
                <w:bCs/>
                <w:kern w:val="0"/>
                <w:sz w:val="22"/>
                <w:szCs w:val="22"/>
              </w:rPr>
              <w:t>超额管理费</w:t>
            </w:r>
          </w:p>
          <w:p w14:paraId="53FD5BA5" w14:textId="77777777" w:rsidR="002669DE" w:rsidRPr="00023102" w:rsidRDefault="002669DE" w:rsidP="001324A0">
            <w:pPr>
              <w:jc w:val="center"/>
              <w:rPr>
                <w:rFonts w:ascii="宋体" w:hAnsi="宋体"/>
                <w:b/>
                <w:bCs/>
                <w:kern w:val="0"/>
                <w:sz w:val="22"/>
                <w:szCs w:val="22"/>
              </w:rPr>
            </w:pPr>
            <w:r w:rsidRPr="00023102">
              <w:rPr>
                <w:rFonts w:ascii="宋体" w:hAnsi="宋体" w:hint="eastAsia"/>
                <w:b/>
                <w:bCs/>
                <w:kern w:val="0"/>
                <w:sz w:val="22"/>
                <w:szCs w:val="22"/>
              </w:rPr>
              <w:t>（年费率）</w:t>
            </w:r>
          </w:p>
        </w:tc>
      </w:tr>
      <w:tr w:rsidR="002669DE" w:rsidRPr="00023102" w14:paraId="6A33B260" w14:textId="77777777" w:rsidTr="001324A0">
        <w:trPr>
          <w:trHeight w:val="510"/>
          <w:jc w:val="center"/>
        </w:trPr>
        <w:tc>
          <w:tcPr>
            <w:tcW w:w="1247" w:type="dxa"/>
            <w:vAlign w:val="center"/>
          </w:tcPr>
          <w:p w14:paraId="6E00ECDC" w14:textId="77777777" w:rsidR="002669DE" w:rsidRPr="00023102" w:rsidRDefault="002669DE" w:rsidP="001324A0">
            <w:pPr>
              <w:jc w:val="center"/>
              <w:rPr>
                <w:rFonts w:ascii="宋体" w:hAnsi="宋体"/>
                <w:kern w:val="0"/>
                <w:sz w:val="22"/>
                <w:szCs w:val="22"/>
              </w:rPr>
            </w:pPr>
            <w:r w:rsidRPr="00023102">
              <w:rPr>
                <w:rFonts w:ascii="宋体" w:hAnsi="宋体" w:hint="eastAsia"/>
                <w:bCs/>
                <w:kern w:val="0"/>
                <w:sz w:val="22"/>
                <w:szCs w:val="22"/>
              </w:rPr>
              <w:t>情形</w:t>
            </w:r>
            <w:proofErr w:type="gramStart"/>
            <w:r w:rsidRPr="00023102">
              <w:rPr>
                <w:rFonts w:ascii="宋体" w:hAnsi="宋体" w:hint="eastAsia"/>
                <w:kern w:val="0"/>
                <w:sz w:val="22"/>
                <w:szCs w:val="22"/>
              </w:rPr>
              <w:t>一</w:t>
            </w:r>
            <w:proofErr w:type="gramEnd"/>
          </w:p>
        </w:tc>
        <w:tc>
          <w:tcPr>
            <w:tcW w:w="2933" w:type="dxa"/>
            <w:vAlign w:val="center"/>
          </w:tcPr>
          <w:p w14:paraId="348BB71F" w14:textId="77777777" w:rsidR="002669DE" w:rsidRPr="00023102" w:rsidRDefault="002669DE" w:rsidP="001324A0">
            <w:pPr>
              <w:jc w:val="center"/>
              <w:rPr>
                <w:rFonts w:ascii="仿宋" w:eastAsia="仿宋" w:hAnsi="仿宋"/>
                <w:i/>
                <w:kern w:val="0"/>
                <w:sz w:val="22"/>
                <w:szCs w:val="22"/>
              </w:rPr>
            </w:pPr>
            <w:r w:rsidRPr="00023102">
              <w:rPr>
                <w:rFonts w:ascii="Cambria Math" w:eastAsia="仿宋" w:hAnsi="Cambria Math"/>
                <w:kern w:val="0"/>
                <w:sz w:val="22"/>
                <w:szCs w:val="22"/>
              </w:rPr>
              <w:t>R</w:t>
            </w:r>
            <w:r w:rsidRPr="00023102">
              <w:rPr>
                <w:rFonts w:ascii="仿宋" w:eastAsia="仿宋" w:hAnsi="仿宋" w:hint="eastAsia"/>
                <w:kern w:val="0"/>
                <w:sz w:val="22"/>
                <w:szCs w:val="22"/>
              </w:rPr>
              <w:t>≤</w:t>
            </w:r>
            <w:r w:rsidRPr="00023102">
              <w:rPr>
                <w:rFonts w:ascii="Cambria Math" w:eastAsia="仿宋" w:hAnsi="Cambria Math"/>
                <w:kern w:val="0"/>
                <w:sz w:val="22"/>
                <w:szCs w:val="22"/>
              </w:rPr>
              <w:t>R</w:t>
            </w:r>
            <w:r w:rsidRPr="00023102">
              <w:rPr>
                <w:rFonts w:ascii="Cambria Math" w:eastAsia="仿宋" w:hAnsi="Cambria Math"/>
                <w:kern w:val="0"/>
                <w:sz w:val="22"/>
                <w:szCs w:val="22"/>
                <w:vertAlign w:val="subscript"/>
              </w:rPr>
              <w:t>b</w:t>
            </w:r>
            <w:r w:rsidRPr="00023102">
              <w:rPr>
                <w:rFonts w:ascii="Cambria Math" w:eastAsia="仿宋" w:hAnsi="Cambria Math" w:hint="eastAsia"/>
                <w:kern w:val="0"/>
                <w:sz w:val="22"/>
                <w:szCs w:val="22"/>
              </w:rPr>
              <w:t>-3%</w:t>
            </w:r>
          </w:p>
        </w:tc>
        <w:tc>
          <w:tcPr>
            <w:tcW w:w="1701" w:type="dxa"/>
            <w:vAlign w:val="center"/>
          </w:tcPr>
          <w:p w14:paraId="6EFCFC32" w14:textId="77777777" w:rsidR="002669DE" w:rsidRPr="00023102" w:rsidRDefault="002669DE" w:rsidP="001324A0">
            <w:pPr>
              <w:jc w:val="center"/>
              <w:rPr>
                <w:rFonts w:ascii="Cambria" w:eastAsia="仿宋" w:hAnsi="Cambria"/>
                <w:kern w:val="0"/>
                <w:sz w:val="22"/>
                <w:szCs w:val="22"/>
              </w:rPr>
            </w:pPr>
            <w:r w:rsidRPr="00023102">
              <w:rPr>
                <w:rFonts w:ascii="Cambria" w:eastAsia="仿宋" w:hAnsi="Cambria" w:hint="eastAsia"/>
                <w:kern w:val="0"/>
                <w:sz w:val="22"/>
                <w:szCs w:val="22"/>
              </w:rPr>
              <w:t>0</w:t>
            </w:r>
          </w:p>
        </w:tc>
        <w:tc>
          <w:tcPr>
            <w:tcW w:w="1701" w:type="dxa"/>
            <w:vAlign w:val="center"/>
          </w:tcPr>
          <w:p w14:paraId="7A64057E" w14:textId="77777777" w:rsidR="002669DE" w:rsidRPr="00023102" w:rsidRDefault="002669DE" w:rsidP="001324A0">
            <w:pPr>
              <w:jc w:val="center"/>
              <w:rPr>
                <w:rFonts w:ascii="Cambria" w:eastAsia="仿宋" w:hAnsi="Cambria"/>
                <w:kern w:val="0"/>
                <w:sz w:val="22"/>
                <w:szCs w:val="22"/>
              </w:rPr>
            </w:pPr>
            <w:r w:rsidRPr="00023102">
              <w:rPr>
                <w:rFonts w:ascii="Cambria" w:eastAsia="仿宋" w:hAnsi="Cambria" w:hint="eastAsia"/>
                <w:kern w:val="0"/>
                <w:sz w:val="22"/>
                <w:szCs w:val="22"/>
              </w:rPr>
              <w:t>0</w:t>
            </w:r>
          </w:p>
        </w:tc>
      </w:tr>
      <w:tr w:rsidR="002669DE" w:rsidRPr="00023102" w14:paraId="0A02FE92" w14:textId="77777777" w:rsidTr="001324A0">
        <w:trPr>
          <w:trHeight w:val="510"/>
          <w:jc w:val="center"/>
        </w:trPr>
        <w:tc>
          <w:tcPr>
            <w:tcW w:w="1247" w:type="dxa"/>
            <w:vAlign w:val="center"/>
          </w:tcPr>
          <w:p w14:paraId="5C4EF39A" w14:textId="77777777" w:rsidR="002669DE" w:rsidRPr="00023102" w:rsidRDefault="002669DE" w:rsidP="001324A0">
            <w:pPr>
              <w:jc w:val="center"/>
              <w:rPr>
                <w:rFonts w:ascii="宋体" w:hAnsi="宋体"/>
                <w:kern w:val="0"/>
                <w:sz w:val="22"/>
                <w:szCs w:val="22"/>
              </w:rPr>
            </w:pPr>
            <w:r w:rsidRPr="00023102">
              <w:rPr>
                <w:rFonts w:ascii="宋体" w:hAnsi="宋体" w:hint="eastAsia"/>
                <w:bCs/>
                <w:kern w:val="0"/>
                <w:sz w:val="22"/>
                <w:szCs w:val="22"/>
              </w:rPr>
              <w:t>情形</w:t>
            </w:r>
            <w:r w:rsidRPr="00023102">
              <w:rPr>
                <w:rFonts w:ascii="宋体" w:hAnsi="宋体" w:hint="eastAsia"/>
                <w:kern w:val="0"/>
                <w:sz w:val="22"/>
                <w:szCs w:val="22"/>
              </w:rPr>
              <w:t>二</w:t>
            </w:r>
          </w:p>
        </w:tc>
        <w:tc>
          <w:tcPr>
            <w:tcW w:w="2933" w:type="dxa"/>
            <w:vAlign w:val="center"/>
          </w:tcPr>
          <w:p w14:paraId="5BE435E8" w14:textId="77777777" w:rsidR="002669DE" w:rsidRPr="00023102" w:rsidRDefault="002669DE" w:rsidP="001324A0">
            <w:pPr>
              <w:jc w:val="center"/>
              <w:rPr>
                <w:rFonts w:ascii="仿宋" w:eastAsia="仿宋" w:hAnsi="仿宋"/>
                <w:kern w:val="0"/>
                <w:sz w:val="22"/>
                <w:szCs w:val="22"/>
              </w:rPr>
            </w:pPr>
            <w:r w:rsidRPr="00023102">
              <w:rPr>
                <w:rFonts w:ascii="宋体" w:hAnsi="宋体"/>
                <w:bCs/>
                <w:kern w:val="0"/>
                <w:sz w:val="22"/>
                <w:szCs w:val="22"/>
              </w:rPr>
              <w:t>其他情形</w:t>
            </w:r>
          </w:p>
        </w:tc>
        <w:tc>
          <w:tcPr>
            <w:tcW w:w="1701" w:type="dxa"/>
            <w:vAlign w:val="center"/>
          </w:tcPr>
          <w:p w14:paraId="5CF4F2C0" w14:textId="77777777" w:rsidR="002669DE" w:rsidRPr="00023102" w:rsidRDefault="002669DE" w:rsidP="001324A0">
            <w:pPr>
              <w:jc w:val="center"/>
              <w:rPr>
                <w:rFonts w:ascii="Cambria" w:eastAsia="仿宋" w:hAnsi="Cambria"/>
                <w:kern w:val="0"/>
                <w:sz w:val="22"/>
                <w:szCs w:val="22"/>
              </w:rPr>
            </w:pPr>
            <w:r w:rsidRPr="00023102">
              <w:rPr>
                <w:rFonts w:ascii="Cambria" w:eastAsia="仿宋" w:hAnsi="Cambria" w:hint="eastAsia"/>
                <w:kern w:val="0"/>
                <w:sz w:val="22"/>
                <w:szCs w:val="22"/>
              </w:rPr>
              <w:t>0.60%</w:t>
            </w:r>
          </w:p>
        </w:tc>
        <w:tc>
          <w:tcPr>
            <w:tcW w:w="1701" w:type="dxa"/>
            <w:vAlign w:val="center"/>
          </w:tcPr>
          <w:p w14:paraId="3C11980D" w14:textId="77777777" w:rsidR="002669DE" w:rsidRPr="00023102" w:rsidRDefault="002669DE" w:rsidP="001324A0">
            <w:pPr>
              <w:jc w:val="center"/>
              <w:rPr>
                <w:rFonts w:ascii="Cambria" w:eastAsia="仿宋" w:hAnsi="Cambria"/>
                <w:kern w:val="0"/>
                <w:sz w:val="22"/>
                <w:szCs w:val="22"/>
              </w:rPr>
            </w:pPr>
            <w:r w:rsidRPr="00023102">
              <w:rPr>
                <w:rFonts w:ascii="Cambria" w:eastAsia="仿宋" w:hAnsi="Cambria" w:hint="eastAsia"/>
                <w:kern w:val="0"/>
                <w:sz w:val="22"/>
                <w:szCs w:val="22"/>
              </w:rPr>
              <w:t>0</w:t>
            </w:r>
          </w:p>
        </w:tc>
      </w:tr>
      <w:tr w:rsidR="002669DE" w:rsidRPr="00023102" w14:paraId="636C05CD" w14:textId="77777777" w:rsidTr="001324A0">
        <w:trPr>
          <w:trHeight w:val="510"/>
          <w:jc w:val="center"/>
        </w:trPr>
        <w:tc>
          <w:tcPr>
            <w:tcW w:w="1247" w:type="dxa"/>
            <w:vAlign w:val="center"/>
          </w:tcPr>
          <w:p w14:paraId="2FECE455" w14:textId="77777777" w:rsidR="002669DE" w:rsidRPr="00023102" w:rsidRDefault="002669DE" w:rsidP="001324A0">
            <w:pPr>
              <w:jc w:val="center"/>
              <w:rPr>
                <w:rFonts w:ascii="宋体" w:hAnsi="宋体"/>
                <w:kern w:val="0"/>
                <w:sz w:val="22"/>
                <w:szCs w:val="22"/>
              </w:rPr>
            </w:pPr>
            <w:r w:rsidRPr="00023102">
              <w:rPr>
                <w:rFonts w:ascii="宋体" w:hAnsi="宋体" w:hint="eastAsia"/>
                <w:kern w:val="0"/>
                <w:sz w:val="22"/>
                <w:szCs w:val="22"/>
              </w:rPr>
              <w:t>情形三</w:t>
            </w:r>
          </w:p>
        </w:tc>
        <w:tc>
          <w:tcPr>
            <w:tcW w:w="2933" w:type="dxa"/>
            <w:vAlign w:val="center"/>
          </w:tcPr>
          <w:p w14:paraId="2E005AAF" w14:textId="77777777" w:rsidR="002669DE" w:rsidRPr="00023102" w:rsidRDefault="002669DE" w:rsidP="001324A0">
            <w:pPr>
              <w:spacing w:line="276" w:lineRule="auto"/>
              <w:jc w:val="center"/>
              <w:rPr>
                <w:rFonts w:ascii="仿宋" w:eastAsia="仿宋" w:hAnsi="仿宋"/>
                <w:b/>
                <w:bCs/>
                <w:kern w:val="0"/>
                <w:sz w:val="22"/>
                <w:szCs w:val="22"/>
              </w:rPr>
            </w:pPr>
            <w:r w:rsidRPr="00023102">
              <w:rPr>
                <w:bCs/>
                <w:sz w:val="22"/>
                <w:szCs w:val="22"/>
              </w:rPr>
              <w:t>R</w:t>
            </w:r>
            <w:r w:rsidRPr="00023102">
              <w:rPr>
                <w:rFonts w:ascii="仿宋" w:eastAsia="仿宋" w:hAnsi="仿宋" w:hint="eastAsia"/>
                <w:bCs/>
                <w:sz w:val="22"/>
                <w:szCs w:val="22"/>
              </w:rPr>
              <w:t>＞</w:t>
            </w:r>
            <w:r w:rsidRPr="00023102">
              <w:rPr>
                <w:bCs/>
                <w:sz w:val="22"/>
                <w:szCs w:val="22"/>
              </w:rPr>
              <w:t>R</w:t>
            </w:r>
            <w:r w:rsidRPr="00023102">
              <w:rPr>
                <w:rFonts w:ascii="等线 Light" w:hAnsi="等线 Light"/>
                <w:spacing w:val="-2"/>
                <w:sz w:val="22"/>
                <w:szCs w:val="22"/>
                <w:vertAlign w:val="subscript"/>
              </w:rPr>
              <w:t>b</w:t>
            </w:r>
            <w:r w:rsidRPr="00023102">
              <w:rPr>
                <w:bCs/>
                <w:sz w:val="22"/>
                <w:szCs w:val="22"/>
              </w:rPr>
              <w:t>+6%</w:t>
            </w:r>
            <w:r w:rsidRPr="00023102">
              <w:rPr>
                <w:bCs/>
                <w:sz w:val="22"/>
                <w:szCs w:val="22"/>
              </w:rPr>
              <w:t>，</w:t>
            </w:r>
            <w:r w:rsidRPr="00023102">
              <w:rPr>
                <w:bCs/>
                <w:sz w:val="22"/>
                <w:szCs w:val="22"/>
              </w:rPr>
              <w:t>R</w:t>
            </w:r>
            <w:r w:rsidRPr="00023102">
              <w:rPr>
                <w:rFonts w:ascii="仿宋" w:eastAsia="仿宋" w:hAnsi="仿宋" w:hint="eastAsia"/>
                <w:bCs/>
                <w:sz w:val="22"/>
                <w:szCs w:val="22"/>
              </w:rPr>
              <w:t>＞</w:t>
            </w:r>
            <w:r w:rsidRPr="00023102">
              <w:rPr>
                <w:bCs/>
                <w:sz w:val="22"/>
                <w:szCs w:val="22"/>
              </w:rPr>
              <w:t>0</w:t>
            </w:r>
          </w:p>
        </w:tc>
        <w:tc>
          <w:tcPr>
            <w:tcW w:w="1701" w:type="dxa"/>
            <w:vAlign w:val="center"/>
          </w:tcPr>
          <w:p w14:paraId="5EA3C231" w14:textId="77777777" w:rsidR="002669DE" w:rsidRPr="00023102" w:rsidRDefault="002669DE" w:rsidP="001324A0">
            <w:pPr>
              <w:jc w:val="center"/>
              <w:rPr>
                <w:rFonts w:ascii="Cambria" w:eastAsia="仿宋" w:hAnsi="Cambria"/>
                <w:kern w:val="0"/>
                <w:sz w:val="22"/>
                <w:szCs w:val="22"/>
              </w:rPr>
            </w:pPr>
            <w:r w:rsidRPr="00023102">
              <w:rPr>
                <w:rFonts w:ascii="Cambria" w:eastAsia="仿宋" w:hAnsi="Cambria" w:hint="eastAsia"/>
                <w:kern w:val="0"/>
                <w:sz w:val="22"/>
                <w:szCs w:val="22"/>
              </w:rPr>
              <w:t>0.60%</w:t>
            </w:r>
          </w:p>
        </w:tc>
        <w:tc>
          <w:tcPr>
            <w:tcW w:w="1701" w:type="dxa"/>
            <w:vAlign w:val="center"/>
          </w:tcPr>
          <w:p w14:paraId="4B5DAABE" w14:textId="77777777" w:rsidR="002669DE" w:rsidRPr="00023102" w:rsidRDefault="002669DE" w:rsidP="001324A0">
            <w:pPr>
              <w:jc w:val="center"/>
              <w:rPr>
                <w:rFonts w:ascii="Cambria" w:eastAsia="仿宋" w:hAnsi="Cambria"/>
                <w:kern w:val="0"/>
                <w:sz w:val="22"/>
                <w:szCs w:val="22"/>
              </w:rPr>
            </w:pPr>
            <w:r w:rsidRPr="00023102">
              <w:rPr>
                <w:rFonts w:ascii="Cambria" w:eastAsia="仿宋" w:hAnsi="Cambria" w:hint="eastAsia"/>
                <w:kern w:val="0"/>
                <w:sz w:val="22"/>
                <w:szCs w:val="22"/>
              </w:rPr>
              <w:t>0.30%</w:t>
            </w:r>
          </w:p>
        </w:tc>
      </w:tr>
    </w:tbl>
    <w:bookmarkEnd w:id="100"/>
    <w:p w14:paraId="42276DF4" w14:textId="77777777" w:rsidR="002669DE" w:rsidRPr="00023102" w:rsidRDefault="002669DE" w:rsidP="002669DE">
      <w:pPr>
        <w:spacing w:line="360" w:lineRule="auto"/>
        <w:ind w:firstLineChars="200" w:firstLine="480"/>
        <w:rPr>
          <w:bCs/>
          <w:sz w:val="24"/>
          <w14:ligatures w14:val="standardContextual"/>
        </w:rPr>
      </w:pPr>
      <w:r w:rsidRPr="00023102">
        <w:rPr>
          <w:rFonts w:hint="eastAsia"/>
          <w:bCs/>
          <w:sz w:val="24"/>
          <w14:ligatures w14:val="standardContextual"/>
        </w:rPr>
        <w:t>对于“情形三”，</w:t>
      </w:r>
      <w:proofErr w:type="gramStart"/>
      <w:r w:rsidRPr="00023102">
        <w:rPr>
          <w:rFonts w:hint="eastAsia"/>
          <w:bCs/>
          <w:sz w:val="24"/>
          <w14:ligatures w14:val="standardContextual"/>
        </w:rPr>
        <w:t>若拟扣除</w:t>
      </w:r>
      <w:proofErr w:type="gramEnd"/>
      <w:r w:rsidRPr="00023102">
        <w:rPr>
          <w:rFonts w:hint="eastAsia"/>
          <w:bCs/>
          <w:sz w:val="24"/>
          <w14:ligatures w14:val="standardContextual"/>
        </w:rPr>
        <w:t>超额管理费后</w:t>
      </w:r>
      <w:proofErr w:type="gramStart"/>
      <w:r w:rsidRPr="00023102">
        <w:rPr>
          <w:rFonts w:hint="eastAsia"/>
          <w:bCs/>
          <w:sz w:val="24"/>
          <w14:ligatures w14:val="standardContextual"/>
        </w:rPr>
        <w:t>的年化收益率</w:t>
      </w:r>
      <w:proofErr w:type="gramEnd"/>
      <w:r w:rsidRPr="00023102">
        <w:rPr>
          <w:rFonts w:hint="eastAsia"/>
          <w:bCs/>
          <w:sz w:val="24"/>
          <w14:ligatures w14:val="standardContextual"/>
        </w:rPr>
        <w:t>小于等于</w:t>
      </w:r>
      <w:r w:rsidRPr="00023102">
        <w:rPr>
          <w:bCs/>
          <w:sz w:val="24"/>
          <w14:ligatures w14:val="standardContextual"/>
        </w:rPr>
        <w:t>R</w:t>
      </w:r>
      <w:r w:rsidRPr="00023102">
        <w:rPr>
          <w:bCs/>
          <w:sz w:val="24"/>
          <w:vertAlign w:val="subscript"/>
          <w14:ligatures w14:val="standardContextual"/>
        </w:rPr>
        <w:t>b</w:t>
      </w:r>
      <w:r w:rsidRPr="00023102">
        <w:rPr>
          <w:bCs/>
          <w:sz w:val="24"/>
          <w14:ligatures w14:val="standardContextual"/>
        </w:rPr>
        <w:t>+6%</w:t>
      </w:r>
      <w:r w:rsidRPr="00023102">
        <w:rPr>
          <w:rFonts w:hint="eastAsia"/>
          <w:bCs/>
          <w:sz w:val="24"/>
          <w14:ligatures w14:val="standardContextual"/>
        </w:rPr>
        <w:t>，或小于等于</w:t>
      </w:r>
      <w:r w:rsidRPr="00023102">
        <w:rPr>
          <w:rFonts w:hint="eastAsia"/>
          <w:bCs/>
          <w:sz w:val="24"/>
          <w14:ligatures w14:val="standardContextual"/>
        </w:rPr>
        <w:t>0</w:t>
      </w:r>
      <w:r w:rsidRPr="00023102">
        <w:rPr>
          <w:rFonts w:hint="eastAsia"/>
          <w:bCs/>
          <w:sz w:val="24"/>
          <w14:ligatures w14:val="standardContextual"/>
        </w:rPr>
        <w:t>时，仍按</w:t>
      </w:r>
      <w:r w:rsidRPr="00023102">
        <w:rPr>
          <w:rFonts w:hint="eastAsia"/>
          <w:bCs/>
          <w:sz w:val="24"/>
          <w14:ligatures w14:val="standardContextual"/>
        </w:rPr>
        <w:t>1.20%</w:t>
      </w:r>
      <w:r w:rsidRPr="00023102">
        <w:rPr>
          <w:rFonts w:hint="eastAsia"/>
          <w:bCs/>
          <w:sz w:val="24"/>
          <w14:ligatures w14:val="standardContextual"/>
        </w:rPr>
        <w:t>年费率收取该笔基金份额的管理费，以</w:t>
      </w:r>
      <w:r>
        <w:rPr>
          <w:rFonts w:hint="eastAsia"/>
          <w:bCs/>
          <w:sz w:val="24"/>
          <w14:ligatures w14:val="standardContextual"/>
        </w:rPr>
        <w:t>使得</w:t>
      </w:r>
      <w:r w:rsidRPr="00023102">
        <w:rPr>
          <w:rFonts w:hint="eastAsia"/>
          <w:bCs/>
          <w:sz w:val="24"/>
          <w14:ligatures w14:val="standardContextual"/>
        </w:rPr>
        <w:t>该笔基金份额在扣除超额管理费后</w:t>
      </w:r>
      <w:proofErr w:type="gramStart"/>
      <w:r w:rsidRPr="00023102">
        <w:rPr>
          <w:rFonts w:hint="eastAsia"/>
          <w:bCs/>
          <w:sz w:val="24"/>
          <w14:ligatures w14:val="standardContextual"/>
        </w:rPr>
        <w:t>的年化收益率</w:t>
      </w:r>
      <w:proofErr w:type="gramEnd"/>
      <w:r>
        <w:rPr>
          <w:rFonts w:hint="eastAsia"/>
          <w:bCs/>
          <w:sz w:val="24"/>
          <w14:ligatures w14:val="standardContextual"/>
        </w:rPr>
        <w:t>仍需</w:t>
      </w:r>
      <w:r w:rsidRPr="00023102">
        <w:rPr>
          <w:rFonts w:hint="eastAsia"/>
          <w:bCs/>
          <w:sz w:val="24"/>
          <w14:ligatures w14:val="standardContextual"/>
        </w:rPr>
        <w:t>满足本基金收取超额管理费的标准。</w:t>
      </w:r>
    </w:p>
    <w:p w14:paraId="7DB1F35E" w14:textId="77777777" w:rsidR="002669DE" w:rsidRPr="00023102" w:rsidRDefault="002669DE" w:rsidP="002669DE">
      <w:pPr>
        <w:adjustRightInd w:val="0"/>
        <w:snapToGrid w:val="0"/>
        <w:spacing w:line="360" w:lineRule="auto"/>
        <w:ind w:firstLineChars="177" w:firstLine="425"/>
        <w:rPr>
          <w:rFonts w:ascii="宋体" w:hAnsi="宋体"/>
          <w:sz w:val="24"/>
        </w:rPr>
      </w:pPr>
      <w:r w:rsidRPr="00023102">
        <w:rPr>
          <w:rFonts w:ascii="宋体" w:hAnsi="宋体" w:hint="eastAsia"/>
          <w:sz w:val="24"/>
        </w:rPr>
        <w:t>每笔基金份额</w:t>
      </w:r>
      <w:proofErr w:type="gramStart"/>
      <w:r w:rsidRPr="00023102">
        <w:rPr>
          <w:rFonts w:ascii="宋体" w:hAnsi="宋体" w:hint="eastAsia"/>
          <w:sz w:val="24"/>
        </w:rPr>
        <w:t>的年化收益率</w:t>
      </w:r>
      <w:proofErr w:type="gramEnd"/>
      <w:r w:rsidRPr="00023102">
        <w:rPr>
          <w:rFonts w:ascii="宋体" w:hAnsi="宋体" w:hint="eastAsia"/>
          <w:sz w:val="24"/>
        </w:rPr>
        <w:t>（R）计算方法如下：</w:t>
      </w:r>
    </w:p>
    <w:p w14:paraId="2ED25329" w14:textId="77777777" w:rsidR="002669DE" w:rsidRPr="00023102" w:rsidRDefault="002669DE" w:rsidP="002669DE">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rPr>
          <m:t>R=</m:t>
        </m:r>
        <m:f>
          <m:fPr>
            <m:ctrlPr>
              <w:rPr>
                <w:rFonts w:ascii="Cambria Math" w:hAnsi="Cambria Math"/>
                <w:sz w:val="28"/>
              </w:rPr>
            </m:ctrlPr>
          </m:fPr>
          <m:num>
            <m:r>
              <w:rPr>
                <w:rFonts w:ascii="Cambria Math" w:hAnsi="Cambria Math" w:hint="eastAsia"/>
                <w:sz w:val="28"/>
              </w:rPr>
              <m:t>A</m:t>
            </m:r>
            <m:r>
              <w:rPr>
                <w:rFonts w:ascii="Cambria Math" w:hAnsi="Cambria Math"/>
                <w:sz w:val="28"/>
              </w:rPr>
              <m:t>-</m:t>
            </m:r>
            <m:r>
              <w:rPr>
                <w:rFonts w:ascii="Cambria Math" w:hAnsi="Cambria Math" w:hint="eastAsia"/>
                <w:sz w:val="28"/>
              </w:rPr>
              <m:t>B</m:t>
            </m:r>
          </m:num>
          <m:den>
            <m:r>
              <w:rPr>
                <w:rFonts w:ascii="Cambria Math" w:hAnsi="Cambria Math" w:hint="eastAsia"/>
                <w:sz w:val="28"/>
              </w:rPr>
              <m:t>C</m:t>
            </m:r>
          </m:den>
        </m:f>
      </m:oMath>
      <w:r w:rsidRPr="00023102">
        <w:rPr>
          <w:rFonts w:ascii="等线" w:eastAsia="等线" w:hAnsi="等线" w:hint="eastAsia"/>
          <w:sz w:val="32"/>
        </w:rPr>
        <w:t xml:space="preserve"> </w:t>
      </w:r>
      <w:r w:rsidRPr="00023102">
        <w:rPr>
          <w:rFonts w:ascii="等线" w:eastAsia="等线" w:hAnsi="等线"/>
          <w:sz w:val="24"/>
        </w:rPr>
        <w:t>×</w:t>
      </w:r>
      <m:oMath>
        <m:f>
          <m:fPr>
            <m:ctrlPr>
              <w:rPr>
                <w:rFonts w:ascii="Cambria Math" w:hAnsi="Cambria Math"/>
                <w:sz w:val="32"/>
              </w:rPr>
            </m:ctrlPr>
          </m:fPr>
          <m:num>
            <m:r>
              <w:rPr>
                <w:rFonts w:ascii="Cambria Math" w:hAnsi="Cambria Math"/>
                <w:sz w:val="32"/>
              </w:rPr>
              <m:t>365</m:t>
            </m:r>
          </m:num>
          <m:den>
            <m:r>
              <w:rPr>
                <w:rFonts w:ascii="Cambria Math" w:hAnsi="Cambria Math" w:hint="eastAsia"/>
                <w:sz w:val="32"/>
              </w:rPr>
              <m:t>D</m:t>
            </m:r>
          </m:den>
        </m:f>
      </m:oMath>
      <w:r w:rsidRPr="00023102">
        <w:rPr>
          <w:rFonts w:ascii="等线" w:eastAsia="等线" w:hAnsi="等线"/>
          <w:sz w:val="24"/>
        </w:rPr>
        <w:t xml:space="preserve"> × 100%</w:t>
      </w:r>
    </w:p>
    <w:p w14:paraId="55CD2908" w14:textId="77777777" w:rsidR="002669DE" w:rsidRPr="00023102" w:rsidRDefault="002669DE" w:rsidP="002669DE">
      <w:pPr>
        <w:spacing w:line="360" w:lineRule="auto"/>
        <w:ind w:firstLineChars="200" w:firstLine="480"/>
        <w:rPr>
          <w:bCs/>
          <w:sz w:val="24"/>
          <w14:ligatures w14:val="standardContextual"/>
        </w:rPr>
      </w:pPr>
      <w:r w:rsidRPr="00023102">
        <w:rPr>
          <w:rFonts w:hint="eastAsia"/>
          <w:bCs/>
          <w:sz w:val="24"/>
          <w14:ligatures w14:val="standardContextual"/>
        </w:rPr>
        <w:t>拟扣除超额管理费后</w:t>
      </w:r>
      <w:proofErr w:type="gramStart"/>
      <w:r w:rsidRPr="00023102">
        <w:rPr>
          <w:rFonts w:hint="eastAsia"/>
          <w:bCs/>
          <w:sz w:val="24"/>
          <w14:ligatures w14:val="standardContextual"/>
        </w:rPr>
        <w:t>的年化收益率</w:t>
      </w:r>
      <w:proofErr w:type="gramEnd"/>
      <w:r w:rsidRPr="00023102">
        <w:rPr>
          <w:rFonts w:hint="eastAsia"/>
          <w:bCs/>
          <w:sz w:val="24"/>
          <w14:ligatures w14:val="standardContextual"/>
        </w:rPr>
        <w:t>（</w:t>
      </w:r>
      <w:r w:rsidRPr="00023102">
        <w:rPr>
          <w:rFonts w:hint="eastAsia"/>
          <w:bCs/>
          <w:sz w:val="24"/>
          <w14:ligatures w14:val="standardContextual"/>
        </w:rPr>
        <w:t>R*</w:t>
      </w:r>
      <w:r w:rsidRPr="00023102">
        <w:rPr>
          <w:rFonts w:hint="eastAsia"/>
          <w:bCs/>
          <w:sz w:val="24"/>
          <w14:ligatures w14:val="standardContextual"/>
        </w:rPr>
        <w:t>）的计算方法如下：</w:t>
      </w:r>
    </w:p>
    <w:p w14:paraId="3AABE947" w14:textId="77777777" w:rsidR="002669DE" w:rsidRPr="00023102" w:rsidRDefault="009A6366" w:rsidP="002669DE">
      <w:pPr>
        <w:spacing w:line="360" w:lineRule="auto"/>
        <w:ind w:firstLineChars="200" w:firstLine="480"/>
        <w:jc w:val="center"/>
        <w:rPr>
          <w:bCs/>
          <w:sz w:val="24"/>
          <w14:ligatures w14:val="standardContextual"/>
        </w:rPr>
      </w:pPr>
      <m:oMathPara>
        <m:oMath>
          <m:sSup>
            <m:sSupPr>
              <m:ctrlPr>
                <w:rPr>
                  <w:rFonts w:ascii="Cambria Math" w:hAnsi="Cambria Math"/>
                  <w:bCs/>
                  <w:sz w:val="24"/>
                  <w14:ligatures w14:val="standardContextual"/>
                </w:rPr>
              </m:ctrlPr>
            </m:sSupPr>
            <m:e>
              <m:r>
                <w:rPr>
                  <w:rFonts w:ascii="Cambria Math" w:hAnsi="Cambria Math"/>
                  <w:sz w:val="24"/>
                  <w14:ligatures w14:val="standardContextual"/>
                </w:rPr>
                <m:t>R</m:t>
              </m:r>
            </m:e>
            <m:sup>
              <m:r>
                <w:rPr>
                  <w:rFonts w:ascii="Cambria Math" w:hAnsi="Cambria Math"/>
                  <w:sz w:val="24"/>
                  <w14:ligatures w14:val="standardContextual"/>
                </w:rPr>
                <m:t>*</m:t>
              </m:r>
            </m:sup>
          </m:sSup>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70212CAB"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R为该笔基金份额</w:t>
      </w:r>
      <w:proofErr w:type="gramStart"/>
      <w:r w:rsidRPr="00023102">
        <w:rPr>
          <w:rFonts w:ascii="宋体" w:hAnsi="宋体" w:hint="eastAsia"/>
          <w:sz w:val="24"/>
        </w:rPr>
        <w:t>的年化收益率</w:t>
      </w:r>
      <w:proofErr w:type="gramEnd"/>
      <w:r w:rsidRPr="00023102">
        <w:rPr>
          <w:rFonts w:ascii="宋体" w:hAnsi="宋体" w:hint="eastAsia"/>
          <w:sz w:val="24"/>
        </w:rPr>
        <w:t>；</w:t>
      </w:r>
      <w:proofErr w:type="spellStart"/>
      <w:r w:rsidRPr="00023102">
        <w:rPr>
          <w:bCs/>
          <w:sz w:val="24"/>
          <w14:ligatures w14:val="standardContextual"/>
        </w:rPr>
        <w:t>R</w:t>
      </w:r>
      <w:r w:rsidRPr="00023102">
        <w:rPr>
          <w:bCs/>
          <w:sz w:val="24"/>
          <w:vertAlign w:val="subscript"/>
          <w14:ligatures w14:val="standardContextual"/>
        </w:rPr>
        <w:t>b</w:t>
      </w:r>
      <w:proofErr w:type="spellEnd"/>
      <w:r w:rsidRPr="00023102">
        <w:rPr>
          <w:rFonts w:ascii="宋体" w:hAnsi="宋体" w:hint="eastAsia"/>
          <w:sz w:val="24"/>
        </w:rPr>
        <w:t>为本基金业绩比较基准</w:t>
      </w:r>
      <w:proofErr w:type="gramStart"/>
      <w:r w:rsidRPr="00023102">
        <w:rPr>
          <w:rFonts w:ascii="宋体" w:hAnsi="宋体" w:hint="eastAsia"/>
          <w:sz w:val="24"/>
        </w:rPr>
        <w:t>同期年化</w:t>
      </w:r>
      <w:proofErr w:type="gramEnd"/>
      <w:r w:rsidRPr="00023102">
        <w:rPr>
          <w:rFonts w:ascii="宋体" w:hAnsi="宋体" w:hint="eastAsia"/>
          <w:sz w:val="24"/>
        </w:rPr>
        <w:t>收益率；</w:t>
      </w:r>
    </w:p>
    <w:p w14:paraId="43BBA132"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A为该笔</w:t>
      </w:r>
      <w:r>
        <w:rPr>
          <w:rFonts w:ascii="宋体" w:hAnsi="宋体" w:hint="eastAsia"/>
          <w:sz w:val="24"/>
        </w:rPr>
        <w:t>基金</w:t>
      </w:r>
      <w:r w:rsidRPr="00023102">
        <w:rPr>
          <w:rFonts w:ascii="宋体" w:hAnsi="宋体" w:hint="eastAsia"/>
          <w:sz w:val="24"/>
        </w:rPr>
        <w:t>份额赎回日、转换转出日或基金合同终止情形发生日的基金份额累计净值；</w:t>
      </w:r>
    </w:p>
    <w:p w14:paraId="1023C56C"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B为该笔</w:t>
      </w:r>
      <w:r>
        <w:rPr>
          <w:rFonts w:ascii="宋体" w:hAnsi="宋体" w:hint="eastAsia"/>
          <w:sz w:val="24"/>
        </w:rPr>
        <w:t>基金</w:t>
      </w:r>
      <w:r w:rsidRPr="00023102">
        <w:rPr>
          <w:rFonts w:ascii="宋体" w:hAnsi="宋体" w:hint="eastAsia"/>
          <w:sz w:val="24"/>
        </w:rPr>
        <w:t>份额认</w:t>
      </w:r>
      <w:r>
        <w:rPr>
          <w:rFonts w:ascii="宋体" w:hAnsi="宋体" w:hint="eastAsia"/>
          <w:sz w:val="24"/>
        </w:rPr>
        <w:t>购</w:t>
      </w:r>
      <w:r w:rsidRPr="00023102">
        <w:rPr>
          <w:rFonts w:ascii="宋体" w:hAnsi="宋体" w:hint="eastAsia"/>
          <w:sz w:val="24"/>
        </w:rPr>
        <w:t>/申购/转换转入日的基金份额累计净值，其中份额认购日的基金份额（累计）净值为1.00元；</w:t>
      </w:r>
    </w:p>
    <w:p w14:paraId="475973EF"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C为该笔</w:t>
      </w:r>
      <w:r>
        <w:rPr>
          <w:rFonts w:ascii="宋体" w:hAnsi="宋体" w:hint="eastAsia"/>
          <w:sz w:val="24"/>
        </w:rPr>
        <w:t>基金</w:t>
      </w:r>
      <w:r w:rsidRPr="00023102">
        <w:rPr>
          <w:rFonts w:ascii="宋体" w:hAnsi="宋体" w:hint="eastAsia"/>
          <w:sz w:val="24"/>
        </w:rPr>
        <w:t>份额认</w:t>
      </w:r>
      <w:r>
        <w:rPr>
          <w:rFonts w:ascii="宋体" w:hAnsi="宋体" w:hint="eastAsia"/>
          <w:sz w:val="24"/>
        </w:rPr>
        <w:t>购</w:t>
      </w:r>
      <w:r w:rsidRPr="00023102">
        <w:rPr>
          <w:rFonts w:ascii="宋体" w:hAnsi="宋体" w:hint="eastAsia"/>
          <w:sz w:val="24"/>
        </w:rPr>
        <w:t>/申购/转换转入日的基金份额净值，</w:t>
      </w:r>
      <w:r w:rsidRPr="00023102">
        <w:rPr>
          <w:rFonts w:hint="eastAsia"/>
          <w:bCs/>
          <w:sz w:val="24"/>
          <w14:ligatures w14:val="standardContextual"/>
        </w:rPr>
        <w:t>其中</w:t>
      </w:r>
      <w:r w:rsidRPr="00023102">
        <w:rPr>
          <w:bCs/>
          <w:sz w:val="24"/>
          <w14:ligatures w14:val="standardContextual"/>
        </w:rPr>
        <w:t>份额认购日的基金份额净值为</w:t>
      </w:r>
      <w:r w:rsidRPr="00023102">
        <w:rPr>
          <w:rFonts w:hint="eastAsia"/>
          <w:bCs/>
          <w:sz w:val="24"/>
          <w14:ligatures w14:val="standardContextual"/>
        </w:rPr>
        <w:t>1</w:t>
      </w:r>
      <w:r w:rsidRPr="00023102">
        <w:rPr>
          <w:bCs/>
          <w:sz w:val="24"/>
          <w14:ligatures w14:val="standardContextual"/>
        </w:rPr>
        <w:t>.00</w:t>
      </w:r>
      <w:r w:rsidRPr="00023102">
        <w:rPr>
          <w:bCs/>
          <w:sz w:val="24"/>
          <w14:ligatures w14:val="standardContextual"/>
        </w:rPr>
        <w:t>元</w:t>
      </w:r>
      <w:r w:rsidRPr="00023102">
        <w:rPr>
          <w:rFonts w:ascii="宋体" w:hAnsi="宋体" w:hint="eastAsia"/>
          <w:sz w:val="24"/>
        </w:rPr>
        <w:t>；</w:t>
      </w:r>
    </w:p>
    <w:p w14:paraId="4DC17E67" w14:textId="77777777" w:rsidR="002669DE" w:rsidRPr="00023102" w:rsidRDefault="002669DE" w:rsidP="002669DE">
      <w:pPr>
        <w:adjustRightInd w:val="0"/>
        <w:snapToGrid w:val="0"/>
        <w:spacing w:line="360" w:lineRule="auto"/>
        <w:ind w:left="60" w:firstLine="420"/>
        <w:rPr>
          <w:rFonts w:ascii="宋体" w:hAnsi="宋体"/>
          <w:sz w:val="24"/>
        </w:rPr>
      </w:pPr>
      <w:r w:rsidRPr="00023102">
        <w:rPr>
          <w:rFonts w:ascii="宋体" w:hAnsi="宋体" w:hint="eastAsia"/>
          <w:sz w:val="24"/>
        </w:rPr>
        <w:t>D为基金合同生效日（针对募集期内认购的基金份额）或该笔</w:t>
      </w:r>
      <w:r>
        <w:rPr>
          <w:rFonts w:ascii="宋体" w:hAnsi="宋体" w:hint="eastAsia"/>
          <w:sz w:val="24"/>
        </w:rPr>
        <w:t>基金</w:t>
      </w:r>
      <w:r w:rsidRPr="00023102">
        <w:rPr>
          <w:rFonts w:ascii="宋体" w:hAnsi="宋体" w:hint="eastAsia"/>
          <w:sz w:val="24"/>
        </w:rPr>
        <w:t>份额申购/转换转入确认日与赎回</w:t>
      </w:r>
      <w:r>
        <w:rPr>
          <w:rFonts w:ascii="宋体" w:hAnsi="宋体" w:hint="eastAsia"/>
          <w:sz w:val="24"/>
        </w:rPr>
        <w:t>确认日、</w:t>
      </w:r>
      <w:r w:rsidRPr="00023102">
        <w:rPr>
          <w:rFonts w:ascii="宋体" w:hAnsi="宋体" w:hint="eastAsia"/>
          <w:sz w:val="24"/>
        </w:rPr>
        <w:t>转换转出确认日或基金合同终止情形发生日</w:t>
      </w:r>
      <w:r w:rsidRPr="00D73C11">
        <w:rPr>
          <w:rFonts w:ascii="宋体" w:hAnsi="宋体" w:hint="eastAsia"/>
          <w:sz w:val="24"/>
        </w:rPr>
        <w:t>下</w:t>
      </w:r>
      <w:proofErr w:type="gramStart"/>
      <w:r w:rsidRPr="00D73C11">
        <w:rPr>
          <w:rFonts w:ascii="宋体" w:hAnsi="宋体" w:hint="eastAsia"/>
          <w:sz w:val="24"/>
        </w:rPr>
        <w:t>一</w:t>
      </w:r>
      <w:proofErr w:type="gramEnd"/>
      <w:r w:rsidRPr="00D73C11">
        <w:rPr>
          <w:rFonts w:ascii="宋体" w:hAnsi="宋体" w:hint="eastAsia"/>
          <w:sz w:val="24"/>
        </w:rPr>
        <w:t>工作日</w:t>
      </w:r>
      <w:r w:rsidRPr="00023102">
        <w:rPr>
          <w:rFonts w:ascii="宋体" w:hAnsi="宋体" w:hint="eastAsia"/>
          <w:sz w:val="24"/>
        </w:rPr>
        <w:t>的间隔天数；</w:t>
      </w:r>
    </w:p>
    <w:p w14:paraId="131B0273" w14:textId="77777777" w:rsidR="002669DE" w:rsidRPr="00023102" w:rsidRDefault="002669DE" w:rsidP="002669DE">
      <w:pPr>
        <w:adjustRightInd w:val="0"/>
        <w:snapToGrid w:val="0"/>
        <w:spacing w:line="360" w:lineRule="auto"/>
        <w:ind w:left="60" w:firstLine="420"/>
        <w:rPr>
          <w:bCs/>
          <w:sz w:val="24"/>
          <w14:ligatures w14:val="standardContextual"/>
        </w:rPr>
      </w:pPr>
      <w:r w:rsidRPr="00023102">
        <w:rPr>
          <w:rFonts w:hint="eastAsia"/>
          <w:bCs/>
          <w:sz w:val="24"/>
          <w14:ligatures w14:val="standardContextual"/>
        </w:rPr>
        <w:t>F</w:t>
      </w:r>
      <w:r w:rsidRPr="00023102">
        <w:rPr>
          <w:rFonts w:hint="eastAsia"/>
          <w:bCs/>
          <w:sz w:val="24"/>
          <w14:ligatures w14:val="standardContextual"/>
        </w:rPr>
        <w:t>为该笔基金份额的份额数；</w:t>
      </w:r>
    </w:p>
    <w:p w14:paraId="0E399EC4" w14:textId="77777777" w:rsidR="002669DE" w:rsidRPr="00023102" w:rsidRDefault="002669DE" w:rsidP="002669DE">
      <w:pPr>
        <w:spacing w:line="360" w:lineRule="auto"/>
        <w:ind w:firstLineChars="200" w:firstLine="480"/>
        <w:rPr>
          <w:bCs/>
          <w:sz w:val="24"/>
          <w14:ligatures w14:val="standardContextual"/>
        </w:rPr>
      </w:pPr>
      <w:r w:rsidRPr="00023102">
        <w:rPr>
          <w:rFonts w:ascii="Cambria Math" w:hAnsi="Cambria Math" w:cs="Cambria Math"/>
          <w:bCs/>
          <w:sz w:val="24"/>
          <w14:ligatures w14:val="standardContextual"/>
        </w:rPr>
        <w:t>𝑀𝑐</w:t>
      </w:r>
      <w:r w:rsidRPr="00023102">
        <w:rPr>
          <w:rFonts w:hint="eastAsia"/>
          <w:bCs/>
          <w:sz w:val="24"/>
          <w14:ligatures w14:val="standardContextual"/>
        </w:rPr>
        <w:t>为该笔基金份额持有期内累计计算的超额管理费。</w:t>
      </w:r>
    </w:p>
    <w:p w14:paraId="538C8664" w14:textId="5D8FB6BC" w:rsidR="002669DE" w:rsidRPr="00023102" w:rsidRDefault="002669DE" w:rsidP="002669DE">
      <w:pPr>
        <w:spacing w:line="360" w:lineRule="auto"/>
        <w:ind w:firstLineChars="200" w:firstLine="480"/>
        <w:rPr>
          <w:bCs/>
          <w:sz w:val="24"/>
          <w14:ligatures w14:val="standardContextual"/>
        </w:rPr>
      </w:pPr>
      <w:r w:rsidRPr="00023102">
        <w:rPr>
          <w:rFonts w:hint="eastAsia"/>
          <w:bCs/>
          <w:sz w:val="24"/>
          <w14:ligatures w14:val="standardContextual"/>
        </w:rPr>
        <w:lastRenderedPageBreak/>
        <w:t>对于已经确认为管理人收入的或有管理费，</w:t>
      </w:r>
      <w:r w:rsidRPr="00AD4F46">
        <w:rPr>
          <w:rFonts w:hint="eastAsia"/>
          <w:bCs/>
          <w:sz w:val="24"/>
        </w:rPr>
        <w:t>基金托管人按照与基金管理人协商一致的方式</w:t>
      </w:r>
      <w:r w:rsidRPr="003F4424">
        <w:rPr>
          <w:rFonts w:hint="eastAsia"/>
          <w:bCs/>
          <w:sz w:val="24"/>
          <w14:ligatures w14:val="standardContextual"/>
        </w:rPr>
        <w:t>在次月初五</w:t>
      </w:r>
      <w:proofErr w:type="gramStart"/>
      <w:r w:rsidRPr="003F4424">
        <w:rPr>
          <w:rFonts w:hint="eastAsia"/>
          <w:bCs/>
          <w:sz w:val="24"/>
          <w14:ligatures w14:val="standardContextual"/>
        </w:rPr>
        <w:t>个</w:t>
      </w:r>
      <w:proofErr w:type="gramEnd"/>
      <w:r w:rsidRPr="003F4424">
        <w:rPr>
          <w:rFonts w:hint="eastAsia"/>
          <w:bCs/>
          <w:sz w:val="24"/>
          <w14:ligatures w14:val="standardContextual"/>
        </w:rPr>
        <w:t>工作日内、按照指定的账户路径进行资金支付</w:t>
      </w:r>
      <w:r w:rsidRPr="00023102">
        <w:rPr>
          <w:rFonts w:hint="eastAsia"/>
          <w:bCs/>
          <w:sz w:val="24"/>
          <w14:ligatures w14:val="standardContextual"/>
        </w:rPr>
        <w:t>。</w:t>
      </w:r>
      <w:r w:rsidRPr="000B299F">
        <w:rPr>
          <w:rFonts w:hint="eastAsia"/>
          <w:bCs/>
          <w:sz w:val="24"/>
          <w14:ligatures w14:val="standardContextual"/>
        </w:rPr>
        <w:t>对于已经确认为管理人收入的超额管理费，基金托管人将按照与基金管理人双方协商一致的方式支付给</w:t>
      </w:r>
      <w:r>
        <w:rPr>
          <w:rFonts w:hint="eastAsia"/>
          <w:bCs/>
          <w:sz w:val="24"/>
          <w14:ligatures w14:val="standardContextual"/>
        </w:rPr>
        <w:t>基金</w:t>
      </w:r>
      <w:r w:rsidRPr="000B299F">
        <w:rPr>
          <w:rFonts w:hint="eastAsia"/>
          <w:bCs/>
          <w:sz w:val="24"/>
          <w14:ligatures w14:val="standardContextual"/>
        </w:rPr>
        <w:t>管理人。</w:t>
      </w:r>
      <w:r w:rsidRPr="00023102">
        <w:rPr>
          <w:rFonts w:hint="eastAsia"/>
          <w:bCs/>
          <w:sz w:val="24"/>
          <w14:ligatures w14:val="standardContextual"/>
        </w:rPr>
        <w:t>若遇法定节假日、休息日或不可抗力致使无法按时支付的，支付日期顺延。费用扣划后，基金管理人应进行核对，如发现数据不符，及时联系基金托管人协商解决。</w:t>
      </w:r>
      <w:r w:rsidR="004422BA" w:rsidRPr="00F93683">
        <w:rPr>
          <w:rFonts w:hint="eastAsia"/>
          <w:bCs/>
          <w:sz w:val="24"/>
          <w14:ligatures w14:val="standardContextual"/>
        </w:rPr>
        <w:t>因涉及相关数据，或有管理费及超额管理费的计算和复核工作由基金管理人完成，相关信息以注册登记机构计算结果为准，基金托管人不承担复核责任。</w:t>
      </w:r>
    </w:p>
    <w:p w14:paraId="510C8537" w14:textId="77777777" w:rsidR="002669DE" w:rsidRPr="00AD4F46" w:rsidRDefault="002669DE" w:rsidP="002669DE">
      <w:pPr>
        <w:spacing w:line="360" w:lineRule="auto"/>
        <w:ind w:firstLineChars="200" w:firstLine="480"/>
        <w:rPr>
          <w:bCs/>
          <w:sz w:val="24"/>
        </w:rPr>
      </w:pPr>
      <w:r w:rsidRPr="00023102">
        <w:rPr>
          <w:rFonts w:hint="eastAsia"/>
          <w:bCs/>
          <w:sz w:val="24"/>
        </w:rPr>
        <w:t>在不违反法律法规、基金合同的约定的情况下，基金管理人可根据基金实际运作情况和市场环境变化，经履行适当程序后，对本基金的管理费（</w:t>
      </w:r>
      <w:proofErr w:type="gramStart"/>
      <w:r w:rsidRPr="00023102">
        <w:rPr>
          <w:rFonts w:hint="eastAsia"/>
          <w:bCs/>
          <w:sz w:val="24"/>
        </w:rPr>
        <w:t>含固定</w:t>
      </w:r>
      <w:proofErr w:type="gramEnd"/>
      <w:r w:rsidRPr="00023102">
        <w:rPr>
          <w:rFonts w:hint="eastAsia"/>
          <w:bCs/>
          <w:sz w:val="24"/>
        </w:rPr>
        <w:t>管理费、或有管理费和超额管理费）计提标准或收取方式进行调整。</w:t>
      </w:r>
    </w:p>
    <w:p w14:paraId="6275B51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（二）基金托管费的计提比例和计提方法</w:t>
      </w:r>
    </w:p>
    <w:p w14:paraId="58B1F7F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本基金的托管费按前一日基金资产净值的0</w:t>
      </w:r>
      <w:r>
        <w:rPr>
          <w:rFonts w:ascii="宋体" w:hAnsi="宋体" w:cs="Arial"/>
          <w:sz w:val="24"/>
        </w:rPr>
        <w:t>.20</w:t>
      </w:r>
      <w:r>
        <w:rPr>
          <w:rFonts w:ascii="宋体" w:hAnsi="宋体" w:cs="Arial" w:hint="eastAsia"/>
          <w:sz w:val="24"/>
        </w:rPr>
        <w:t>%年费率计提。托管费的计算方法如下：</w:t>
      </w:r>
    </w:p>
    <w:p w14:paraId="3E81D3A9" w14:textId="45A28806"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H＝E×0</w:t>
      </w:r>
      <w:r>
        <w:rPr>
          <w:rFonts w:ascii="宋体" w:hAnsi="宋体" w:cs="Arial"/>
          <w:sz w:val="24"/>
        </w:rPr>
        <w:t>.20%</w:t>
      </w:r>
      <w:r>
        <w:rPr>
          <w:rFonts w:ascii="宋体" w:hAnsi="宋体" w:cs="Arial" w:hint="eastAsia"/>
          <w:sz w:val="24"/>
        </w:rPr>
        <w:t>÷当年天数</w:t>
      </w:r>
    </w:p>
    <w:p w14:paraId="15A1BE9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H为每日应计提的基金托管费</w:t>
      </w:r>
    </w:p>
    <w:p w14:paraId="791918D7" w14:textId="201B60FD"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E为前一日的基金资产净值</w:t>
      </w:r>
    </w:p>
    <w:p w14:paraId="55648A33" w14:textId="3AF1DC3D" w:rsidR="002669DE" w:rsidRDefault="002669DE">
      <w:pPr>
        <w:adjustRightInd w:val="0"/>
        <w:snapToGrid w:val="0"/>
        <w:spacing w:line="360" w:lineRule="auto"/>
        <w:ind w:firstLineChars="200" w:firstLine="480"/>
        <w:rPr>
          <w:rFonts w:ascii="宋体" w:hAnsi="宋体" w:cs="Arial"/>
          <w:sz w:val="24"/>
        </w:rPr>
      </w:pPr>
      <w:r w:rsidRPr="002669DE">
        <w:rPr>
          <w:rFonts w:ascii="宋体" w:hAnsi="宋体" w:cs="Arial" w:hint="eastAsia"/>
          <w:sz w:val="24"/>
        </w:rPr>
        <w:t>基金托管费每日计算，逐日累计至每月月末，按月支付，由基金管理人与基金托管人核对一致后，基金托管人按照与基金管理人协商一致的方式于次月首日起5个工作日内从基金财产中一次性支付给基金托管人。若遇法定节假日、公休日或不可抗力等，支付日期顺延。费用扣划后，管理人应进行核对，如发现数据不符，及时联系托管人协商解决。</w:t>
      </w:r>
    </w:p>
    <w:p w14:paraId="52DAF195" w14:textId="2FD1A84E" w:rsidR="005B7AA2" w:rsidRDefault="00E2176E">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E50B4E">
        <w:rPr>
          <w:rFonts w:ascii="宋体" w:hAnsi="宋体" w:cs="Arial" w:hint="eastAsia"/>
          <w:sz w:val="24"/>
        </w:rPr>
        <w:t>三）基金销售服务费</w:t>
      </w:r>
    </w:p>
    <w:p w14:paraId="3472B62C" w14:textId="427AECE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本基金A类基金份额不收取销售服务费，C类基金份额的销售服务费按前一日C类基金份额资产净值的0.</w:t>
      </w:r>
      <w:r w:rsidR="00D9035A">
        <w:rPr>
          <w:rFonts w:ascii="宋体" w:hAnsi="宋体" w:cs="Arial"/>
          <w:sz w:val="24"/>
        </w:rPr>
        <w:t>40</w:t>
      </w:r>
      <w:r>
        <w:rPr>
          <w:rFonts w:ascii="宋体" w:hAnsi="宋体" w:cs="Arial" w:hint="eastAsia"/>
          <w:sz w:val="24"/>
        </w:rPr>
        <w:t>%年费率计提。计算方法如下：</w:t>
      </w:r>
    </w:p>
    <w:p w14:paraId="2FC3960B" w14:textId="0BEE80E1"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H＝E×0.</w:t>
      </w:r>
      <w:r w:rsidR="00D9035A">
        <w:rPr>
          <w:rFonts w:ascii="宋体" w:hAnsi="宋体" w:cs="Arial"/>
          <w:sz w:val="24"/>
        </w:rPr>
        <w:t>40</w:t>
      </w:r>
      <w:r>
        <w:rPr>
          <w:rFonts w:ascii="宋体" w:hAnsi="宋体" w:cs="Arial" w:hint="eastAsia"/>
          <w:sz w:val="24"/>
        </w:rPr>
        <w:t>%÷当年天数</w:t>
      </w:r>
    </w:p>
    <w:p w14:paraId="7D5FF89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H为C类基金份额每日应计提的销售服务费</w:t>
      </w:r>
    </w:p>
    <w:p w14:paraId="65D09577" w14:textId="0116975A"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E为C类基金份额前一日基金资产净值</w:t>
      </w:r>
    </w:p>
    <w:p w14:paraId="7E7B90DE" w14:textId="21F87D9C" w:rsidR="007E4685" w:rsidRPr="007E4685" w:rsidRDefault="007E4685" w:rsidP="007E4685">
      <w:pPr>
        <w:spacing w:line="360" w:lineRule="auto"/>
        <w:ind w:firstLineChars="200" w:firstLine="480"/>
        <w:rPr>
          <w:color w:val="000000"/>
          <w:sz w:val="24"/>
        </w:rPr>
      </w:pPr>
      <w:r w:rsidRPr="007E4685">
        <w:rPr>
          <w:rFonts w:hint="eastAsia"/>
          <w:color w:val="000000"/>
          <w:sz w:val="24"/>
        </w:rPr>
        <w:t>销售服务费每日计提。</w:t>
      </w:r>
    </w:p>
    <w:p w14:paraId="65718809" w14:textId="77777777" w:rsidR="007E4685" w:rsidRPr="007E4685" w:rsidRDefault="007E4685" w:rsidP="007E4685">
      <w:pPr>
        <w:spacing w:line="360" w:lineRule="auto"/>
        <w:ind w:firstLineChars="200" w:firstLine="480"/>
        <w:rPr>
          <w:color w:val="000000"/>
          <w:sz w:val="24"/>
        </w:rPr>
      </w:pPr>
      <w:r w:rsidRPr="007E4685">
        <w:rPr>
          <w:rFonts w:hint="eastAsia"/>
          <w:color w:val="000000"/>
          <w:sz w:val="24"/>
        </w:rPr>
        <w:t>（</w:t>
      </w:r>
      <w:r w:rsidRPr="007E4685">
        <w:rPr>
          <w:rFonts w:hint="eastAsia"/>
          <w:color w:val="000000"/>
          <w:sz w:val="24"/>
        </w:rPr>
        <w:t>1</w:t>
      </w:r>
      <w:r w:rsidRPr="007E4685">
        <w:rPr>
          <w:rFonts w:hint="eastAsia"/>
          <w:color w:val="000000"/>
          <w:sz w:val="24"/>
        </w:rPr>
        <w:t>）直销机构：</w:t>
      </w:r>
    </w:p>
    <w:p w14:paraId="4F7CB6FB" w14:textId="366C9CC3" w:rsidR="007E4685" w:rsidRPr="007E4685" w:rsidRDefault="007E4685" w:rsidP="007E4685">
      <w:pPr>
        <w:spacing w:line="360" w:lineRule="auto"/>
        <w:ind w:firstLineChars="200" w:firstLine="480"/>
        <w:rPr>
          <w:color w:val="000000"/>
          <w:sz w:val="24"/>
        </w:rPr>
      </w:pPr>
      <w:r w:rsidRPr="007E4685">
        <w:rPr>
          <w:rFonts w:hint="eastAsia"/>
          <w:color w:val="000000"/>
          <w:sz w:val="24"/>
        </w:rPr>
        <w:lastRenderedPageBreak/>
        <w:t>对于投资者通过直销机构持有的</w:t>
      </w:r>
      <w:r w:rsidRPr="007E4685">
        <w:rPr>
          <w:rFonts w:hint="eastAsia"/>
          <w:color w:val="000000"/>
          <w:sz w:val="24"/>
        </w:rPr>
        <w:t>C</w:t>
      </w:r>
      <w:r w:rsidRPr="007E4685">
        <w:rPr>
          <w:rFonts w:hint="eastAsia"/>
          <w:color w:val="000000"/>
          <w:sz w:val="24"/>
        </w:rPr>
        <w:t>类基金份额计提的销售服务费，在投资者赎回</w:t>
      </w:r>
      <w:r w:rsidRPr="007E4685">
        <w:rPr>
          <w:rFonts w:hint="eastAsia"/>
          <w:color w:val="000000"/>
          <w:sz w:val="24"/>
        </w:rPr>
        <w:t>C</w:t>
      </w:r>
      <w:r w:rsidRPr="007E4685">
        <w:rPr>
          <w:rFonts w:hint="eastAsia"/>
          <w:color w:val="000000"/>
          <w:sz w:val="24"/>
        </w:rPr>
        <w:t>类基金份额或基金合同终止时，随赎回款（或清算款）一并返还给投资者。</w:t>
      </w:r>
      <w:r w:rsidR="007441D1" w:rsidRPr="007441D1">
        <w:rPr>
          <w:rFonts w:hint="eastAsia"/>
          <w:color w:val="000000"/>
          <w:sz w:val="24"/>
        </w:rPr>
        <w:t>若遇法定节假日、公休日或不可抗力等，支付日期顺延。费用扣划后，</w:t>
      </w:r>
      <w:r w:rsidR="00F11FF8">
        <w:rPr>
          <w:rFonts w:hint="eastAsia"/>
          <w:color w:val="000000"/>
          <w:sz w:val="24"/>
        </w:rPr>
        <w:t>基金</w:t>
      </w:r>
      <w:r w:rsidR="007441D1" w:rsidRPr="007441D1">
        <w:rPr>
          <w:rFonts w:hint="eastAsia"/>
          <w:color w:val="000000"/>
          <w:sz w:val="24"/>
        </w:rPr>
        <w:t>管理人应进行核对，如发现数据不符，及时联系</w:t>
      </w:r>
      <w:r w:rsidR="00F11FF8">
        <w:rPr>
          <w:rFonts w:hint="eastAsia"/>
          <w:color w:val="000000"/>
          <w:sz w:val="24"/>
        </w:rPr>
        <w:t>基金</w:t>
      </w:r>
      <w:r w:rsidR="007441D1" w:rsidRPr="007441D1">
        <w:rPr>
          <w:rFonts w:hint="eastAsia"/>
          <w:color w:val="000000"/>
          <w:sz w:val="24"/>
        </w:rPr>
        <w:t>托管人协商解决。</w:t>
      </w:r>
    </w:p>
    <w:p w14:paraId="7E84A2BB" w14:textId="77777777" w:rsidR="007E4685" w:rsidRPr="007E4685" w:rsidRDefault="007E4685" w:rsidP="007E4685">
      <w:pPr>
        <w:spacing w:line="360" w:lineRule="auto"/>
        <w:ind w:firstLineChars="200" w:firstLine="480"/>
        <w:rPr>
          <w:color w:val="000000"/>
          <w:sz w:val="24"/>
        </w:rPr>
      </w:pPr>
      <w:r w:rsidRPr="007E4685">
        <w:rPr>
          <w:rFonts w:hint="eastAsia"/>
          <w:color w:val="000000"/>
          <w:sz w:val="24"/>
        </w:rPr>
        <w:t>基金管理人基金销售子公司销售母公司所管理基金的，按照本条要求执行。</w:t>
      </w:r>
    </w:p>
    <w:p w14:paraId="4163E12F" w14:textId="77777777" w:rsidR="007E4685" w:rsidRPr="007E4685" w:rsidRDefault="007E4685" w:rsidP="007E4685">
      <w:pPr>
        <w:spacing w:line="360" w:lineRule="auto"/>
        <w:ind w:firstLineChars="200" w:firstLine="480"/>
        <w:rPr>
          <w:color w:val="000000"/>
          <w:sz w:val="24"/>
        </w:rPr>
      </w:pPr>
      <w:r w:rsidRPr="007E4685">
        <w:rPr>
          <w:rFonts w:hint="eastAsia"/>
          <w:color w:val="000000"/>
          <w:sz w:val="24"/>
        </w:rPr>
        <w:t>（</w:t>
      </w:r>
      <w:r w:rsidRPr="007E4685">
        <w:rPr>
          <w:rFonts w:hint="eastAsia"/>
          <w:color w:val="000000"/>
          <w:sz w:val="24"/>
        </w:rPr>
        <w:t>2</w:t>
      </w:r>
      <w:r w:rsidRPr="007E4685">
        <w:rPr>
          <w:rFonts w:hint="eastAsia"/>
          <w:color w:val="000000"/>
          <w:sz w:val="24"/>
        </w:rPr>
        <w:t>）直销机构以外的其他销售机构：</w:t>
      </w:r>
    </w:p>
    <w:p w14:paraId="2FC2AEA7" w14:textId="6671F0F5" w:rsidR="007E4685" w:rsidRPr="007E4685" w:rsidRDefault="007E4685" w:rsidP="007E4685">
      <w:pPr>
        <w:spacing w:line="360" w:lineRule="auto"/>
        <w:ind w:firstLineChars="200" w:firstLine="480"/>
        <w:rPr>
          <w:color w:val="000000"/>
          <w:sz w:val="24"/>
        </w:rPr>
      </w:pPr>
      <w:r w:rsidRPr="007E4685">
        <w:rPr>
          <w:rFonts w:hint="eastAsia"/>
          <w:color w:val="000000"/>
          <w:sz w:val="24"/>
        </w:rPr>
        <w:t>对于投资者持续持有期限未超过一年（即</w:t>
      </w:r>
      <w:r w:rsidRPr="007E4685">
        <w:rPr>
          <w:rFonts w:hint="eastAsia"/>
          <w:color w:val="000000"/>
          <w:sz w:val="24"/>
        </w:rPr>
        <w:t>365</w:t>
      </w:r>
      <w:r w:rsidRPr="007E4685">
        <w:rPr>
          <w:rFonts w:hint="eastAsia"/>
          <w:color w:val="000000"/>
          <w:sz w:val="24"/>
        </w:rPr>
        <w:t>天，下同）的基金份额收取的销售服务费，逐日累计至每月月末，按月支付，基金托管人按照与基金管理人协商一致的方式于次月首日起</w:t>
      </w:r>
      <w:r w:rsidRPr="007E4685">
        <w:rPr>
          <w:rFonts w:hint="eastAsia"/>
          <w:color w:val="000000"/>
          <w:sz w:val="24"/>
        </w:rPr>
        <w:t>5</w:t>
      </w:r>
      <w:r w:rsidRPr="007E4685">
        <w:rPr>
          <w:rFonts w:hint="eastAsia"/>
          <w:color w:val="000000"/>
          <w:sz w:val="24"/>
        </w:rPr>
        <w:t>个工作日内从基金财产中一次性支付。若遇法定节假日、公休日或不可抗力等，支付日期顺延。</w:t>
      </w:r>
      <w:r w:rsidR="007441D1" w:rsidRPr="007441D1">
        <w:rPr>
          <w:rFonts w:hint="eastAsia"/>
          <w:color w:val="000000"/>
          <w:sz w:val="24"/>
        </w:rPr>
        <w:t>费用扣划后，</w:t>
      </w:r>
      <w:r w:rsidR="00F11FF8">
        <w:rPr>
          <w:rFonts w:hint="eastAsia"/>
          <w:color w:val="000000"/>
          <w:sz w:val="24"/>
        </w:rPr>
        <w:t>基金</w:t>
      </w:r>
      <w:r w:rsidR="007441D1" w:rsidRPr="007441D1">
        <w:rPr>
          <w:rFonts w:hint="eastAsia"/>
          <w:color w:val="000000"/>
          <w:sz w:val="24"/>
        </w:rPr>
        <w:t>管理人应进行核对，如发现数据不符，及时联系</w:t>
      </w:r>
      <w:r w:rsidR="00F11FF8">
        <w:rPr>
          <w:rFonts w:hint="eastAsia"/>
          <w:color w:val="000000"/>
          <w:sz w:val="24"/>
        </w:rPr>
        <w:t>基金</w:t>
      </w:r>
      <w:r w:rsidR="007441D1" w:rsidRPr="007441D1">
        <w:rPr>
          <w:rFonts w:hint="eastAsia"/>
          <w:color w:val="000000"/>
          <w:sz w:val="24"/>
        </w:rPr>
        <w:t>托管人协商解决。</w:t>
      </w:r>
    </w:p>
    <w:p w14:paraId="5AB8F943" w14:textId="58364D58" w:rsidR="002669DE" w:rsidRDefault="007E4685" w:rsidP="007E4685">
      <w:pPr>
        <w:spacing w:line="360" w:lineRule="auto"/>
        <w:ind w:firstLineChars="200" w:firstLine="480"/>
        <w:rPr>
          <w:color w:val="000000"/>
          <w:sz w:val="24"/>
        </w:rPr>
      </w:pPr>
      <w:r w:rsidRPr="007E4685">
        <w:rPr>
          <w:rFonts w:hint="eastAsia"/>
          <w:color w:val="000000"/>
          <w:sz w:val="24"/>
        </w:rPr>
        <w:t>对于持续持有期限超过一年的基金份额，持有超过一年后继续计提的销售服务费，在投资者赎回基金份额或基金合同终止时，随赎回款（或清算款）一并返还给投资者。</w:t>
      </w:r>
      <w:r w:rsidR="00F11FF8" w:rsidRPr="00F11FF8">
        <w:rPr>
          <w:rFonts w:hint="eastAsia"/>
          <w:color w:val="000000"/>
          <w:sz w:val="24"/>
        </w:rPr>
        <w:t>若遇法定节假日、公休日或不可抗力等，支付日期顺延。</w:t>
      </w:r>
    </w:p>
    <w:p w14:paraId="50DC6437" w14:textId="4E406EB8" w:rsidR="007441D1" w:rsidRDefault="007441D1" w:rsidP="007E4685">
      <w:pPr>
        <w:spacing w:line="360" w:lineRule="auto"/>
        <w:ind w:firstLineChars="200" w:firstLine="480"/>
        <w:rPr>
          <w:rFonts w:ascii="宋体" w:hAnsi="宋体" w:cs="Arial"/>
          <w:sz w:val="24"/>
        </w:rPr>
      </w:pPr>
      <w:r w:rsidRPr="007441D1">
        <w:rPr>
          <w:rFonts w:ascii="宋体" w:hAnsi="宋体" w:cs="Arial" w:hint="eastAsia"/>
          <w:sz w:val="24"/>
        </w:rPr>
        <w:t>因涉及相关数据，应付销售服务费的计算和复核工作由基金管理人完成，相关信息以注册登记机构计算结果为准，基金托管人不承担复核责任。</w:t>
      </w:r>
    </w:p>
    <w:p w14:paraId="1FE07297" w14:textId="10A396AB"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（四）证券账户开户费用、证券、期货</w:t>
      </w:r>
      <w:r w:rsidR="002669DE">
        <w:rPr>
          <w:rFonts w:ascii="宋体" w:hAnsi="宋体" w:cs="Arial" w:hint="eastAsia"/>
          <w:sz w:val="24"/>
        </w:rPr>
        <w:t>、期权</w:t>
      </w:r>
      <w:r>
        <w:rPr>
          <w:rFonts w:ascii="宋体" w:hAnsi="宋体" w:cs="Arial" w:hint="eastAsia"/>
          <w:sz w:val="24"/>
        </w:rPr>
        <w:t>交易费用、</w:t>
      </w:r>
      <w:r w:rsidRPr="006814CC">
        <w:rPr>
          <w:rFonts w:ascii="宋体" w:hAnsi="宋体" w:cs="Arial" w:hint="eastAsia"/>
          <w:sz w:val="24"/>
        </w:rPr>
        <w:t>因投资港股通标的股票而产生的各项合理费用、</w:t>
      </w:r>
      <w:r>
        <w:rPr>
          <w:rFonts w:ascii="宋体" w:hAnsi="宋体" w:cs="Arial" w:hint="eastAsia"/>
          <w:sz w:val="24"/>
        </w:rPr>
        <w:t>基金财产划拨支付的银行费用、账户维护费、《基金合同》生效后的信息披露费用、基金份额持有人大会费用、《基金合同》生效后与基金有关的会计师费、律师费</w:t>
      </w:r>
      <w:r>
        <w:rPr>
          <w:rFonts w:asciiTheme="minorEastAsia" w:hAnsiTheme="minorEastAsia" w:cs="Arial" w:hint="eastAsia"/>
          <w:sz w:val="24"/>
        </w:rPr>
        <w:t>、</w:t>
      </w:r>
      <w:r w:rsidR="002669DE">
        <w:rPr>
          <w:rFonts w:asciiTheme="minorEastAsia" w:hAnsiTheme="minorEastAsia" w:cs="Arial" w:hint="eastAsia"/>
          <w:sz w:val="24"/>
        </w:rPr>
        <w:t>公证费、</w:t>
      </w:r>
      <w:r>
        <w:rPr>
          <w:rFonts w:asciiTheme="minorEastAsia" w:hAnsiTheme="minorEastAsia" w:cs="Arial" w:hint="eastAsia"/>
          <w:sz w:val="24"/>
        </w:rPr>
        <w:t>诉讼费和仲裁费</w:t>
      </w:r>
      <w:r>
        <w:rPr>
          <w:rFonts w:ascii="宋体" w:hAnsi="宋体" w:cs="Arial" w:hint="eastAsia"/>
          <w:sz w:val="24"/>
        </w:rPr>
        <w:t>等根据有关法律法规、《基金合同》及相应协议的规定，列入当期基金费用。</w:t>
      </w:r>
    </w:p>
    <w:p w14:paraId="7D2065F6" w14:textId="1C8CBC2E" w:rsidR="00077BAE" w:rsidRDefault="00E50B4E" w:rsidP="00077BA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w:t>
      </w:r>
      <w:r w:rsidR="002669DE">
        <w:rPr>
          <w:rFonts w:ascii="宋体" w:hAnsi="宋体" w:cs="Arial" w:hint="eastAsia"/>
          <w:sz w:val="24"/>
        </w:rPr>
        <w:t>五</w:t>
      </w:r>
      <w:r w:rsidR="00077BAE">
        <w:rPr>
          <w:rFonts w:ascii="宋体" w:hAnsi="宋体" w:cs="Arial"/>
          <w:sz w:val="24"/>
        </w:rPr>
        <w:t>）</w:t>
      </w:r>
      <w:r w:rsidR="00077BAE">
        <w:rPr>
          <w:rFonts w:ascii="宋体" w:hAnsi="宋体" w:cs="Arial" w:hint="eastAsia"/>
          <w:sz w:val="24"/>
        </w:rPr>
        <w:t>不列入基金费用的项目</w:t>
      </w:r>
    </w:p>
    <w:p w14:paraId="5EF49756" w14:textId="77777777" w:rsidR="00077BAE" w:rsidRDefault="00077BAE" w:rsidP="00077BA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560CA050" w14:textId="26D3E853" w:rsidR="005B7AA2" w:rsidRDefault="00077BA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w:t>
      </w:r>
      <w:r w:rsidR="00E50B4E">
        <w:rPr>
          <w:rFonts w:ascii="宋体" w:hAnsi="宋体" w:cs="Arial" w:hint="eastAsia"/>
          <w:sz w:val="24"/>
        </w:rPr>
        <w:t>）基金管理费、基金托管费、销售服务费的复核程序、支付方式和时间</w:t>
      </w:r>
    </w:p>
    <w:p w14:paraId="67EE2BF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1.复核程序</w:t>
      </w:r>
    </w:p>
    <w:p w14:paraId="37197ED1" w14:textId="3C13D4B6"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基金托管人对基金管理人计提的基金管理费、基金托管费、销售服务费等，根据本托管协议和《基金合同》的有关规定进行复核。</w:t>
      </w:r>
    </w:p>
    <w:p w14:paraId="20FD8E3B"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2.支付方式和时间</w:t>
      </w:r>
    </w:p>
    <w:p w14:paraId="166B94C6" w14:textId="7F2BB0C9" w:rsidR="00F93683" w:rsidRPr="00F93683" w:rsidRDefault="00F93683" w:rsidP="00F93683">
      <w:pPr>
        <w:adjustRightInd w:val="0"/>
        <w:snapToGrid w:val="0"/>
        <w:spacing w:line="360" w:lineRule="auto"/>
        <w:ind w:firstLineChars="200" w:firstLine="480"/>
        <w:rPr>
          <w:rFonts w:ascii="宋体" w:hAnsi="宋体" w:cs="Arial"/>
          <w:sz w:val="24"/>
        </w:rPr>
      </w:pPr>
      <w:r w:rsidRPr="00F93683">
        <w:rPr>
          <w:rFonts w:ascii="宋体" w:hAnsi="宋体" w:cs="Arial" w:hint="eastAsia"/>
          <w:sz w:val="24"/>
        </w:rPr>
        <w:t>固定基金管理费</w:t>
      </w:r>
      <w:r w:rsidR="00E2176E">
        <w:rPr>
          <w:rFonts w:ascii="宋体" w:hAnsi="宋体" w:cs="Arial" w:hint="eastAsia"/>
          <w:sz w:val="24"/>
        </w:rPr>
        <w:t>和</w:t>
      </w:r>
      <w:r w:rsidRPr="00F93683">
        <w:rPr>
          <w:rFonts w:ascii="宋体" w:hAnsi="宋体" w:cs="Arial" w:hint="eastAsia"/>
          <w:sz w:val="24"/>
        </w:rPr>
        <w:t>基金托管费每日计提，逐日累计至每个月月末，按月支付。由基金托管人根据与基金管理人核对一致的财务数据，按照与基金管理人协商一致的方式在月初5</w:t>
      </w:r>
      <w:proofErr w:type="gramStart"/>
      <w:r w:rsidRPr="00F93683">
        <w:rPr>
          <w:rFonts w:ascii="宋体" w:hAnsi="宋体" w:cs="Arial" w:hint="eastAsia"/>
          <w:sz w:val="24"/>
        </w:rPr>
        <w:t>个</w:t>
      </w:r>
      <w:proofErr w:type="gramEnd"/>
      <w:r w:rsidRPr="00F93683">
        <w:rPr>
          <w:rFonts w:ascii="宋体" w:hAnsi="宋体" w:cs="Arial" w:hint="eastAsia"/>
          <w:sz w:val="24"/>
        </w:rPr>
        <w:t>工作日内、按照指定的账户路径进行资金支付。若遇法定节假日、休息日等，支付日期顺延。费用扣划后，基金管理人应进行核对，如发现数据不符，及时联系基金托管人协商解决。</w:t>
      </w:r>
    </w:p>
    <w:p w14:paraId="383727AD" w14:textId="0950DA40" w:rsidR="00F93683" w:rsidRDefault="00F93683" w:rsidP="00F93683">
      <w:pPr>
        <w:adjustRightInd w:val="0"/>
        <w:snapToGrid w:val="0"/>
        <w:spacing w:line="360" w:lineRule="auto"/>
        <w:ind w:firstLineChars="200" w:firstLine="480"/>
        <w:rPr>
          <w:rFonts w:ascii="宋体" w:hAnsi="宋体" w:cs="Arial"/>
          <w:sz w:val="24"/>
        </w:rPr>
      </w:pPr>
      <w:r w:rsidRPr="00F93683">
        <w:rPr>
          <w:rFonts w:ascii="宋体" w:hAnsi="宋体" w:cs="Arial" w:hint="eastAsia"/>
          <w:sz w:val="24"/>
        </w:rPr>
        <w:t>对于已经确认为管理人收入的或有管理费，基金托管人按照与基金管理人协商一致的方式在次月初五</w:t>
      </w:r>
      <w:proofErr w:type="gramStart"/>
      <w:r w:rsidRPr="00F93683">
        <w:rPr>
          <w:rFonts w:ascii="宋体" w:hAnsi="宋体" w:cs="Arial" w:hint="eastAsia"/>
          <w:sz w:val="24"/>
        </w:rPr>
        <w:t>个</w:t>
      </w:r>
      <w:proofErr w:type="gramEnd"/>
      <w:r w:rsidRPr="00F93683">
        <w:rPr>
          <w:rFonts w:ascii="宋体" w:hAnsi="宋体" w:cs="Arial" w:hint="eastAsia"/>
          <w:sz w:val="24"/>
        </w:rPr>
        <w:t>工作日内、按照指定的账户路径进行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7FC08B7E" w14:textId="77777777" w:rsidR="007E4685" w:rsidRPr="007E4685" w:rsidRDefault="007E4685" w:rsidP="007E4685">
      <w:pPr>
        <w:adjustRightInd w:val="0"/>
        <w:snapToGrid w:val="0"/>
        <w:spacing w:line="360" w:lineRule="auto"/>
        <w:ind w:firstLineChars="200" w:firstLine="480"/>
        <w:rPr>
          <w:color w:val="000000"/>
          <w:sz w:val="24"/>
        </w:rPr>
      </w:pPr>
      <w:r w:rsidRPr="007E4685">
        <w:rPr>
          <w:rFonts w:hint="eastAsia"/>
          <w:color w:val="000000"/>
          <w:sz w:val="24"/>
        </w:rPr>
        <w:t>销售服务费每日计提。</w:t>
      </w:r>
    </w:p>
    <w:p w14:paraId="18B45C68" w14:textId="77777777" w:rsidR="007E4685" w:rsidRPr="007E4685" w:rsidRDefault="007E4685" w:rsidP="007E4685">
      <w:pPr>
        <w:adjustRightInd w:val="0"/>
        <w:snapToGrid w:val="0"/>
        <w:spacing w:line="360" w:lineRule="auto"/>
        <w:ind w:firstLineChars="200" w:firstLine="480"/>
        <w:rPr>
          <w:color w:val="000000"/>
          <w:sz w:val="24"/>
        </w:rPr>
      </w:pPr>
      <w:r w:rsidRPr="007E4685">
        <w:rPr>
          <w:rFonts w:hint="eastAsia"/>
          <w:color w:val="000000"/>
          <w:sz w:val="24"/>
        </w:rPr>
        <w:t>（</w:t>
      </w:r>
      <w:r w:rsidRPr="007E4685">
        <w:rPr>
          <w:rFonts w:hint="eastAsia"/>
          <w:color w:val="000000"/>
          <w:sz w:val="24"/>
        </w:rPr>
        <w:t>1</w:t>
      </w:r>
      <w:r w:rsidRPr="007E4685">
        <w:rPr>
          <w:rFonts w:hint="eastAsia"/>
          <w:color w:val="000000"/>
          <w:sz w:val="24"/>
        </w:rPr>
        <w:t>）直销机构：</w:t>
      </w:r>
    </w:p>
    <w:p w14:paraId="5A49D088" w14:textId="24595505" w:rsidR="007E4685" w:rsidRPr="007E4685" w:rsidRDefault="007E4685" w:rsidP="007E4685">
      <w:pPr>
        <w:adjustRightInd w:val="0"/>
        <w:snapToGrid w:val="0"/>
        <w:spacing w:line="360" w:lineRule="auto"/>
        <w:ind w:firstLineChars="200" w:firstLine="480"/>
        <w:rPr>
          <w:color w:val="000000"/>
          <w:sz w:val="24"/>
        </w:rPr>
      </w:pPr>
      <w:r w:rsidRPr="007E4685">
        <w:rPr>
          <w:rFonts w:hint="eastAsia"/>
          <w:color w:val="000000"/>
          <w:sz w:val="24"/>
        </w:rPr>
        <w:t>对于投资者通过直销机构持有的</w:t>
      </w:r>
      <w:r w:rsidRPr="007E4685">
        <w:rPr>
          <w:rFonts w:hint="eastAsia"/>
          <w:color w:val="000000"/>
          <w:sz w:val="24"/>
        </w:rPr>
        <w:t>C</w:t>
      </w:r>
      <w:r w:rsidRPr="007E4685">
        <w:rPr>
          <w:rFonts w:hint="eastAsia"/>
          <w:color w:val="000000"/>
          <w:sz w:val="24"/>
        </w:rPr>
        <w:t>类基金份额计提的销售服务费，在投资者赎回</w:t>
      </w:r>
      <w:r w:rsidRPr="007E4685">
        <w:rPr>
          <w:rFonts w:hint="eastAsia"/>
          <w:color w:val="000000"/>
          <w:sz w:val="24"/>
        </w:rPr>
        <w:t>C</w:t>
      </w:r>
      <w:r w:rsidRPr="007E4685">
        <w:rPr>
          <w:rFonts w:hint="eastAsia"/>
          <w:color w:val="000000"/>
          <w:sz w:val="24"/>
        </w:rPr>
        <w:t>类基金份额或基金合同终止时，随赎回款（或清算款）一并返还给投资者。</w:t>
      </w:r>
      <w:r w:rsidR="007441D1" w:rsidRPr="007441D1">
        <w:rPr>
          <w:rFonts w:hint="eastAsia"/>
          <w:color w:val="000000"/>
          <w:sz w:val="24"/>
        </w:rPr>
        <w:t>若遇法定节假日、公休日或不可抗力等，支付日期顺延。费用扣划后，</w:t>
      </w:r>
      <w:r w:rsidR="00B2787A">
        <w:rPr>
          <w:rFonts w:hint="eastAsia"/>
          <w:color w:val="000000"/>
          <w:sz w:val="24"/>
        </w:rPr>
        <w:t>基金</w:t>
      </w:r>
      <w:r w:rsidR="007441D1" w:rsidRPr="007441D1">
        <w:rPr>
          <w:rFonts w:hint="eastAsia"/>
          <w:color w:val="000000"/>
          <w:sz w:val="24"/>
        </w:rPr>
        <w:t>管理人应进行核对，如发现数据不符，及时联系</w:t>
      </w:r>
      <w:r w:rsidR="00B2787A">
        <w:rPr>
          <w:rFonts w:hint="eastAsia"/>
          <w:color w:val="000000"/>
          <w:sz w:val="24"/>
        </w:rPr>
        <w:t>基金</w:t>
      </w:r>
      <w:r w:rsidR="007441D1" w:rsidRPr="007441D1">
        <w:rPr>
          <w:rFonts w:hint="eastAsia"/>
          <w:color w:val="000000"/>
          <w:sz w:val="24"/>
        </w:rPr>
        <w:t>托管人协商解决。</w:t>
      </w:r>
    </w:p>
    <w:p w14:paraId="5CD1C793" w14:textId="77777777" w:rsidR="007E4685" w:rsidRPr="007E4685" w:rsidRDefault="007E4685" w:rsidP="007E4685">
      <w:pPr>
        <w:adjustRightInd w:val="0"/>
        <w:snapToGrid w:val="0"/>
        <w:spacing w:line="360" w:lineRule="auto"/>
        <w:ind w:firstLineChars="200" w:firstLine="480"/>
        <w:rPr>
          <w:color w:val="000000"/>
          <w:sz w:val="24"/>
        </w:rPr>
      </w:pPr>
      <w:r w:rsidRPr="007E4685">
        <w:rPr>
          <w:rFonts w:hint="eastAsia"/>
          <w:color w:val="000000"/>
          <w:sz w:val="24"/>
        </w:rPr>
        <w:t>基金管理人基金销售子公司销售母公司所管理基金的，按照本条要求执行。</w:t>
      </w:r>
    </w:p>
    <w:p w14:paraId="76E227E4" w14:textId="77777777" w:rsidR="007E4685" w:rsidRPr="007E4685" w:rsidRDefault="007E4685" w:rsidP="007E4685">
      <w:pPr>
        <w:adjustRightInd w:val="0"/>
        <w:snapToGrid w:val="0"/>
        <w:spacing w:line="360" w:lineRule="auto"/>
        <w:ind w:firstLineChars="200" w:firstLine="480"/>
        <w:rPr>
          <w:color w:val="000000"/>
          <w:sz w:val="24"/>
        </w:rPr>
      </w:pPr>
      <w:r w:rsidRPr="007E4685">
        <w:rPr>
          <w:rFonts w:hint="eastAsia"/>
          <w:color w:val="000000"/>
          <w:sz w:val="24"/>
        </w:rPr>
        <w:t>（</w:t>
      </w:r>
      <w:r w:rsidRPr="007E4685">
        <w:rPr>
          <w:rFonts w:hint="eastAsia"/>
          <w:color w:val="000000"/>
          <w:sz w:val="24"/>
        </w:rPr>
        <w:t>2</w:t>
      </w:r>
      <w:r w:rsidRPr="007E4685">
        <w:rPr>
          <w:rFonts w:hint="eastAsia"/>
          <w:color w:val="000000"/>
          <w:sz w:val="24"/>
        </w:rPr>
        <w:t>）直销机构以外的其他销售机构：</w:t>
      </w:r>
    </w:p>
    <w:p w14:paraId="5D215FB2" w14:textId="48CDBA53" w:rsidR="007E4685" w:rsidRPr="007E4685" w:rsidRDefault="007E4685" w:rsidP="007E4685">
      <w:pPr>
        <w:adjustRightInd w:val="0"/>
        <w:snapToGrid w:val="0"/>
        <w:spacing w:line="360" w:lineRule="auto"/>
        <w:ind w:firstLineChars="200" w:firstLine="480"/>
        <w:rPr>
          <w:color w:val="000000"/>
          <w:sz w:val="24"/>
        </w:rPr>
      </w:pPr>
      <w:r w:rsidRPr="007E4685">
        <w:rPr>
          <w:rFonts w:hint="eastAsia"/>
          <w:color w:val="000000"/>
          <w:sz w:val="24"/>
        </w:rPr>
        <w:t>对于投资者持续持有期限未超过一年（即</w:t>
      </w:r>
      <w:r w:rsidRPr="007E4685">
        <w:rPr>
          <w:rFonts w:hint="eastAsia"/>
          <w:color w:val="000000"/>
          <w:sz w:val="24"/>
        </w:rPr>
        <w:t>365</w:t>
      </w:r>
      <w:r w:rsidRPr="007E4685">
        <w:rPr>
          <w:rFonts w:hint="eastAsia"/>
          <w:color w:val="000000"/>
          <w:sz w:val="24"/>
        </w:rPr>
        <w:t>天，下同）的基金份额收取的销售服务费，逐日累计至每月月末，按月支付，基金托管人按照与基金管理人协商一致的方式于次月首日起</w:t>
      </w:r>
      <w:r w:rsidRPr="007E4685">
        <w:rPr>
          <w:rFonts w:hint="eastAsia"/>
          <w:color w:val="000000"/>
          <w:sz w:val="24"/>
        </w:rPr>
        <w:t>5</w:t>
      </w:r>
      <w:r w:rsidRPr="007E4685">
        <w:rPr>
          <w:rFonts w:hint="eastAsia"/>
          <w:color w:val="000000"/>
          <w:sz w:val="24"/>
        </w:rPr>
        <w:t>个工作日内从基金财产中一次性支付。若遇法定节假日、公休日或不可抗力等，支付日期顺延。</w:t>
      </w:r>
      <w:r w:rsidR="007441D1" w:rsidRPr="007441D1">
        <w:rPr>
          <w:rFonts w:hint="eastAsia"/>
          <w:color w:val="000000"/>
          <w:sz w:val="24"/>
        </w:rPr>
        <w:t>费用扣划后，</w:t>
      </w:r>
      <w:r w:rsidR="00B2787A">
        <w:rPr>
          <w:rFonts w:hint="eastAsia"/>
          <w:color w:val="000000"/>
          <w:sz w:val="24"/>
        </w:rPr>
        <w:t>基金</w:t>
      </w:r>
      <w:r w:rsidR="007441D1" w:rsidRPr="007441D1">
        <w:rPr>
          <w:rFonts w:hint="eastAsia"/>
          <w:color w:val="000000"/>
          <w:sz w:val="24"/>
        </w:rPr>
        <w:t>管理人应进行核对，如发现数据不符，及时联系</w:t>
      </w:r>
      <w:r w:rsidR="00B2787A">
        <w:rPr>
          <w:rFonts w:hint="eastAsia"/>
          <w:color w:val="000000"/>
          <w:sz w:val="24"/>
        </w:rPr>
        <w:t>基金</w:t>
      </w:r>
      <w:r w:rsidR="007441D1" w:rsidRPr="007441D1">
        <w:rPr>
          <w:rFonts w:hint="eastAsia"/>
          <w:color w:val="000000"/>
          <w:sz w:val="24"/>
        </w:rPr>
        <w:t>托管人协商解决。</w:t>
      </w:r>
    </w:p>
    <w:p w14:paraId="07704B52" w14:textId="6686930F" w:rsidR="007441D1" w:rsidRPr="00E2176E" w:rsidRDefault="007E4685" w:rsidP="007E4685">
      <w:pPr>
        <w:adjustRightInd w:val="0"/>
        <w:snapToGrid w:val="0"/>
        <w:spacing w:line="360" w:lineRule="auto"/>
        <w:ind w:firstLineChars="200" w:firstLine="480"/>
        <w:rPr>
          <w:rFonts w:ascii="宋体" w:hAnsi="宋体" w:cs="Arial"/>
          <w:sz w:val="24"/>
        </w:rPr>
      </w:pPr>
      <w:r w:rsidRPr="007E4685">
        <w:rPr>
          <w:rFonts w:hint="eastAsia"/>
          <w:color w:val="000000"/>
          <w:sz w:val="24"/>
        </w:rPr>
        <w:t>对于持续持有期限超过一年的基金份额，持有超过一年后继续计提的销售服务费，在投资者赎回基金份额或基金合同终止时，随赎回款（或清算款）一并返还给投资者。</w:t>
      </w:r>
      <w:r w:rsidR="00F11FF8" w:rsidRPr="00F11FF8">
        <w:rPr>
          <w:rFonts w:hint="eastAsia"/>
          <w:color w:val="000000"/>
          <w:sz w:val="24"/>
        </w:rPr>
        <w:t>若遇法定节假日、公休日或不可抗力等，支付日期顺延。</w:t>
      </w:r>
    </w:p>
    <w:p w14:paraId="50A7575C" w14:textId="4A2A11FE" w:rsidR="005B7AA2" w:rsidRDefault="00F93683">
      <w:pPr>
        <w:adjustRightInd w:val="0"/>
        <w:snapToGrid w:val="0"/>
        <w:spacing w:line="360" w:lineRule="auto"/>
        <w:ind w:firstLineChars="200" w:firstLine="480"/>
        <w:rPr>
          <w:rFonts w:ascii="宋体" w:hAnsi="宋体" w:cs="Arial"/>
          <w:sz w:val="24"/>
        </w:rPr>
      </w:pPr>
      <w:r w:rsidRPr="00F93683">
        <w:rPr>
          <w:rFonts w:ascii="宋体" w:hAnsi="宋体" w:cs="Arial" w:hint="eastAsia"/>
          <w:sz w:val="24"/>
        </w:rPr>
        <w:t>因涉及相关数据，或有管理费和超额管理费的计算和复核工作由基金管理人完成，相关信息以注册登记机构计算结果为准</w:t>
      </w:r>
      <w:r w:rsidR="007441D1">
        <w:rPr>
          <w:rFonts w:ascii="宋体" w:hAnsi="宋体" w:cs="Arial" w:hint="eastAsia"/>
          <w:sz w:val="24"/>
        </w:rPr>
        <w:t>，</w:t>
      </w:r>
      <w:r w:rsidRPr="00F93683">
        <w:rPr>
          <w:rFonts w:ascii="宋体" w:hAnsi="宋体" w:cs="Arial" w:hint="eastAsia"/>
          <w:sz w:val="24"/>
        </w:rPr>
        <w:t>基金托管人不承担复核责任。</w:t>
      </w:r>
      <w:r w:rsidR="004348BA">
        <w:rPr>
          <w:rFonts w:ascii="宋体" w:hAnsi="宋体" w:cs="Arial" w:hint="eastAsia"/>
          <w:sz w:val="24"/>
        </w:rPr>
        <w:t>在</w:t>
      </w:r>
      <w:r w:rsidR="00E50B4E">
        <w:rPr>
          <w:rFonts w:ascii="宋体" w:hAnsi="宋体" w:cs="Arial" w:hint="eastAsia"/>
          <w:sz w:val="24"/>
        </w:rPr>
        <w:t>首</w:t>
      </w:r>
      <w:r w:rsidR="00E50B4E">
        <w:rPr>
          <w:rFonts w:ascii="宋体" w:hAnsi="宋体" w:cs="Arial" w:hint="eastAsia"/>
          <w:sz w:val="24"/>
        </w:rPr>
        <w:lastRenderedPageBreak/>
        <w:t>期支付基金管理费、销售服务费前，基金管理人应向托管人出具正式函件指定基金管理费、销售服务费的收款账户。基金管理人如需要</w:t>
      </w:r>
      <w:proofErr w:type="gramStart"/>
      <w:r w:rsidR="00E50B4E">
        <w:rPr>
          <w:rFonts w:ascii="宋体" w:hAnsi="宋体" w:cs="Arial" w:hint="eastAsia"/>
          <w:sz w:val="24"/>
        </w:rPr>
        <w:t>变更此</w:t>
      </w:r>
      <w:proofErr w:type="gramEnd"/>
      <w:r w:rsidR="00E50B4E">
        <w:rPr>
          <w:rFonts w:ascii="宋体" w:hAnsi="宋体" w:cs="Arial" w:hint="eastAsia"/>
          <w:sz w:val="24"/>
        </w:rPr>
        <w:t>账户，应提前5个工作日向托管人出具书面的收款账户变更通知。</w:t>
      </w:r>
    </w:p>
    <w:p w14:paraId="6DD23A2D" w14:textId="18702B6F"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077BAE">
        <w:rPr>
          <w:rFonts w:ascii="宋体" w:hAnsi="宋体" w:cs="Arial" w:hint="eastAsia"/>
          <w:sz w:val="24"/>
        </w:rPr>
        <w:t>七</w:t>
      </w:r>
      <w:r>
        <w:rPr>
          <w:rFonts w:ascii="宋体" w:hAnsi="宋体" w:cs="Arial" w:hint="eastAsia"/>
          <w:sz w:val="24"/>
        </w:rPr>
        <w:t>）违规处理方式</w:t>
      </w:r>
    </w:p>
    <w:p w14:paraId="350ECE3A"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40A66E8" w14:textId="6836009F" w:rsidR="005B7AA2" w:rsidRPr="006814CC" w:rsidRDefault="00E50B4E">
      <w:pPr>
        <w:adjustRightInd w:val="0"/>
        <w:snapToGrid w:val="0"/>
        <w:spacing w:line="360" w:lineRule="auto"/>
        <w:ind w:firstLineChars="200" w:firstLine="480"/>
        <w:rPr>
          <w:rFonts w:ascii="宋体" w:hAnsi="宋体" w:cs="Arial"/>
          <w:sz w:val="24"/>
        </w:rPr>
      </w:pPr>
      <w:r w:rsidRPr="006814CC">
        <w:rPr>
          <w:rFonts w:ascii="宋体" w:hAnsi="宋体" w:cs="Arial" w:hint="eastAsia"/>
          <w:sz w:val="24"/>
        </w:rPr>
        <w:t>（</w:t>
      </w:r>
      <w:r w:rsidR="00077BAE">
        <w:rPr>
          <w:rFonts w:ascii="宋体" w:hAnsi="宋体" w:cs="Arial" w:hint="eastAsia"/>
          <w:sz w:val="24"/>
        </w:rPr>
        <w:t>八</w:t>
      </w:r>
      <w:r w:rsidRPr="006814CC">
        <w:rPr>
          <w:rFonts w:ascii="宋体" w:hAnsi="宋体" w:cs="Arial" w:hint="eastAsia"/>
          <w:sz w:val="24"/>
        </w:rPr>
        <w:t>）实施</w:t>
      </w:r>
      <w:proofErr w:type="gramStart"/>
      <w:r w:rsidRPr="006814CC">
        <w:rPr>
          <w:rFonts w:ascii="宋体" w:hAnsi="宋体" w:cs="Arial" w:hint="eastAsia"/>
          <w:sz w:val="24"/>
        </w:rPr>
        <w:t>侧袋机制</w:t>
      </w:r>
      <w:proofErr w:type="gramEnd"/>
      <w:r w:rsidRPr="006814CC">
        <w:rPr>
          <w:rFonts w:ascii="宋体" w:hAnsi="宋体" w:cs="Arial" w:hint="eastAsia"/>
          <w:sz w:val="24"/>
        </w:rPr>
        <w:t>期间的基金费用</w:t>
      </w:r>
    </w:p>
    <w:p w14:paraId="6E1A91F8" w14:textId="7AC2B457" w:rsidR="005B7AA2" w:rsidRPr="006814CC" w:rsidRDefault="00E50B4E" w:rsidP="006814CC">
      <w:pPr>
        <w:adjustRightInd w:val="0"/>
        <w:snapToGrid w:val="0"/>
        <w:spacing w:line="360" w:lineRule="auto"/>
        <w:ind w:firstLineChars="200" w:firstLine="480"/>
        <w:rPr>
          <w:rFonts w:ascii="宋体" w:hAnsi="宋体" w:cs="Arial"/>
          <w:sz w:val="24"/>
        </w:rPr>
      </w:pPr>
      <w:r w:rsidRPr="006814CC">
        <w:rPr>
          <w:rFonts w:ascii="宋体" w:hAnsi="宋体" w:cs="Arial" w:hint="eastAsia"/>
          <w:sz w:val="24"/>
        </w:rPr>
        <w:t>本基金实施</w:t>
      </w:r>
      <w:proofErr w:type="gramStart"/>
      <w:r w:rsidRPr="006814CC">
        <w:rPr>
          <w:rFonts w:ascii="宋体" w:hAnsi="宋体" w:cs="Arial" w:hint="eastAsia"/>
          <w:sz w:val="24"/>
        </w:rPr>
        <w:t>侧袋机制</w:t>
      </w:r>
      <w:proofErr w:type="gramEnd"/>
      <w:r w:rsidRPr="006814CC">
        <w:rPr>
          <w:rFonts w:ascii="宋体" w:hAnsi="宋体" w:cs="Arial" w:hint="eastAsia"/>
          <w:sz w:val="24"/>
        </w:rPr>
        <w:t>的，</w:t>
      </w:r>
      <w:proofErr w:type="gramStart"/>
      <w:r w:rsidRPr="006814CC">
        <w:rPr>
          <w:rFonts w:ascii="宋体" w:hAnsi="宋体" w:cs="Arial" w:hint="eastAsia"/>
          <w:sz w:val="24"/>
        </w:rPr>
        <w:t>与侧袋账户</w:t>
      </w:r>
      <w:proofErr w:type="gramEnd"/>
      <w:r w:rsidRPr="006814CC">
        <w:rPr>
          <w:rFonts w:ascii="宋体" w:hAnsi="宋体" w:cs="Arial" w:hint="eastAsia"/>
          <w:sz w:val="24"/>
        </w:rPr>
        <w:t>有关的费用可以</w:t>
      </w:r>
      <w:proofErr w:type="gramStart"/>
      <w:r w:rsidRPr="006814CC">
        <w:rPr>
          <w:rFonts w:ascii="宋体" w:hAnsi="宋体" w:cs="Arial" w:hint="eastAsia"/>
          <w:sz w:val="24"/>
        </w:rPr>
        <w:t>从侧袋账户</w:t>
      </w:r>
      <w:proofErr w:type="gramEnd"/>
      <w:r w:rsidRPr="006814CC">
        <w:rPr>
          <w:rFonts w:ascii="宋体" w:hAnsi="宋体" w:cs="Arial" w:hint="eastAsia"/>
          <w:sz w:val="24"/>
        </w:rPr>
        <w:t>中列支，但应</w:t>
      </w:r>
      <w:proofErr w:type="gramStart"/>
      <w:r w:rsidRPr="006814CC">
        <w:rPr>
          <w:rFonts w:ascii="宋体" w:hAnsi="宋体" w:cs="Arial" w:hint="eastAsia"/>
          <w:sz w:val="24"/>
        </w:rPr>
        <w:t>待侧袋</w:t>
      </w:r>
      <w:proofErr w:type="gramEnd"/>
      <w:r w:rsidRPr="006814CC">
        <w:rPr>
          <w:rFonts w:ascii="宋体" w:hAnsi="宋体" w:cs="Arial" w:hint="eastAsia"/>
          <w:sz w:val="24"/>
        </w:rPr>
        <w:t>账户资产变现后方可列支，有关费用可酌情收取或减免，但不得收取管理费</w:t>
      </w:r>
      <w:r w:rsidR="002669DE" w:rsidRPr="002669DE">
        <w:rPr>
          <w:rFonts w:ascii="宋体" w:hAnsi="宋体" w:cs="Arial" w:hint="eastAsia"/>
          <w:sz w:val="24"/>
        </w:rPr>
        <w:t>（包含固定管理费、或有管理费和超额管理费）</w:t>
      </w:r>
      <w:r w:rsidRPr="006814CC">
        <w:rPr>
          <w:rFonts w:ascii="宋体" w:hAnsi="宋体" w:cs="Arial" w:hint="eastAsia"/>
          <w:sz w:val="24"/>
        </w:rPr>
        <w:t>，详见招募说明书的规定。</w:t>
      </w:r>
    </w:p>
    <w:p w14:paraId="0C5EC012" w14:textId="77777777" w:rsidR="005B7AA2" w:rsidRDefault="005B7AA2">
      <w:pPr>
        <w:adjustRightInd w:val="0"/>
        <w:snapToGrid w:val="0"/>
        <w:spacing w:line="360" w:lineRule="auto"/>
        <w:rPr>
          <w:rFonts w:ascii="宋体" w:hAnsi="宋体" w:cs="Arial"/>
          <w:sz w:val="24"/>
        </w:rPr>
      </w:pPr>
    </w:p>
    <w:p w14:paraId="29FB3873" w14:textId="77777777" w:rsidR="005B7AA2" w:rsidRDefault="00E50B4E">
      <w:pPr>
        <w:pStyle w:val="2"/>
        <w:spacing w:line="360" w:lineRule="auto"/>
        <w:jc w:val="center"/>
        <w:rPr>
          <w:rFonts w:ascii="宋体" w:eastAsia="宋体" w:hAnsi="宋体"/>
          <w:sz w:val="30"/>
        </w:rPr>
      </w:pPr>
      <w:bookmarkStart w:id="101" w:name="_Toc124325896"/>
      <w:r>
        <w:rPr>
          <w:rFonts w:ascii="宋体" w:eastAsia="宋体" w:hAnsi="宋体" w:hint="eastAsia"/>
          <w:sz w:val="30"/>
        </w:rPr>
        <w:t>十二、基金份额持有人名册的保管</w:t>
      </w:r>
      <w:bookmarkEnd w:id="101"/>
    </w:p>
    <w:p w14:paraId="25B1595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1FBC1B1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在基金托管人要求或编制中期报告和年度报告前，基金管理人应将有关资料送交基金托管人，不得无故拒绝或延误提供，并保证其真实性、准确性和完整性。</w:t>
      </w:r>
      <w:r>
        <w:rPr>
          <w:rFonts w:ascii="宋体" w:hAnsi="宋体" w:hint="eastAsia"/>
          <w:kern w:val="0"/>
          <w:sz w:val="24"/>
        </w:rPr>
        <w:t>基金托管人不得将所保管的基金份额持有人名册用于基金托管业务以外的其他用途，并应遵守保密义务。</w:t>
      </w:r>
    </w:p>
    <w:p w14:paraId="0E692B90" w14:textId="77777777" w:rsidR="005B7AA2" w:rsidRDefault="005B7AA2">
      <w:pPr>
        <w:adjustRightInd w:val="0"/>
        <w:snapToGrid w:val="0"/>
        <w:spacing w:line="360" w:lineRule="auto"/>
        <w:rPr>
          <w:rFonts w:ascii="宋体" w:hAnsi="宋体" w:cs="Arial"/>
          <w:sz w:val="24"/>
        </w:rPr>
      </w:pPr>
    </w:p>
    <w:p w14:paraId="73B8E8BC" w14:textId="77777777" w:rsidR="005B7AA2" w:rsidRDefault="00E50B4E">
      <w:pPr>
        <w:pStyle w:val="2"/>
        <w:spacing w:line="360" w:lineRule="auto"/>
        <w:jc w:val="center"/>
        <w:rPr>
          <w:rFonts w:ascii="宋体" w:eastAsia="宋体" w:hAnsi="宋体"/>
          <w:sz w:val="30"/>
        </w:rPr>
      </w:pPr>
      <w:bookmarkStart w:id="102" w:name="_Toc124325897"/>
      <w:r>
        <w:rPr>
          <w:rFonts w:ascii="宋体" w:eastAsia="宋体" w:hAnsi="宋体" w:hint="eastAsia"/>
          <w:sz w:val="30"/>
        </w:rPr>
        <w:t>十三、基金有关文件档案的保存</w:t>
      </w:r>
      <w:bookmarkEnd w:id="102"/>
    </w:p>
    <w:p w14:paraId="17C561B2"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（一）档案保存</w:t>
      </w:r>
    </w:p>
    <w:p w14:paraId="0A41A4A3" w14:textId="6F9E4B00"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w:t>
      </w:r>
      <w:r>
        <w:rPr>
          <w:rFonts w:ascii="宋体" w:hAnsi="宋体" w:cs="Arial" w:hint="eastAsia"/>
          <w:sz w:val="24"/>
        </w:rPr>
        <w:lastRenderedPageBreak/>
        <w:t>低期限。</w:t>
      </w:r>
    </w:p>
    <w:p w14:paraId="1355B2D2"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（二）合同档案的建立</w:t>
      </w:r>
    </w:p>
    <w:p w14:paraId="59B9DF3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1.基金管理人签署重大合同文本后，应及时将合同文本正本送达基金托管人处。</w:t>
      </w:r>
    </w:p>
    <w:p w14:paraId="4AB4C19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2.基金管理人应及时将与本基金账务处理、资金划拨等有关的合同、协议传真基金托管人。</w:t>
      </w:r>
    </w:p>
    <w:p w14:paraId="137335FE"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（三）变更与协助</w:t>
      </w:r>
    </w:p>
    <w:p w14:paraId="45EB01FA" w14:textId="77777777" w:rsidR="005B7AA2" w:rsidRDefault="00E50B4E">
      <w:pPr>
        <w:adjustRightInd w:val="0"/>
        <w:snapToGrid w:val="0"/>
        <w:spacing w:line="360" w:lineRule="auto"/>
        <w:ind w:firstLineChars="200" w:firstLine="480"/>
        <w:rPr>
          <w:rFonts w:ascii="宋体" w:hAnsi="宋体"/>
          <w:b/>
          <w:bCs/>
          <w:sz w:val="30"/>
          <w:szCs w:val="30"/>
        </w:rPr>
      </w:pPr>
      <w:proofErr w:type="gramStart"/>
      <w:r>
        <w:rPr>
          <w:rFonts w:ascii="宋体" w:hAnsi="宋体" w:cs="Arial" w:hint="eastAsia"/>
          <w:sz w:val="24"/>
        </w:rPr>
        <w:t>若基金</w:t>
      </w:r>
      <w:proofErr w:type="gramEnd"/>
      <w:r>
        <w:rPr>
          <w:rFonts w:ascii="宋体" w:hAnsi="宋体" w:cs="Arial" w:hint="eastAsia"/>
          <w:sz w:val="24"/>
        </w:rPr>
        <w:t>管理人/基金托管人发生变更，未变更的一方有义务协助变更后的接任人接收相应文件。</w:t>
      </w:r>
    </w:p>
    <w:p w14:paraId="63B7B034" w14:textId="25CDB6C9"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（四）基金管理人和基金托管人应按各自职责完整保存原始凭证、记账凭证、基金账册、交易记录和重要合同等，承担保密义务并保存</w:t>
      </w:r>
      <w:r w:rsidRPr="00655707">
        <w:rPr>
          <w:rFonts w:ascii="宋体" w:hAnsi="宋体" w:cs="Arial" w:hint="eastAsia"/>
          <w:sz w:val="24"/>
        </w:rPr>
        <w:t>不低于法律法规规定的最低期限</w:t>
      </w:r>
      <w:r>
        <w:rPr>
          <w:rFonts w:ascii="宋体" w:hAnsi="宋体" w:cs="Arial" w:hint="eastAsia"/>
          <w:sz w:val="24"/>
        </w:rPr>
        <w:t>。</w:t>
      </w:r>
    </w:p>
    <w:p w14:paraId="18EFB9AC" w14:textId="77777777" w:rsidR="005B7AA2" w:rsidRDefault="005B7AA2">
      <w:pPr>
        <w:adjustRightInd w:val="0"/>
        <w:snapToGrid w:val="0"/>
        <w:spacing w:line="360" w:lineRule="auto"/>
        <w:rPr>
          <w:rFonts w:ascii="宋体" w:hAnsi="宋体"/>
          <w:sz w:val="30"/>
          <w:szCs w:val="30"/>
        </w:rPr>
      </w:pPr>
    </w:p>
    <w:p w14:paraId="3FB2BBD9" w14:textId="77777777" w:rsidR="005B7AA2" w:rsidRDefault="00E50B4E">
      <w:pPr>
        <w:pStyle w:val="2"/>
        <w:spacing w:line="360" w:lineRule="auto"/>
        <w:jc w:val="center"/>
        <w:rPr>
          <w:rFonts w:ascii="宋体" w:eastAsia="宋体" w:hAnsi="宋体"/>
          <w:sz w:val="30"/>
        </w:rPr>
      </w:pPr>
      <w:bookmarkStart w:id="103" w:name="_Toc124325898"/>
      <w:r>
        <w:rPr>
          <w:rFonts w:ascii="宋体" w:eastAsia="宋体" w:hAnsi="宋体" w:hint="eastAsia"/>
          <w:sz w:val="30"/>
        </w:rPr>
        <w:t>十四、基金管理人和基金托管人的更换</w:t>
      </w:r>
      <w:bookmarkEnd w:id="103"/>
    </w:p>
    <w:p w14:paraId="46DD4ECB"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（一）基金管理人职责终止的情形</w:t>
      </w:r>
    </w:p>
    <w:p w14:paraId="3324AF3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1.基金管理人职责终止的情形</w:t>
      </w:r>
    </w:p>
    <w:p w14:paraId="2162B94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有下列情形之一的，基金管理人职责终止：</w:t>
      </w:r>
    </w:p>
    <w:p w14:paraId="636AD30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(1)被依法取消基金管理资格；</w:t>
      </w:r>
    </w:p>
    <w:p w14:paraId="142D8AA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322D18D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071EA05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3CFAC25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2.基金管理人的更换程序</w:t>
      </w:r>
    </w:p>
    <w:p w14:paraId="7AFF348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更换基金管理人必须依照如下程序进行：</w:t>
      </w:r>
    </w:p>
    <w:p w14:paraId="2B905CCB"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(1)提名：</w:t>
      </w:r>
      <w:proofErr w:type="gramStart"/>
      <w:r>
        <w:rPr>
          <w:rFonts w:ascii="宋体" w:hAnsi="宋体" w:cs="Arial" w:hint="eastAsia"/>
          <w:sz w:val="24"/>
        </w:rPr>
        <w:t>新任基金</w:t>
      </w:r>
      <w:proofErr w:type="gramEnd"/>
      <w:r>
        <w:rPr>
          <w:rFonts w:ascii="宋体" w:hAnsi="宋体" w:cs="Arial" w:hint="eastAsia"/>
          <w:sz w:val="24"/>
        </w:rPr>
        <w:t>管理人由基金托管人</w:t>
      </w:r>
      <w:r>
        <w:rPr>
          <w:rFonts w:ascii="宋体" w:hAnsi="宋体" w:hint="eastAsia"/>
          <w:sz w:val="24"/>
        </w:rPr>
        <w:t>或由单独或合计持有10%以上(含10%)基金份额的基金份额持有人</w:t>
      </w:r>
      <w:r>
        <w:rPr>
          <w:rFonts w:ascii="宋体" w:hAnsi="宋体" w:cs="Arial" w:hint="eastAsia"/>
          <w:sz w:val="24"/>
        </w:rPr>
        <w:t>提名；</w:t>
      </w:r>
    </w:p>
    <w:p w14:paraId="5C44A18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4FF674D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(3)临时基金管理人：</w:t>
      </w:r>
      <w:proofErr w:type="gramStart"/>
      <w:r>
        <w:rPr>
          <w:rFonts w:ascii="宋体" w:hAnsi="宋体" w:cs="Arial" w:hint="eastAsia"/>
          <w:sz w:val="24"/>
        </w:rPr>
        <w:t>新任基金</w:t>
      </w:r>
      <w:proofErr w:type="gramEnd"/>
      <w:r>
        <w:rPr>
          <w:rFonts w:ascii="宋体" w:hAnsi="宋体" w:cs="Arial" w:hint="eastAsia"/>
          <w:sz w:val="24"/>
        </w:rPr>
        <w:t>管理人产生之前，由中国证监会指定临时基金管理人；</w:t>
      </w:r>
    </w:p>
    <w:p w14:paraId="3CED350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(4)备案：基金份额持有人大会选任基金管理人的决议须报中国证监会备案；</w:t>
      </w:r>
    </w:p>
    <w:p w14:paraId="7318D823" w14:textId="3A605AD6"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(5)公告：基金管理人更换后，由基金托管人在更换基金管理人的基金份额持有人大会决议生效后2日内在规定媒介公告；</w:t>
      </w:r>
    </w:p>
    <w:p w14:paraId="1B289B3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(6)交接：基金管理人职责终止的，基金管理人应妥善保管基金管理业务资料，及时向临时基金管理人或</w:t>
      </w:r>
      <w:proofErr w:type="gramStart"/>
      <w:r>
        <w:rPr>
          <w:rFonts w:ascii="宋体" w:hAnsi="宋体" w:cs="Arial" w:hint="eastAsia"/>
          <w:sz w:val="24"/>
        </w:rPr>
        <w:t>新任基金</w:t>
      </w:r>
      <w:proofErr w:type="gramEnd"/>
      <w:r>
        <w:rPr>
          <w:rFonts w:ascii="宋体" w:hAnsi="宋体" w:cs="Arial" w:hint="eastAsia"/>
          <w:sz w:val="24"/>
        </w:rPr>
        <w:t>管理人办理基金管理业务的移交手续，临时基金管理人或</w:t>
      </w:r>
      <w:proofErr w:type="gramStart"/>
      <w:r>
        <w:rPr>
          <w:rFonts w:ascii="宋体" w:hAnsi="宋体" w:cs="Arial" w:hint="eastAsia"/>
          <w:sz w:val="24"/>
        </w:rPr>
        <w:t>新任基金</w:t>
      </w:r>
      <w:proofErr w:type="gramEnd"/>
      <w:r>
        <w:rPr>
          <w:rFonts w:ascii="宋体" w:hAnsi="宋体" w:cs="Arial" w:hint="eastAsia"/>
          <w:sz w:val="24"/>
        </w:rPr>
        <w:t>管理人应及时接收。临时基金管理人或</w:t>
      </w:r>
      <w:proofErr w:type="gramStart"/>
      <w:r>
        <w:rPr>
          <w:rFonts w:ascii="宋体" w:hAnsi="宋体" w:cs="Arial" w:hint="eastAsia"/>
          <w:sz w:val="24"/>
        </w:rPr>
        <w:t>新任基金</w:t>
      </w:r>
      <w:proofErr w:type="gramEnd"/>
      <w:r>
        <w:rPr>
          <w:rFonts w:ascii="宋体" w:hAnsi="宋体" w:cs="Arial" w:hint="eastAsia"/>
          <w:sz w:val="24"/>
        </w:rPr>
        <w:t>管理人应与基金托管人核对基金净值信息；</w:t>
      </w:r>
    </w:p>
    <w:p w14:paraId="7FD696F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(7)审计：基金管理人职责终止的，应当按照法律法规规定聘请会计师事务所对基金财产进行审计，并将审计结果予以公告，同时报中国证监会备案；</w:t>
      </w:r>
    </w:p>
    <w:p w14:paraId="666A7EB5" w14:textId="77777777" w:rsidR="005B7AA2" w:rsidRDefault="00E50B4E">
      <w:pPr>
        <w:adjustRightInd w:val="0"/>
        <w:snapToGrid w:val="0"/>
        <w:spacing w:line="360" w:lineRule="auto"/>
        <w:ind w:firstLineChars="200" w:firstLine="480"/>
        <w:rPr>
          <w:rFonts w:ascii="宋体" w:hAnsi="宋体"/>
          <w:sz w:val="30"/>
          <w:szCs w:val="30"/>
        </w:rPr>
      </w:pPr>
      <w:r>
        <w:rPr>
          <w:rFonts w:ascii="宋体" w:hAnsi="宋体" w:cs="Arial" w:hint="eastAsia"/>
          <w:sz w:val="24"/>
        </w:rPr>
        <w:t>(8)基金名称变更：基金管理人更换后，如果原任或</w:t>
      </w:r>
      <w:proofErr w:type="gramStart"/>
      <w:r>
        <w:rPr>
          <w:rFonts w:ascii="宋体" w:hAnsi="宋体" w:cs="Arial" w:hint="eastAsia"/>
          <w:sz w:val="24"/>
        </w:rPr>
        <w:t>新任基金</w:t>
      </w:r>
      <w:proofErr w:type="gramEnd"/>
      <w:r>
        <w:rPr>
          <w:rFonts w:ascii="宋体" w:hAnsi="宋体" w:cs="Arial" w:hint="eastAsia"/>
          <w:sz w:val="24"/>
        </w:rPr>
        <w:t>管理人要求，应按其要求替换或删除基金名称中与</w:t>
      </w:r>
      <w:proofErr w:type="gramStart"/>
      <w:r>
        <w:rPr>
          <w:rFonts w:ascii="宋体" w:hAnsi="宋体" w:cs="Arial" w:hint="eastAsia"/>
          <w:sz w:val="24"/>
        </w:rPr>
        <w:t>原基金</w:t>
      </w:r>
      <w:proofErr w:type="gramEnd"/>
      <w:r>
        <w:rPr>
          <w:rFonts w:ascii="宋体" w:hAnsi="宋体" w:cs="Arial" w:hint="eastAsia"/>
          <w:sz w:val="24"/>
        </w:rPr>
        <w:t>管理人有关的名称字样。</w:t>
      </w:r>
    </w:p>
    <w:p w14:paraId="1E8BE50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（二）基金托管人职责终止的情形</w:t>
      </w:r>
    </w:p>
    <w:p w14:paraId="77DF3B3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1.基金托管人职责终止的情形</w:t>
      </w:r>
    </w:p>
    <w:p w14:paraId="49F0048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有下列情形之一的，基金托管人职责终止：</w:t>
      </w:r>
    </w:p>
    <w:p w14:paraId="17EB5F0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(1)被依法取消基金托管资格；</w:t>
      </w:r>
    </w:p>
    <w:p w14:paraId="3BA9662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6CC10BD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44EFDB8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40C561F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2.基金托管人的更换程序</w:t>
      </w:r>
    </w:p>
    <w:p w14:paraId="6F4B589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(1)提名：</w:t>
      </w:r>
      <w:proofErr w:type="gramStart"/>
      <w:r>
        <w:rPr>
          <w:rFonts w:ascii="宋体" w:hAnsi="宋体" w:cs="Arial" w:hint="eastAsia"/>
          <w:sz w:val="24"/>
        </w:rPr>
        <w:t>新任基金</w:t>
      </w:r>
      <w:proofErr w:type="gramEnd"/>
      <w:r>
        <w:rPr>
          <w:rFonts w:ascii="宋体" w:hAnsi="宋体" w:cs="Arial" w:hint="eastAsia"/>
          <w:sz w:val="24"/>
        </w:rPr>
        <w:t>托管人由基金管理人</w:t>
      </w:r>
      <w:r>
        <w:rPr>
          <w:rFonts w:ascii="宋体" w:hAnsi="宋体" w:hint="eastAsia"/>
          <w:sz w:val="24"/>
        </w:rPr>
        <w:t>或由单独或合计持有10%以上(含10%)基金份额的基金份额持有人</w:t>
      </w:r>
      <w:r>
        <w:rPr>
          <w:rFonts w:ascii="宋体" w:hAnsi="宋体" w:cs="Arial" w:hint="eastAsia"/>
          <w:sz w:val="24"/>
        </w:rPr>
        <w:t>提名；</w:t>
      </w:r>
    </w:p>
    <w:p w14:paraId="3892138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57044CA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(3)临时基金托管人：</w:t>
      </w:r>
      <w:proofErr w:type="gramStart"/>
      <w:r>
        <w:rPr>
          <w:rFonts w:ascii="宋体" w:hAnsi="宋体" w:cs="Arial" w:hint="eastAsia"/>
          <w:sz w:val="24"/>
        </w:rPr>
        <w:t>新任基金</w:t>
      </w:r>
      <w:proofErr w:type="gramEnd"/>
      <w:r>
        <w:rPr>
          <w:rFonts w:ascii="宋体" w:hAnsi="宋体" w:cs="Arial" w:hint="eastAsia"/>
          <w:sz w:val="24"/>
        </w:rPr>
        <w:t>托管人产生之前，由中国证监会指定临时基金托管人；</w:t>
      </w:r>
    </w:p>
    <w:p w14:paraId="5AFD935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(4)备案：基金份额持有人大会更换基金托管人的决议须报中国证监会备案；</w:t>
      </w:r>
    </w:p>
    <w:p w14:paraId="4D0B1174" w14:textId="1D89957E"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(5)公告：基金托管人更换后，由基金管理人在更换基金托管人的基金份额持</w:t>
      </w:r>
      <w:r>
        <w:rPr>
          <w:rFonts w:ascii="宋体" w:hAnsi="宋体" w:cs="Arial" w:hint="eastAsia"/>
          <w:sz w:val="24"/>
        </w:rPr>
        <w:lastRenderedPageBreak/>
        <w:t>有人大会决议生效后 2日内在规定媒介公告；</w:t>
      </w:r>
    </w:p>
    <w:p w14:paraId="3CA9719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(6)交接：基金托管人职责终止的，应当妥善保管基金财产和基金托管业务资料，及时办理基金财产和基金托管业务的移交手续，</w:t>
      </w:r>
      <w:proofErr w:type="gramStart"/>
      <w:r>
        <w:rPr>
          <w:rFonts w:ascii="宋体" w:hAnsi="宋体" w:cs="Arial" w:hint="eastAsia"/>
          <w:sz w:val="24"/>
        </w:rPr>
        <w:t>新任基金</w:t>
      </w:r>
      <w:proofErr w:type="gramEnd"/>
      <w:r>
        <w:rPr>
          <w:rFonts w:ascii="宋体" w:hAnsi="宋体" w:cs="Arial" w:hint="eastAsia"/>
          <w:sz w:val="24"/>
        </w:rPr>
        <w:t>托管人或者临时基金托管人应当及时接收。</w:t>
      </w:r>
      <w:proofErr w:type="gramStart"/>
      <w:r>
        <w:rPr>
          <w:rFonts w:ascii="宋体" w:hAnsi="宋体" w:cs="Arial" w:hint="eastAsia"/>
          <w:sz w:val="24"/>
        </w:rPr>
        <w:t>新任基金</w:t>
      </w:r>
      <w:proofErr w:type="gramEnd"/>
      <w:r>
        <w:rPr>
          <w:rFonts w:ascii="宋体" w:hAnsi="宋体" w:cs="Arial" w:hint="eastAsia"/>
          <w:sz w:val="24"/>
        </w:rPr>
        <w:t>托管人或临时基金托管人与基金管理人核对基金净值信息；</w:t>
      </w:r>
    </w:p>
    <w:p w14:paraId="4B77C7F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(7)审计：基金托管人职责终止的，应当按照法律法规规定聘请会计师事务所对基金财产进行审计，并将审计结果予以公告，同时报中国证监会备案。</w:t>
      </w:r>
    </w:p>
    <w:p w14:paraId="4D3FDA6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（三）基金管理人与基金托管人同时更换的条件和程序</w:t>
      </w:r>
    </w:p>
    <w:p w14:paraId="25A967D3"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6F00C00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2.基金管理人和基金托管人的更换分别按上述程序进行；</w:t>
      </w:r>
    </w:p>
    <w:p w14:paraId="0AD4879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3.公告：</w:t>
      </w:r>
      <w:proofErr w:type="gramStart"/>
      <w:r>
        <w:rPr>
          <w:rFonts w:ascii="宋体" w:hAnsi="宋体" w:cs="Arial" w:hint="eastAsia"/>
          <w:sz w:val="24"/>
        </w:rPr>
        <w:t>新任基金</w:t>
      </w:r>
      <w:proofErr w:type="gramEnd"/>
      <w:r>
        <w:rPr>
          <w:rFonts w:ascii="宋体" w:hAnsi="宋体" w:cs="Arial" w:hint="eastAsia"/>
          <w:sz w:val="24"/>
        </w:rPr>
        <w:t>管理人和</w:t>
      </w:r>
      <w:proofErr w:type="gramStart"/>
      <w:r>
        <w:rPr>
          <w:rFonts w:ascii="宋体" w:hAnsi="宋体" w:cs="Arial" w:hint="eastAsia"/>
          <w:sz w:val="24"/>
        </w:rPr>
        <w:t>新任基金</w:t>
      </w:r>
      <w:proofErr w:type="gramEnd"/>
      <w:r>
        <w:rPr>
          <w:rFonts w:ascii="宋体" w:hAnsi="宋体" w:cs="Arial" w:hint="eastAsia"/>
          <w:sz w:val="24"/>
        </w:rPr>
        <w:t>托管人应在更换基金管理人和基金托管人的基金份额持有人大会决议生效后2日内在规定媒介上联合公告。</w:t>
      </w:r>
    </w:p>
    <w:p w14:paraId="16638A9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（四）新任或临时基金管理人接收基金管理业务或新任或临时基金托管人接收基金财产和基金托管业务前，</w:t>
      </w:r>
      <w:proofErr w:type="gramStart"/>
      <w:r>
        <w:rPr>
          <w:rFonts w:ascii="宋体" w:hAnsi="宋体" w:cs="Arial" w:hint="eastAsia"/>
          <w:sz w:val="24"/>
        </w:rPr>
        <w:t>原基金</w:t>
      </w:r>
      <w:proofErr w:type="gramEnd"/>
      <w:r>
        <w:rPr>
          <w:rFonts w:ascii="宋体" w:hAnsi="宋体" w:cs="Arial" w:hint="eastAsia"/>
          <w:sz w:val="24"/>
        </w:rPr>
        <w:t>管理人或</w:t>
      </w:r>
      <w:proofErr w:type="gramStart"/>
      <w:r>
        <w:rPr>
          <w:rFonts w:ascii="宋体" w:hAnsi="宋体" w:cs="Arial" w:hint="eastAsia"/>
          <w:sz w:val="24"/>
        </w:rPr>
        <w:t>原基金</w:t>
      </w:r>
      <w:proofErr w:type="gramEnd"/>
      <w:r>
        <w:rPr>
          <w:rFonts w:ascii="宋体" w:hAnsi="宋体" w:cs="Arial" w:hint="eastAsia"/>
          <w:sz w:val="24"/>
        </w:rPr>
        <w:t>托管人应继续履行相关职责，并保证不做出对基金份额持有人的利益造成损害的行为。</w:t>
      </w:r>
      <w:proofErr w:type="gramStart"/>
      <w:r>
        <w:rPr>
          <w:rFonts w:ascii="宋体" w:hAnsi="宋体" w:cs="Arial" w:hint="eastAsia"/>
          <w:sz w:val="24"/>
        </w:rPr>
        <w:t>原基金</w:t>
      </w:r>
      <w:proofErr w:type="gramEnd"/>
      <w:r>
        <w:rPr>
          <w:rFonts w:ascii="宋体" w:hAnsi="宋体" w:cs="Arial" w:hint="eastAsia"/>
          <w:sz w:val="24"/>
        </w:rPr>
        <w:t>管理人或</w:t>
      </w:r>
      <w:proofErr w:type="gramStart"/>
      <w:r>
        <w:rPr>
          <w:rFonts w:ascii="宋体" w:hAnsi="宋体" w:cs="Arial" w:hint="eastAsia"/>
          <w:sz w:val="24"/>
        </w:rPr>
        <w:t>原基金</w:t>
      </w:r>
      <w:proofErr w:type="gramEnd"/>
      <w:r>
        <w:rPr>
          <w:rFonts w:ascii="宋体" w:hAnsi="宋体" w:cs="Arial" w:hint="eastAsia"/>
          <w:sz w:val="24"/>
        </w:rPr>
        <w:t>托管人在继续履行相关职责期间，仍有权按照基金合同和本协议的规定收取基金管理费或基金托管费。</w:t>
      </w:r>
    </w:p>
    <w:p w14:paraId="03C8CD07" w14:textId="77777777" w:rsidR="005B7AA2" w:rsidRDefault="005B7AA2">
      <w:pPr>
        <w:adjustRightInd w:val="0"/>
        <w:snapToGrid w:val="0"/>
        <w:spacing w:line="360" w:lineRule="auto"/>
        <w:rPr>
          <w:rFonts w:ascii="宋体" w:hAnsi="宋体" w:cs="Arial"/>
          <w:sz w:val="24"/>
        </w:rPr>
      </w:pPr>
    </w:p>
    <w:p w14:paraId="496E36EC" w14:textId="77777777" w:rsidR="005B7AA2" w:rsidRDefault="00E50B4E">
      <w:pPr>
        <w:pStyle w:val="2"/>
        <w:spacing w:line="360" w:lineRule="auto"/>
        <w:jc w:val="center"/>
        <w:rPr>
          <w:rFonts w:ascii="宋体" w:eastAsia="宋体" w:hAnsi="宋体"/>
          <w:sz w:val="30"/>
        </w:rPr>
      </w:pPr>
      <w:bookmarkStart w:id="104" w:name="_Toc124325899"/>
      <w:r>
        <w:rPr>
          <w:rFonts w:ascii="宋体" w:eastAsia="宋体" w:hAnsi="宋体" w:hint="eastAsia"/>
          <w:sz w:val="30"/>
        </w:rPr>
        <w:t>十五、禁止行为</w:t>
      </w:r>
      <w:bookmarkEnd w:id="104"/>
    </w:p>
    <w:p w14:paraId="243DCA1D"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本协议当事人禁止从事的行为，包括但不限于：</w:t>
      </w:r>
    </w:p>
    <w:p w14:paraId="717F6DDC" w14:textId="77777777" w:rsidR="005B7AA2" w:rsidRDefault="00E50B4E">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40A67B05" w14:textId="77777777" w:rsidR="005B7AA2" w:rsidRDefault="00E50B4E">
      <w:pPr>
        <w:spacing w:line="360" w:lineRule="auto"/>
        <w:ind w:firstLineChars="200" w:firstLine="480"/>
        <w:rPr>
          <w:rFonts w:ascii="宋体" w:hAnsi="宋体"/>
        </w:rPr>
      </w:pPr>
      <w:r>
        <w:rPr>
          <w:rFonts w:ascii="宋体" w:hAnsi="宋体" w:hint="eastAsia"/>
          <w:sz w:val="24"/>
        </w:rPr>
        <w:t>（二）基金管理人不公平地对待其管理的不同基金财产，基金托管人不公平地对待其托管的不同基金财产。</w:t>
      </w:r>
    </w:p>
    <w:p w14:paraId="4DCA5073" w14:textId="77777777" w:rsidR="005B7AA2" w:rsidRDefault="00E50B4E">
      <w:pPr>
        <w:spacing w:line="360" w:lineRule="auto"/>
        <w:ind w:firstLineChars="200" w:firstLine="480"/>
        <w:rPr>
          <w:rFonts w:ascii="宋体" w:hAnsi="宋体"/>
          <w:sz w:val="24"/>
        </w:rPr>
      </w:pPr>
      <w:r>
        <w:rPr>
          <w:rFonts w:ascii="宋体" w:hAnsi="宋体" w:hint="eastAsia"/>
          <w:sz w:val="24"/>
        </w:rPr>
        <w:t>（三）基金管理人、基金托管人利用基金财产为基金份额持有人以外的第三人牟取利益。</w:t>
      </w:r>
    </w:p>
    <w:p w14:paraId="657D1940" w14:textId="77777777" w:rsidR="005B7AA2" w:rsidRDefault="00E50B4E">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0B3EA56A"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（五）基金管理人、基金托管人对他人泄露基金运作和管理过程中任何尚未按法律法规规定的方式公开披露的信息。</w:t>
      </w:r>
    </w:p>
    <w:p w14:paraId="7D5C7BF7" w14:textId="77777777" w:rsidR="005B7AA2" w:rsidRDefault="00E50B4E">
      <w:pPr>
        <w:pStyle w:val="a6"/>
        <w:spacing w:line="360" w:lineRule="auto"/>
        <w:outlineLvl w:val="0"/>
        <w:rPr>
          <w:rFonts w:ascii="宋体" w:eastAsia="宋体" w:hAnsi="宋体" w:cs="Arial"/>
          <w:szCs w:val="24"/>
        </w:rPr>
      </w:pPr>
      <w:r>
        <w:rPr>
          <w:rFonts w:ascii="宋体" w:eastAsia="宋体" w:hAnsi="宋体" w:cs="Arial" w:hint="eastAsia"/>
          <w:szCs w:val="24"/>
        </w:rPr>
        <w:t>（六）基金管理人在没有充足资金的情况下向基金托管人发出投资指令和赎回、分红资金的划拨指令，或违规向基金托管人发出指令。</w:t>
      </w:r>
    </w:p>
    <w:p w14:paraId="600CB63A"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（七）基金管理人、基金托管人在行政上、财务上不</w:t>
      </w:r>
      <w:proofErr w:type="gramStart"/>
      <w:r>
        <w:rPr>
          <w:rFonts w:ascii="宋体" w:hAnsi="宋体" w:cs="Arial" w:hint="eastAsia"/>
          <w:sz w:val="24"/>
        </w:rPr>
        <w:t>独立,</w:t>
      </w:r>
      <w:proofErr w:type="gramEnd"/>
      <w:r>
        <w:rPr>
          <w:rFonts w:ascii="宋体" w:hAnsi="宋体" w:cs="Arial" w:hint="eastAsia"/>
          <w:sz w:val="24"/>
        </w:rPr>
        <w:t xml:space="preserve"> 其高级管理人员和其他从业人员相互兼职。</w:t>
      </w:r>
    </w:p>
    <w:p w14:paraId="62B7C6E1" w14:textId="77777777" w:rsidR="005B7AA2" w:rsidRDefault="00E50B4E">
      <w:pPr>
        <w:spacing w:line="360" w:lineRule="auto"/>
        <w:ind w:firstLineChars="200" w:firstLine="480"/>
        <w:rPr>
          <w:rFonts w:ascii="宋体" w:hAnsi="宋体" w:cs="Arial"/>
          <w:sz w:val="24"/>
        </w:rPr>
      </w:pPr>
      <w:r>
        <w:rPr>
          <w:rFonts w:ascii="宋体" w:hAnsi="宋体" w:cs="Arial" w:hint="eastAsia"/>
          <w:sz w:val="24"/>
        </w:rPr>
        <w:t>（八）基金托管人私自动用或处分基金财产，根据基金管理人的有效指令、《基金合同》或托管协议的规定进行处分的除外。</w:t>
      </w:r>
    </w:p>
    <w:p w14:paraId="3F559096" w14:textId="77777777" w:rsidR="005B7AA2" w:rsidRPr="006E5EFC" w:rsidRDefault="00E50B4E">
      <w:pPr>
        <w:spacing w:line="360" w:lineRule="auto"/>
        <w:ind w:firstLineChars="200" w:firstLine="480"/>
        <w:rPr>
          <w:rFonts w:ascii="宋体" w:hAnsi="宋体"/>
          <w:sz w:val="24"/>
        </w:rPr>
      </w:pPr>
      <w:r>
        <w:rPr>
          <w:rFonts w:ascii="宋体" w:hAnsi="宋体" w:hint="eastAsia"/>
          <w:sz w:val="24"/>
        </w:rPr>
        <w:t>（九）</w:t>
      </w:r>
      <w:r>
        <w:rPr>
          <w:rFonts w:ascii="宋体" w:hAnsi="宋体" w:cs="Arial" w:hint="eastAsia"/>
          <w:sz w:val="24"/>
        </w:rPr>
        <w:t>基金财产</w:t>
      </w:r>
      <w:r>
        <w:rPr>
          <w:rFonts w:ascii="宋体" w:hAnsi="宋体"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6E5EFC">
        <w:rPr>
          <w:rFonts w:ascii="宋体" w:hAnsi="宋体" w:hint="eastAsia"/>
          <w:sz w:val="24"/>
        </w:rPr>
        <w:t>法律法规或监管部门取消上述限制，如适用于本基金，则本基金投资不再受相关限制</w:t>
      </w:r>
      <w:r>
        <w:rPr>
          <w:rFonts w:ascii="宋体" w:hAnsi="宋体" w:hint="eastAsia"/>
          <w:sz w:val="24"/>
        </w:rPr>
        <w:t>。</w:t>
      </w:r>
    </w:p>
    <w:p w14:paraId="5098A514" w14:textId="77777777" w:rsidR="005B7AA2" w:rsidRPr="006E5EFC" w:rsidRDefault="00E50B4E">
      <w:pPr>
        <w:adjustRightInd w:val="0"/>
        <w:snapToGrid w:val="0"/>
        <w:spacing w:line="360" w:lineRule="auto"/>
        <w:ind w:firstLineChars="200" w:firstLine="480"/>
        <w:outlineLvl w:val="0"/>
        <w:rPr>
          <w:rFonts w:ascii="宋体" w:hAnsi="宋体"/>
          <w:sz w:val="24"/>
        </w:rPr>
      </w:pPr>
      <w:r w:rsidRPr="006E5EFC">
        <w:rPr>
          <w:rFonts w:ascii="宋体" w:hAnsi="宋体" w:hint="eastAsia"/>
          <w:sz w:val="24"/>
        </w:rPr>
        <w:t>（十）法律法规和《基金合同》禁止的其他行为，以及</w:t>
      </w:r>
      <w:r>
        <w:rPr>
          <w:rFonts w:ascii="宋体" w:hAnsi="宋体" w:hint="eastAsia"/>
          <w:sz w:val="24"/>
        </w:rPr>
        <w:t>依照法律、行政法规有关规定，由国务院证券监督管理机构规定禁止基金管理人、基金托管人从事的其他行为。</w:t>
      </w:r>
    </w:p>
    <w:p w14:paraId="0B01E143" w14:textId="77777777" w:rsidR="005B7AA2" w:rsidRDefault="005B7AA2">
      <w:pPr>
        <w:adjustRightInd w:val="0"/>
        <w:snapToGrid w:val="0"/>
        <w:spacing w:line="360" w:lineRule="auto"/>
        <w:rPr>
          <w:rFonts w:ascii="宋体" w:hAnsi="宋体"/>
          <w:sz w:val="30"/>
          <w:szCs w:val="30"/>
        </w:rPr>
      </w:pPr>
    </w:p>
    <w:p w14:paraId="622B7784" w14:textId="77777777" w:rsidR="005B7AA2" w:rsidRDefault="00E50B4E">
      <w:pPr>
        <w:pStyle w:val="2"/>
        <w:spacing w:line="360" w:lineRule="auto"/>
        <w:jc w:val="center"/>
        <w:rPr>
          <w:rFonts w:ascii="宋体" w:eastAsia="宋体" w:hAnsi="宋体"/>
          <w:sz w:val="30"/>
        </w:rPr>
      </w:pPr>
      <w:bookmarkStart w:id="105" w:name="_Toc124325900"/>
      <w:r>
        <w:rPr>
          <w:rFonts w:ascii="宋体" w:eastAsia="宋体" w:hAnsi="宋体" w:hint="eastAsia"/>
          <w:sz w:val="30"/>
        </w:rPr>
        <w:t>十六、托管协议的变更、终止与基金财产的清算</w:t>
      </w:r>
      <w:bookmarkEnd w:id="105"/>
    </w:p>
    <w:p w14:paraId="3894FB4A"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（一）托管协议的变更程序</w:t>
      </w:r>
    </w:p>
    <w:p w14:paraId="467914C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本协议双方当事人经协商一致，可以对协议进行修改。修改后的新协议，其内容不得与《基金合同》的规定有任何冲突。</w:t>
      </w:r>
    </w:p>
    <w:p w14:paraId="7B38A61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（二）托管协议终止的情形</w:t>
      </w:r>
    </w:p>
    <w:p w14:paraId="4748A49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w:t>
      </w:r>
    </w:p>
    <w:p w14:paraId="48DFD00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2.基金托管人解散、依法被撤销、破产或由其他基金托管人接管基金资产；</w:t>
      </w:r>
    </w:p>
    <w:p w14:paraId="4D3BC6A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3.基金管理人解散、依法被撤销、破产或由其他基金管理人接管基金管理权；</w:t>
      </w:r>
    </w:p>
    <w:p w14:paraId="0941AE8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4.发生法律法规或《基金合同》规定的终止事项。</w:t>
      </w:r>
    </w:p>
    <w:p w14:paraId="37D1E03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（三）基金财产的清算</w:t>
      </w:r>
    </w:p>
    <w:p w14:paraId="0993700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1.基金财产清算小组：自出现《基金合同》终止事由之日起30个工作日内成立清算小组，基金管理人组织基金财产清算小组并在中国证监会的监督下进行基金清算。</w:t>
      </w:r>
    </w:p>
    <w:p w14:paraId="783D926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6D26A620"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3.基金财产清算小组职责：基金财产清算小组负责基金财产的保管、清理、估价、变现和分配。基金财产清算小组可以依法进行必要的民事活动。</w:t>
      </w:r>
    </w:p>
    <w:p w14:paraId="7EC00DA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4.基金财产清算程序：</w:t>
      </w:r>
    </w:p>
    <w:p w14:paraId="28DA00B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(1)《基金合同》终止情形出现时，由基金财产清算小组统一接管基金；</w:t>
      </w:r>
    </w:p>
    <w:p w14:paraId="4E5A35F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(2)对基金财产和债权债务进行清理和确认；</w:t>
      </w:r>
    </w:p>
    <w:p w14:paraId="75D5E5A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(3)对基金财产进行估值和变现；</w:t>
      </w:r>
    </w:p>
    <w:p w14:paraId="29D8211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(4)制作清算报告；</w:t>
      </w:r>
    </w:p>
    <w:p w14:paraId="637A5F1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(5)聘请会计师事务所对清算报告进行外部审计，聘请律师事务所对清算报告出具法律意见书；</w:t>
      </w:r>
    </w:p>
    <w:p w14:paraId="689E2F1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(6)将清算报告报中国证监会备案并公告；</w:t>
      </w:r>
    </w:p>
    <w:p w14:paraId="1780B73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(7)对基金剩余财产进行分配。</w:t>
      </w:r>
    </w:p>
    <w:p w14:paraId="400134C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5.基金财产清算的期限为6个月，但因本基金所持证券的流动性受到限制而不能及时变现的，清算期限相应顺延。</w:t>
      </w:r>
    </w:p>
    <w:p w14:paraId="0952D64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6.清算费用</w:t>
      </w:r>
    </w:p>
    <w:p w14:paraId="49F2C0F9"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清算费用是指基金财产清算小组在进行基金清算过程中发生的所有合理费用，清算费用由基金财产清算小组优先从基金财产中支付。</w:t>
      </w:r>
    </w:p>
    <w:p w14:paraId="00E1FB3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7.基金财产清算剩余资产的分配：</w:t>
      </w:r>
    </w:p>
    <w:p w14:paraId="786FDA0D" w14:textId="5B5B464A"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r w:rsidR="002669DE" w:rsidRPr="002669DE">
        <w:rPr>
          <w:rFonts w:ascii="宋体" w:hAnsi="宋体" w:cs="Arial" w:hint="eastAsia"/>
          <w:sz w:val="24"/>
        </w:rPr>
        <w:t>，并加上返还基金份额持有人的或有管理费（如有）或扣除相应的超额管理费（如有）</w:t>
      </w:r>
      <w:r w:rsidR="0021311F" w:rsidRPr="0021311F">
        <w:rPr>
          <w:rFonts w:ascii="宋体" w:hAnsi="宋体" w:cs="Arial" w:hint="eastAsia"/>
          <w:sz w:val="24"/>
        </w:rPr>
        <w:t>，以及加上返还给基金份额持有人的销售服务费（如有）</w:t>
      </w:r>
      <w:r>
        <w:rPr>
          <w:rFonts w:ascii="宋体" w:hAnsi="宋体" w:cs="Arial" w:hint="eastAsia"/>
          <w:sz w:val="24"/>
        </w:rPr>
        <w:t>。</w:t>
      </w:r>
    </w:p>
    <w:p w14:paraId="6FA5088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8.基金财产清算的公告</w:t>
      </w:r>
    </w:p>
    <w:p w14:paraId="2944D82B"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清算过程中的有关重大事项须及时公告；基金财产清算报告</w:t>
      </w:r>
      <w:proofErr w:type="gramStart"/>
      <w:r>
        <w:rPr>
          <w:rFonts w:ascii="宋体" w:hAnsi="宋体" w:cs="Arial" w:hint="eastAsia"/>
          <w:sz w:val="24"/>
        </w:rPr>
        <w:t>经符合</w:t>
      </w:r>
      <w:proofErr w:type="gramEnd"/>
      <w:r>
        <w:rPr>
          <w:rFonts w:ascii="宋体" w:hAnsi="宋体" w:cs="Arial" w:hint="eastAsia"/>
          <w:sz w:val="24"/>
        </w:rPr>
        <w:t>《证券法》规定的会计师事务所审计、并由律师事务所出具法律意见书后，报中国证监会备案</w:t>
      </w:r>
      <w:r>
        <w:rPr>
          <w:rFonts w:ascii="宋体" w:hAnsi="宋体" w:cs="Arial" w:hint="eastAsia"/>
          <w:sz w:val="24"/>
        </w:rPr>
        <w:lastRenderedPageBreak/>
        <w:t>并公告。基金财产清算小组应当将清算报告登载在规定网站上，并将清算报告提示性公告登载在规定报刊上。</w:t>
      </w:r>
    </w:p>
    <w:p w14:paraId="5125BB38"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9.基金财产清算账册及文件的保存</w:t>
      </w:r>
    </w:p>
    <w:p w14:paraId="2F8C25C4" w14:textId="7B9A573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基金财产清算账册及有关文件由基金托管人保存，保存</w:t>
      </w:r>
      <w:r>
        <w:rPr>
          <w:rFonts w:ascii="宋体" w:hAnsi="宋体" w:cs="Arial" w:hint="eastAsia"/>
          <w:bCs/>
          <w:sz w:val="24"/>
        </w:rPr>
        <w:t>期限</w:t>
      </w:r>
      <w:r>
        <w:rPr>
          <w:rFonts w:ascii="宋体" w:hAnsi="宋体" w:cs="Arial" w:hint="eastAsia"/>
          <w:sz w:val="24"/>
        </w:rPr>
        <w:t>不低于法律法规规定的最低期限。</w:t>
      </w:r>
    </w:p>
    <w:p w14:paraId="2E91A28D" w14:textId="77777777" w:rsidR="005B7AA2" w:rsidRDefault="005B7AA2">
      <w:pPr>
        <w:adjustRightInd w:val="0"/>
        <w:snapToGrid w:val="0"/>
        <w:spacing w:line="360" w:lineRule="auto"/>
        <w:rPr>
          <w:rFonts w:ascii="宋体" w:hAnsi="宋体" w:cs="Arial"/>
          <w:sz w:val="24"/>
        </w:rPr>
      </w:pPr>
    </w:p>
    <w:p w14:paraId="2415C69A" w14:textId="77777777" w:rsidR="005B7AA2" w:rsidRDefault="00E50B4E">
      <w:pPr>
        <w:pStyle w:val="2"/>
        <w:spacing w:line="360" w:lineRule="auto"/>
        <w:jc w:val="center"/>
        <w:rPr>
          <w:rFonts w:ascii="宋体" w:eastAsia="宋体" w:hAnsi="宋体"/>
          <w:sz w:val="30"/>
        </w:rPr>
      </w:pPr>
      <w:bookmarkStart w:id="106" w:name="_Toc124325901"/>
      <w:r>
        <w:rPr>
          <w:rFonts w:ascii="宋体" w:eastAsia="宋体" w:hAnsi="宋体" w:hint="eastAsia"/>
          <w:sz w:val="30"/>
        </w:rPr>
        <w:t>十七、违约责任</w:t>
      </w:r>
      <w:bookmarkEnd w:id="106"/>
    </w:p>
    <w:p w14:paraId="7270D171"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（一）基金管理人、基金托管人不履行本协议或履行本协议不符合约定的，应当承担违约责任。</w:t>
      </w:r>
    </w:p>
    <w:p w14:paraId="6D1FD189"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78B66DC7" w14:textId="762A55F0"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w:t>
      </w:r>
      <w:r w:rsidR="001B56CB">
        <w:rPr>
          <w:rFonts w:ascii="宋体" w:hAnsi="宋体" w:cs="Arial" w:hint="eastAsia"/>
          <w:sz w:val="24"/>
        </w:rPr>
        <w:t>之一的</w:t>
      </w:r>
      <w:r>
        <w:rPr>
          <w:rFonts w:ascii="宋体" w:hAnsi="宋体" w:cs="Arial" w:hint="eastAsia"/>
          <w:sz w:val="24"/>
        </w:rPr>
        <w:t>，当事人免责：</w:t>
      </w:r>
    </w:p>
    <w:p w14:paraId="099E529F"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19D463D3"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2.基金管理人、基金托管人按照当时有效的法律法规或中国证监会的规定作为或不作为而造成的损失等；</w:t>
      </w:r>
    </w:p>
    <w:p w14:paraId="040642C3"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3.在没有过错的情况下，基金管理人由于按照《基金合同》规定的投资原则投资或不投资造成的直接损失或潜在损失等；</w:t>
      </w:r>
    </w:p>
    <w:p w14:paraId="7F3BF3A6"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.非因基金管理人、基金托管人的故意或重大过失造成的计算机系统故障、网络故障、通讯故障、电力故障、计算机病毒攻击及其它意外事故所导致的损失等。</w:t>
      </w:r>
    </w:p>
    <w:p w14:paraId="39FF2C14"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D4AD003"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0A1AC747" w14:textId="77777777" w:rsidR="005B7AA2" w:rsidRDefault="00E50B4E">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405BAD82" w14:textId="77777777" w:rsidR="005B7AA2" w:rsidRDefault="005B7AA2">
      <w:pPr>
        <w:adjustRightInd w:val="0"/>
        <w:snapToGrid w:val="0"/>
        <w:spacing w:line="360" w:lineRule="auto"/>
        <w:outlineLvl w:val="0"/>
        <w:rPr>
          <w:rFonts w:ascii="宋体" w:hAnsi="宋体" w:cs="Arial"/>
          <w:sz w:val="24"/>
        </w:rPr>
      </w:pPr>
    </w:p>
    <w:p w14:paraId="181C2F58" w14:textId="77777777" w:rsidR="005B7AA2" w:rsidRDefault="00E50B4E">
      <w:pPr>
        <w:pStyle w:val="2"/>
        <w:spacing w:line="360" w:lineRule="auto"/>
        <w:jc w:val="center"/>
        <w:rPr>
          <w:rFonts w:ascii="宋体" w:eastAsia="宋体" w:hAnsi="宋体"/>
          <w:sz w:val="30"/>
        </w:rPr>
      </w:pPr>
      <w:bookmarkStart w:id="107" w:name="_Toc124325902"/>
      <w:r>
        <w:rPr>
          <w:rFonts w:ascii="宋体" w:eastAsia="宋体" w:hAnsi="宋体" w:hint="eastAsia"/>
          <w:sz w:val="30"/>
        </w:rPr>
        <w:t>十八、争议解决方式</w:t>
      </w:r>
      <w:bookmarkEnd w:id="107"/>
    </w:p>
    <w:p w14:paraId="0C50F1A7"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8534D5E"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ECBBD6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本协议受中国法律</w:t>
      </w:r>
      <w:r>
        <w:rPr>
          <w:rFonts w:ascii="等线" w:hAnsi="等线"/>
          <w:bCs/>
          <w:sz w:val="24"/>
        </w:rPr>
        <w:t>（</w:t>
      </w:r>
      <w:r>
        <w:rPr>
          <w:rFonts w:ascii="等线" w:hAnsi="等线" w:hint="eastAsia"/>
          <w:bCs/>
          <w:sz w:val="24"/>
        </w:rPr>
        <w:t>仅为本协议之目的，</w:t>
      </w:r>
      <w:r>
        <w:rPr>
          <w:rFonts w:ascii="等线" w:hAnsi="等线"/>
          <w:bCs/>
          <w:sz w:val="24"/>
        </w:rPr>
        <w:t>不包括香港、澳门特别行政区和台湾地区法律）</w:t>
      </w:r>
      <w:r>
        <w:rPr>
          <w:rFonts w:ascii="宋体" w:hAnsi="宋体" w:cs="Arial" w:hint="eastAsia"/>
          <w:sz w:val="24"/>
        </w:rPr>
        <w:t>管辖。</w:t>
      </w:r>
    </w:p>
    <w:p w14:paraId="792D0ED9" w14:textId="77777777" w:rsidR="005B7AA2" w:rsidRDefault="005B7AA2">
      <w:pPr>
        <w:adjustRightInd w:val="0"/>
        <w:snapToGrid w:val="0"/>
        <w:spacing w:line="360" w:lineRule="auto"/>
        <w:rPr>
          <w:rFonts w:ascii="宋体" w:hAnsi="宋体" w:cs="Arial"/>
          <w:sz w:val="24"/>
        </w:rPr>
      </w:pPr>
    </w:p>
    <w:p w14:paraId="509F8827" w14:textId="77777777" w:rsidR="005B7AA2" w:rsidRDefault="00E50B4E">
      <w:pPr>
        <w:pStyle w:val="2"/>
        <w:spacing w:line="360" w:lineRule="auto"/>
        <w:jc w:val="center"/>
        <w:rPr>
          <w:rFonts w:ascii="宋体" w:eastAsia="宋体" w:hAnsi="宋体"/>
          <w:sz w:val="30"/>
        </w:rPr>
      </w:pPr>
      <w:bookmarkStart w:id="108" w:name="_Toc124325903"/>
      <w:r>
        <w:rPr>
          <w:rFonts w:ascii="宋体" w:eastAsia="宋体" w:hAnsi="宋体" w:hint="eastAsia"/>
          <w:sz w:val="30"/>
        </w:rPr>
        <w:t>十九、托管协议的效力</w:t>
      </w:r>
      <w:bookmarkEnd w:id="108"/>
    </w:p>
    <w:p w14:paraId="13371A9C"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双方对托管协议的效力约定如下：</w:t>
      </w:r>
    </w:p>
    <w:p w14:paraId="44048F5D"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备案的文本为正式文本。</w:t>
      </w:r>
    </w:p>
    <w:p w14:paraId="7DFCC19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649ACF42"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（三）托管协议自生效之日起对托管协议当事人具有同等的法律约束力。</w:t>
      </w:r>
    </w:p>
    <w:p w14:paraId="220E1349" w14:textId="4A5D21DB" w:rsidR="005B7AA2" w:rsidRDefault="00E50B4E">
      <w:pPr>
        <w:adjustRightInd w:val="0"/>
        <w:snapToGrid w:val="0"/>
        <w:spacing w:line="360" w:lineRule="auto"/>
        <w:ind w:firstLineChars="200" w:firstLine="480"/>
        <w:rPr>
          <w:rFonts w:ascii="宋体" w:hAnsi="宋体"/>
          <w:sz w:val="30"/>
          <w:szCs w:val="30"/>
        </w:rPr>
      </w:pPr>
      <w:r>
        <w:rPr>
          <w:rFonts w:ascii="宋体" w:hAnsi="宋体" w:cs="Arial" w:hint="eastAsia"/>
          <w:sz w:val="24"/>
        </w:rPr>
        <w:lastRenderedPageBreak/>
        <w:t>（四）本协议一式</w:t>
      </w:r>
      <w:r w:rsidR="0016351E">
        <w:rPr>
          <w:rFonts w:ascii="宋体" w:hAnsi="宋体" w:cs="Arial" w:hint="eastAsia"/>
          <w:sz w:val="24"/>
        </w:rPr>
        <w:t>三</w:t>
      </w:r>
      <w:r>
        <w:rPr>
          <w:rFonts w:ascii="宋体" w:hAnsi="宋体" w:cs="Arial" w:hint="eastAsia"/>
          <w:sz w:val="24"/>
        </w:rPr>
        <w:t>份，协议双方各持</w:t>
      </w:r>
      <w:r w:rsidR="0016351E">
        <w:rPr>
          <w:rFonts w:ascii="宋体" w:hAnsi="宋体" w:cs="Arial" w:hint="eastAsia"/>
          <w:sz w:val="24"/>
        </w:rPr>
        <w:t>一</w:t>
      </w:r>
      <w:r>
        <w:rPr>
          <w:rFonts w:ascii="宋体" w:hAnsi="宋体" w:cs="Arial" w:hint="eastAsia"/>
          <w:sz w:val="24"/>
        </w:rPr>
        <w:t>份，上报监管机构</w:t>
      </w:r>
      <w:r w:rsidR="0016351E">
        <w:rPr>
          <w:rFonts w:ascii="宋体" w:hAnsi="宋体" w:cs="Arial" w:hint="eastAsia"/>
          <w:sz w:val="24"/>
        </w:rPr>
        <w:t>一</w:t>
      </w:r>
      <w:r>
        <w:rPr>
          <w:rFonts w:ascii="宋体" w:hAnsi="宋体" w:cs="Arial" w:hint="eastAsia"/>
          <w:sz w:val="24"/>
        </w:rPr>
        <w:t>份，每份具有同等的法律效力。</w:t>
      </w:r>
    </w:p>
    <w:p w14:paraId="1106981C" w14:textId="77777777" w:rsidR="005B7AA2" w:rsidRDefault="005B7AA2">
      <w:pPr>
        <w:adjustRightInd w:val="0"/>
        <w:snapToGrid w:val="0"/>
        <w:spacing w:line="360" w:lineRule="auto"/>
        <w:rPr>
          <w:rFonts w:ascii="宋体" w:hAnsi="宋体" w:cs="Arial"/>
          <w:sz w:val="24"/>
        </w:rPr>
      </w:pPr>
    </w:p>
    <w:p w14:paraId="450633AD" w14:textId="77777777" w:rsidR="005B7AA2" w:rsidRDefault="00E50B4E">
      <w:pPr>
        <w:pStyle w:val="2"/>
        <w:spacing w:line="360" w:lineRule="auto"/>
        <w:jc w:val="center"/>
        <w:rPr>
          <w:rFonts w:ascii="宋体" w:eastAsia="宋体" w:hAnsi="宋体"/>
          <w:sz w:val="30"/>
        </w:rPr>
      </w:pPr>
      <w:bookmarkStart w:id="109" w:name="_Toc124325904"/>
      <w:r>
        <w:rPr>
          <w:rFonts w:ascii="宋体" w:eastAsia="宋体" w:hAnsi="宋体" w:hint="eastAsia"/>
          <w:sz w:val="30"/>
        </w:rPr>
        <w:t>二十、其他事项</w:t>
      </w:r>
      <w:bookmarkEnd w:id="109"/>
    </w:p>
    <w:p w14:paraId="19F954F5"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如发生有权司法机关依法冻结基金份额持有人的基金份额时，基金管理人应予以配合，承担司法协助义务。</w:t>
      </w:r>
    </w:p>
    <w:p w14:paraId="0D3CFE1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除本协议有明确定义外，本协议的用语定义适用《基金合同》的约定。本协议未尽事宜，当事人依据《基金合同》、有关法律法规等规定协商办理。</w:t>
      </w:r>
    </w:p>
    <w:p w14:paraId="77EB9B74" w14:textId="77777777" w:rsidR="005B7AA2" w:rsidRDefault="005B7AA2">
      <w:pPr>
        <w:adjustRightInd w:val="0"/>
        <w:snapToGrid w:val="0"/>
        <w:spacing w:line="360" w:lineRule="auto"/>
        <w:rPr>
          <w:rFonts w:ascii="宋体" w:hAnsi="宋体"/>
          <w:b/>
          <w:bCs/>
        </w:rPr>
      </w:pPr>
    </w:p>
    <w:p w14:paraId="24B7A3B5" w14:textId="77777777" w:rsidR="005B7AA2" w:rsidRDefault="00E50B4E">
      <w:pPr>
        <w:pStyle w:val="2"/>
        <w:spacing w:line="360" w:lineRule="auto"/>
        <w:jc w:val="center"/>
        <w:rPr>
          <w:rFonts w:ascii="宋体" w:eastAsia="宋体" w:hAnsi="宋体"/>
          <w:sz w:val="30"/>
        </w:rPr>
      </w:pPr>
      <w:bookmarkStart w:id="110" w:name="_Toc124325905"/>
      <w:r>
        <w:rPr>
          <w:rFonts w:ascii="宋体" w:eastAsia="宋体" w:hAnsi="宋体" w:hint="eastAsia"/>
          <w:sz w:val="30"/>
        </w:rPr>
        <w:t>二十一、托管协议的签订</w:t>
      </w:r>
      <w:bookmarkEnd w:id="110"/>
    </w:p>
    <w:p w14:paraId="34102641" w14:textId="77777777" w:rsidR="005B7AA2" w:rsidRDefault="00E50B4E">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本协议双方法定代表人或授权代表签字或盖章并加盖双方公章或合同专用章，并列明签订地、签订日。</w:t>
      </w:r>
    </w:p>
    <w:p w14:paraId="6699B296" w14:textId="77777777" w:rsidR="005B7AA2" w:rsidRDefault="005B7AA2">
      <w:pPr>
        <w:adjustRightInd w:val="0"/>
        <w:snapToGrid w:val="0"/>
        <w:spacing w:line="360" w:lineRule="auto"/>
        <w:ind w:firstLineChars="200" w:firstLine="480"/>
        <w:rPr>
          <w:rFonts w:ascii="宋体" w:hAnsi="宋体" w:cs="Arial"/>
          <w:sz w:val="24"/>
        </w:rPr>
        <w:sectPr w:rsidR="005B7AA2" w:rsidSect="006B7DA5">
          <w:headerReference w:type="default" r:id="rId9"/>
          <w:footerReference w:type="default" r:id="rId10"/>
          <w:pgSz w:w="11906" w:h="16838"/>
          <w:pgMar w:top="1418" w:right="1701" w:bottom="1418" w:left="1701" w:header="851" w:footer="992" w:gutter="0"/>
          <w:pgNumType w:start="1"/>
          <w:cols w:space="720"/>
          <w:docGrid w:type="lines" w:linePitch="312"/>
        </w:sectPr>
      </w:pPr>
    </w:p>
    <w:p w14:paraId="31650A05" w14:textId="4B012A98" w:rsidR="005B7AA2" w:rsidRDefault="00E50B4E">
      <w:pPr>
        <w:spacing w:line="360" w:lineRule="auto"/>
        <w:ind w:right="26"/>
        <w:rPr>
          <w:rFonts w:ascii="宋体" w:hAnsi="宋体"/>
          <w:sz w:val="24"/>
        </w:rPr>
      </w:pPr>
      <w:r>
        <w:rPr>
          <w:rFonts w:ascii="宋体" w:hAnsi="宋体" w:hint="eastAsia"/>
          <w:sz w:val="24"/>
        </w:rPr>
        <w:lastRenderedPageBreak/>
        <w:t>本页无正文，为《广发优选回报混合型证券投资基金托管协议》的签字盖章页。</w:t>
      </w:r>
    </w:p>
    <w:p w14:paraId="0C3E4061" w14:textId="77777777" w:rsidR="005B7AA2" w:rsidRDefault="005B7AA2">
      <w:pPr>
        <w:spacing w:line="360" w:lineRule="auto"/>
        <w:rPr>
          <w:rFonts w:ascii="宋体" w:hAnsi="宋体"/>
          <w:sz w:val="24"/>
        </w:rPr>
      </w:pPr>
    </w:p>
    <w:p w14:paraId="4B38858E" w14:textId="77777777" w:rsidR="005B7AA2" w:rsidRDefault="005B7AA2">
      <w:pPr>
        <w:spacing w:line="360" w:lineRule="auto"/>
        <w:rPr>
          <w:rFonts w:ascii="宋体" w:hAnsi="宋体"/>
          <w:sz w:val="24"/>
        </w:rPr>
      </w:pPr>
    </w:p>
    <w:p w14:paraId="52687AE4" w14:textId="77777777" w:rsidR="005B7AA2" w:rsidRDefault="005B7AA2">
      <w:pPr>
        <w:spacing w:line="360" w:lineRule="auto"/>
        <w:rPr>
          <w:rFonts w:ascii="宋体" w:hAnsi="宋体"/>
          <w:sz w:val="24"/>
        </w:rPr>
      </w:pPr>
    </w:p>
    <w:p w14:paraId="0D3F62A9" w14:textId="3ABE21EF" w:rsidR="005B7AA2" w:rsidRDefault="00E50B4E">
      <w:pPr>
        <w:spacing w:line="360" w:lineRule="auto"/>
        <w:ind w:right="26"/>
        <w:rPr>
          <w:rFonts w:ascii="宋体" w:hAnsi="宋体"/>
          <w:sz w:val="24"/>
        </w:rPr>
      </w:pPr>
      <w:r>
        <w:rPr>
          <w:rFonts w:ascii="宋体" w:hAnsi="宋体" w:hint="eastAsia"/>
          <w:sz w:val="24"/>
        </w:rPr>
        <w:t>基金管理人：广发基金管理有限公司（盖章）</w:t>
      </w:r>
    </w:p>
    <w:p w14:paraId="53B89B1A" w14:textId="77777777" w:rsidR="005B7AA2" w:rsidRDefault="005B7AA2">
      <w:pPr>
        <w:spacing w:line="360" w:lineRule="auto"/>
        <w:ind w:right="26"/>
        <w:rPr>
          <w:rFonts w:ascii="宋体" w:hAnsi="宋体"/>
          <w:sz w:val="24"/>
        </w:rPr>
      </w:pPr>
    </w:p>
    <w:p w14:paraId="6C2306A4" w14:textId="77777777" w:rsidR="005B7AA2" w:rsidRDefault="005B7AA2">
      <w:pPr>
        <w:spacing w:line="360" w:lineRule="auto"/>
        <w:ind w:right="26"/>
        <w:rPr>
          <w:rFonts w:ascii="宋体" w:hAnsi="宋体"/>
          <w:sz w:val="24"/>
        </w:rPr>
      </w:pPr>
    </w:p>
    <w:p w14:paraId="16C2A563" w14:textId="77777777" w:rsidR="005B7AA2" w:rsidRDefault="005B7AA2">
      <w:pPr>
        <w:spacing w:line="360" w:lineRule="auto"/>
        <w:ind w:right="26"/>
        <w:rPr>
          <w:rFonts w:ascii="宋体" w:hAnsi="宋体"/>
          <w:sz w:val="24"/>
        </w:rPr>
      </w:pPr>
    </w:p>
    <w:p w14:paraId="444F7858" w14:textId="77777777" w:rsidR="005B7AA2" w:rsidRDefault="005B7AA2">
      <w:pPr>
        <w:spacing w:line="360" w:lineRule="auto"/>
        <w:ind w:right="26"/>
        <w:rPr>
          <w:rFonts w:ascii="宋体" w:hAnsi="宋体"/>
          <w:sz w:val="24"/>
        </w:rPr>
      </w:pPr>
    </w:p>
    <w:p w14:paraId="37C89658" w14:textId="77777777" w:rsidR="005B7AA2" w:rsidRDefault="00E50B4E">
      <w:pPr>
        <w:spacing w:line="360" w:lineRule="auto"/>
        <w:ind w:right="26"/>
        <w:rPr>
          <w:rFonts w:ascii="宋体" w:hAnsi="宋体"/>
          <w:sz w:val="24"/>
        </w:rPr>
      </w:pPr>
      <w:r>
        <w:rPr>
          <w:rFonts w:ascii="宋体" w:hAnsi="宋体" w:hint="eastAsia"/>
          <w:sz w:val="24"/>
        </w:rPr>
        <w:t xml:space="preserve">法定代表人或授权代表：                   </w:t>
      </w:r>
    </w:p>
    <w:p w14:paraId="253C87A9" w14:textId="77777777" w:rsidR="005B7AA2" w:rsidRDefault="005B7AA2">
      <w:pPr>
        <w:spacing w:line="360" w:lineRule="auto"/>
        <w:ind w:right="26"/>
        <w:rPr>
          <w:rFonts w:ascii="宋体" w:hAnsi="宋体"/>
          <w:sz w:val="24"/>
        </w:rPr>
      </w:pPr>
    </w:p>
    <w:p w14:paraId="1E2D2222" w14:textId="77777777" w:rsidR="005B7AA2" w:rsidRDefault="005B7AA2">
      <w:pPr>
        <w:spacing w:line="360" w:lineRule="auto"/>
        <w:ind w:right="26"/>
        <w:rPr>
          <w:rFonts w:ascii="宋体" w:hAnsi="宋体"/>
          <w:sz w:val="24"/>
        </w:rPr>
      </w:pPr>
    </w:p>
    <w:p w14:paraId="44832D9F" w14:textId="77777777" w:rsidR="005B7AA2" w:rsidRDefault="005B7AA2">
      <w:pPr>
        <w:spacing w:line="360" w:lineRule="auto"/>
        <w:ind w:right="26"/>
        <w:rPr>
          <w:rFonts w:ascii="宋体" w:hAnsi="宋体"/>
          <w:sz w:val="24"/>
        </w:rPr>
      </w:pPr>
    </w:p>
    <w:p w14:paraId="7779FA3C" w14:textId="77777777" w:rsidR="005B7AA2" w:rsidRDefault="005B7AA2">
      <w:pPr>
        <w:spacing w:line="360" w:lineRule="auto"/>
        <w:ind w:right="26"/>
        <w:rPr>
          <w:rFonts w:ascii="宋体" w:hAnsi="宋体"/>
          <w:sz w:val="24"/>
        </w:rPr>
      </w:pPr>
    </w:p>
    <w:p w14:paraId="1D81C8F5" w14:textId="77777777" w:rsidR="005B7AA2" w:rsidRDefault="005B7AA2">
      <w:pPr>
        <w:spacing w:line="360" w:lineRule="auto"/>
        <w:ind w:right="26"/>
        <w:rPr>
          <w:rFonts w:ascii="宋体" w:hAnsi="宋体"/>
          <w:sz w:val="24"/>
        </w:rPr>
      </w:pPr>
    </w:p>
    <w:p w14:paraId="17072DE8" w14:textId="77777777" w:rsidR="005B7AA2" w:rsidRDefault="00E50B4E">
      <w:pPr>
        <w:spacing w:line="360" w:lineRule="auto"/>
        <w:ind w:right="26"/>
        <w:rPr>
          <w:rFonts w:ascii="宋体" w:hAnsi="宋体"/>
          <w:sz w:val="24"/>
        </w:rPr>
      </w:pPr>
      <w:r>
        <w:rPr>
          <w:rFonts w:ascii="宋体" w:hAnsi="宋体" w:hint="eastAsia"/>
          <w:sz w:val="24"/>
        </w:rPr>
        <w:t>基金托管人：中国建设银行股份有限公司（盖章）</w:t>
      </w:r>
    </w:p>
    <w:p w14:paraId="0978DB07" w14:textId="77777777" w:rsidR="005B7AA2" w:rsidRDefault="005B7AA2">
      <w:pPr>
        <w:spacing w:line="360" w:lineRule="auto"/>
        <w:ind w:right="26"/>
        <w:rPr>
          <w:rFonts w:ascii="宋体" w:hAnsi="宋体"/>
          <w:sz w:val="24"/>
        </w:rPr>
      </w:pPr>
    </w:p>
    <w:p w14:paraId="7C77426D" w14:textId="77777777" w:rsidR="005B7AA2" w:rsidRDefault="005B7AA2">
      <w:pPr>
        <w:spacing w:line="360" w:lineRule="auto"/>
        <w:ind w:right="26"/>
        <w:rPr>
          <w:rFonts w:ascii="宋体" w:hAnsi="宋体"/>
          <w:sz w:val="24"/>
        </w:rPr>
      </w:pPr>
    </w:p>
    <w:p w14:paraId="063C5A38" w14:textId="77777777" w:rsidR="005B7AA2" w:rsidRDefault="005B7AA2">
      <w:pPr>
        <w:spacing w:line="360" w:lineRule="auto"/>
        <w:ind w:right="26"/>
        <w:rPr>
          <w:rFonts w:ascii="宋体" w:hAnsi="宋体"/>
          <w:sz w:val="24"/>
        </w:rPr>
      </w:pPr>
    </w:p>
    <w:p w14:paraId="545DCB51" w14:textId="77777777" w:rsidR="005B7AA2" w:rsidRDefault="005B7AA2">
      <w:pPr>
        <w:spacing w:line="360" w:lineRule="auto"/>
        <w:ind w:right="26"/>
        <w:rPr>
          <w:rFonts w:ascii="宋体" w:hAnsi="宋体"/>
          <w:sz w:val="24"/>
        </w:rPr>
      </w:pPr>
    </w:p>
    <w:p w14:paraId="2D4DCC60" w14:textId="77777777" w:rsidR="005B7AA2" w:rsidRDefault="00E50B4E">
      <w:pPr>
        <w:spacing w:line="360" w:lineRule="auto"/>
        <w:ind w:right="26"/>
        <w:rPr>
          <w:rFonts w:ascii="宋体" w:hAnsi="宋体"/>
          <w:sz w:val="24"/>
        </w:rPr>
      </w:pPr>
      <w:r>
        <w:rPr>
          <w:rFonts w:ascii="宋体" w:hAnsi="宋体" w:hint="eastAsia"/>
          <w:sz w:val="24"/>
        </w:rPr>
        <w:t xml:space="preserve">法定代表人或授权代表：                   </w:t>
      </w:r>
    </w:p>
    <w:p w14:paraId="1CA65293" w14:textId="77777777" w:rsidR="005B7AA2" w:rsidRDefault="005B7AA2">
      <w:pPr>
        <w:spacing w:line="360" w:lineRule="auto"/>
        <w:ind w:right="26"/>
        <w:rPr>
          <w:rFonts w:ascii="宋体" w:hAnsi="宋体"/>
          <w:b/>
          <w:sz w:val="24"/>
          <w:szCs w:val="28"/>
        </w:rPr>
      </w:pPr>
    </w:p>
    <w:p w14:paraId="33BA80C2" w14:textId="77777777" w:rsidR="005B7AA2" w:rsidRDefault="005B7AA2">
      <w:pPr>
        <w:spacing w:line="360" w:lineRule="auto"/>
        <w:ind w:right="26"/>
        <w:rPr>
          <w:rFonts w:ascii="宋体" w:hAnsi="宋体"/>
          <w:b/>
          <w:sz w:val="24"/>
          <w:szCs w:val="28"/>
        </w:rPr>
      </w:pPr>
    </w:p>
    <w:p w14:paraId="14EA6487" w14:textId="77777777" w:rsidR="005B7AA2" w:rsidRDefault="005B7AA2">
      <w:pPr>
        <w:spacing w:line="360" w:lineRule="auto"/>
        <w:ind w:right="26"/>
        <w:rPr>
          <w:rFonts w:ascii="宋体" w:hAnsi="宋体"/>
          <w:b/>
          <w:sz w:val="24"/>
          <w:szCs w:val="28"/>
        </w:rPr>
      </w:pPr>
    </w:p>
    <w:p w14:paraId="7F1F3E8B" w14:textId="06CBE396" w:rsidR="005B7AA2" w:rsidRDefault="00E50B4E">
      <w:pPr>
        <w:spacing w:line="360" w:lineRule="auto"/>
        <w:ind w:right="26"/>
        <w:rPr>
          <w:rFonts w:ascii="宋体" w:hAnsi="宋体"/>
          <w:b/>
          <w:sz w:val="24"/>
          <w:szCs w:val="28"/>
        </w:rPr>
      </w:pPr>
      <w:r>
        <w:rPr>
          <w:rFonts w:ascii="宋体" w:hAnsi="宋体" w:hint="eastAsia"/>
          <w:b/>
          <w:sz w:val="24"/>
          <w:szCs w:val="28"/>
        </w:rPr>
        <w:t>签订地点：</w:t>
      </w:r>
      <w:r w:rsidR="00896C06">
        <w:rPr>
          <w:rFonts w:ascii="宋体" w:hAnsi="宋体" w:hint="eastAsia"/>
          <w:b/>
          <w:sz w:val="24"/>
          <w:szCs w:val="28"/>
        </w:rPr>
        <w:t>广州</w:t>
      </w:r>
    </w:p>
    <w:p w14:paraId="6CAF60D7" w14:textId="34C7CCD1" w:rsidR="005B7AA2" w:rsidRDefault="00E50B4E">
      <w:pPr>
        <w:spacing w:line="360" w:lineRule="auto"/>
        <w:ind w:right="26"/>
        <w:rPr>
          <w:rFonts w:ascii="宋体" w:hAnsi="宋体"/>
          <w:b/>
          <w:sz w:val="24"/>
          <w:szCs w:val="28"/>
        </w:rPr>
      </w:pPr>
      <w:r>
        <w:rPr>
          <w:rFonts w:ascii="宋体" w:hAnsi="宋体" w:hint="eastAsia"/>
          <w:b/>
          <w:sz w:val="24"/>
          <w:szCs w:val="28"/>
        </w:rPr>
        <w:t>签 订 日：</w:t>
      </w:r>
      <w:r w:rsidR="006B7DA5">
        <w:rPr>
          <w:rFonts w:ascii="宋体" w:hAnsi="宋体"/>
          <w:b/>
          <w:sz w:val="24"/>
          <w:szCs w:val="28"/>
        </w:rPr>
        <w:t xml:space="preserve"> </w:t>
      </w:r>
    </w:p>
    <w:p w14:paraId="1F230C2C" w14:textId="77777777" w:rsidR="005B7AA2" w:rsidRDefault="005B7AA2">
      <w:pPr>
        <w:adjustRightInd w:val="0"/>
        <w:snapToGrid w:val="0"/>
        <w:spacing w:line="360" w:lineRule="auto"/>
        <w:rPr>
          <w:rFonts w:ascii="宋体" w:hAnsi="宋体" w:cs="Arial"/>
          <w:sz w:val="24"/>
        </w:rPr>
      </w:pPr>
    </w:p>
    <w:p w14:paraId="71F3162F" w14:textId="77777777" w:rsidR="005B7AA2" w:rsidRDefault="005B7AA2">
      <w:pPr>
        <w:spacing w:line="360" w:lineRule="auto"/>
        <w:rPr>
          <w:rFonts w:ascii="宋体" w:hAnsi="宋体"/>
        </w:rPr>
      </w:pPr>
    </w:p>
    <w:sectPr w:rsidR="005B7AA2">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724FE" w14:textId="77777777" w:rsidR="009A6366" w:rsidRDefault="009A6366">
      <w:r>
        <w:separator/>
      </w:r>
    </w:p>
  </w:endnote>
  <w:endnote w:type="continuationSeparator" w:id="0">
    <w:p w14:paraId="6B19532E" w14:textId="77777777" w:rsidR="009A6366" w:rsidRDefault="009A6366">
      <w:r>
        <w:continuationSeparator/>
      </w:r>
    </w:p>
  </w:endnote>
  <w:endnote w:type="continuationNotice" w:id="1">
    <w:p w14:paraId="18518574" w14:textId="77777777" w:rsidR="009A6366" w:rsidRDefault="009A6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Malgun Gothic Semilight"/>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43499" w14:textId="4E67984F" w:rsidR="00325D55" w:rsidRDefault="00325D55">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44</w:t>
    </w:r>
    <w:r>
      <w:rPr>
        <w:rStyle w:val="af"/>
      </w:rPr>
      <w:fldChar w:fldCharType="end"/>
    </w:r>
  </w:p>
  <w:p w14:paraId="7672AA72" w14:textId="77777777" w:rsidR="00325D55" w:rsidRDefault="00325D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01AF7" w14:textId="16D37C75" w:rsidR="00325D55" w:rsidRDefault="00325D55">
    <w:pPr>
      <w:pStyle w:val="a8"/>
      <w:framePr w:wrap="around" w:vAnchor="text" w:hAnchor="margin" w:xAlign="center" w:y="1"/>
      <w:rPr>
        <w:rStyle w:val="af"/>
      </w:rPr>
    </w:pPr>
  </w:p>
  <w:p w14:paraId="7CF74A05" w14:textId="77777777" w:rsidR="00325D55" w:rsidRDefault="00325D5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22F5" w14:textId="57B8865D" w:rsidR="006B7DA5" w:rsidRDefault="006B7DA5">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86D72">
      <w:rPr>
        <w:rStyle w:val="af"/>
        <w:noProof/>
      </w:rPr>
      <w:t>19</w:t>
    </w:r>
    <w:r>
      <w:rPr>
        <w:rStyle w:val="af"/>
      </w:rPr>
      <w:fldChar w:fldCharType="end"/>
    </w:r>
  </w:p>
  <w:p w14:paraId="2BF00C30" w14:textId="77777777" w:rsidR="006B7DA5" w:rsidRDefault="006B7DA5">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7B347" w14:textId="77777777" w:rsidR="00325D55" w:rsidRDefault="00325D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48ACB" w14:textId="77777777" w:rsidR="009A6366" w:rsidRDefault="009A6366">
      <w:r>
        <w:separator/>
      </w:r>
    </w:p>
  </w:footnote>
  <w:footnote w:type="continuationSeparator" w:id="0">
    <w:p w14:paraId="7A1BCC0A" w14:textId="77777777" w:rsidR="009A6366" w:rsidRDefault="009A6366">
      <w:r>
        <w:continuationSeparator/>
      </w:r>
    </w:p>
  </w:footnote>
  <w:footnote w:type="continuationNotice" w:id="1">
    <w:p w14:paraId="31667F25" w14:textId="77777777" w:rsidR="009A6366" w:rsidRDefault="009A63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DD74E" w14:textId="34E99A87" w:rsidR="00325D55" w:rsidRDefault="00325D55">
    <w:pPr>
      <w:pStyle w:val="aa"/>
      <w:jc w:val="right"/>
    </w:pP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FAD1" w14:textId="00DA023E" w:rsidR="00325D55" w:rsidRDefault="00325D55" w:rsidP="006814CC">
    <w:pPr>
      <w:pStyle w:val="aa"/>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F"/>
    <w:rsid w:val="000006B0"/>
    <w:rsid w:val="000024F9"/>
    <w:rsid w:val="00025EBB"/>
    <w:rsid w:val="00033697"/>
    <w:rsid w:val="00043538"/>
    <w:rsid w:val="00052DD1"/>
    <w:rsid w:val="00055B8E"/>
    <w:rsid w:val="00057F87"/>
    <w:rsid w:val="000662BB"/>
    <w:rsid w:val="00077BAE"/>
    <w:rsid w:val="000836E4"/>
    <w:rsid w:val="000841AB"/>
    <w:rsid w:val="00085734"/>
    <w:rsid w:val="0009125B"/>
    <w:rsid w:val="00092B02"/>
    <w:rsid w:val="000A0DC9"/>
    <w:rsid w:val="000A6320"/>
    <w:rsid w:val="000B6015"/>
    <w:rsid w:val="000B6BF5"/>
    <w:rsid w:val="000C0991"/>
    <w:rsid w:val="000C1DB4"/>
    <w:rsid w:val="000C2F29"/>
    <w:rsid w:val="000F0982"/>
    <w:rsid w:val="000F5ED3"/>
    <w:rsid w:val="00100B98"/>
    <w:rsid w:val="001125C9"/>
    <w:rsid w:val="001324A0"/>
    <w:rsid w:val="00132C6D"/>
    <w:rsid w:val="00135594"/>
    <w:rsid w:val="0014099C"/>
    <w:rsid w:val="001424CA"/>
    <w:rsid w:val="0015074B"/>
    <w:rsid w:val="0016351E"/>
    <w:rsid w:val="00173CF7"/>
    <w:rsid w:val="0018537F"/>
    <w:rsid w:val="00197230"/>
    <w:rsid w:val="001A3B29"/>
    <w:rsid w:val="001B56CB"/>
    <w:rsid w:val="001C05A5"/>
    <w:rsid w:val="001D0C43"/>
    <w:rsid w:val="001D76FC"/>
    <w:rsid w:val="001E7E57"/>
    <w:rsid w:val="001F312E"/>
    <w:rsid w:val="001F6C2B"/>
    <w:rsid w:val="002003A2"/>
    <w:rsid w:val="002034B0"/>
    <w:rsid w:val="00210464"/>
    <w:rsid w:val="00212970"/>
    <w:rsid w:val="0021311F"/>
    <w:rsid w:val="002173F8"/>
    <w:rsid w:val="002232A9"/>
    <w:rsid w:val="00227208"/>
    <w:rsid w:val="00230FA1"/>
    <w:rsid w:val="00232A1C"/>
    <w:rsid w:val="002358C1"/>
    <w:rsid w:val="00251A06"/>
    <w:rsid w:val="002641D1"/>
    <w:rsid w:val="002669DE"/>
    <w:rsid w:val="002675F3"/>
    <w:rsid w:val="002733AC"/>
    <w:rsid w:val="00274EA9"/>
    <w:rsid w:val="0028148E"/>
    <w:rsid w:val="002825A4"/>
    <w:rsid w:val="0028293D"/>
    <w:rsid w:val="002842CA"/>
    <w:rsid w:val="002B4247"/>
    <w:rsid w:val="002C0D68"/>
    <w:rsid w:val="002D5DBF"/>
    <w:rsid w:val="002D640A"/>
    <w:rsid w:val="00303FBE"/>
    <w:rsid w:val="00325859"/>
    <w:rsid w:val="00325D55"/>
    <w:rsid w:val="0035217B"/>
    <w:rsid w:val="00353D6A"/>
    <w:rsid w:val="00361048"/>
    <w:rsid w:val="003611B9"/>
    <w:rsid w:val="00363BA7"/>
    <w:rsid w:val="003751D1"/>
    <w:rsid w:val="00383FBF"/>
    <w:rsid w:val="0039110D"/>
    <w:rsid w:val="003A4EEC"/>
    <w:rsid w:val="003B1C14"/>
    <w:rsid w:val="003B46F9"/>
    <w:rsid w:val="003B7E82"/>
    <w:rsid w:val="003C0D89"/>
    <w:rsid w:val="003E1E8E"/>
    <w:rsid w:val="003F0D6B"/>
    <w:rsid w:val="003F1172"/>
    <w:rsid w:val="00401831"/>
    <w:rsid w:val="004045F9"/>
    <w:rsid w:val="004070BF"/>
    <w:rsid w:val="004103A2"/>
    <w:rsid w:val="00415F65"/>
    <w:rsid w:val="00433C78"/>
    <w:rsid w:val="0043423D"/>
    <w:rsid w:val="004348BA"/>
    <w:rsid w:val="004422BA"/>
    <w:rsid w:val="004569BE"/>
    <w:rsid w:val="004606C9"/>
    <w:rsid w:val="00465034"/>
    <w:rsid w:val="004675E8"/>
    <w:rsid w:val="00470D80"/>
    <w:rsid w:val="00472D5F"/>
    <w:rsid w:val="0047762F"/>
    <w:rsid w:val="004820FE"/>
    <w:rsid w:val="004A1E71"/>
    <w:rsid w:val="004A2465"/>
    <w:rsid w:val="004A6368"/>
    <w:rsid w:val="004B3796"/>
    <w:rsid w:val="004C1330"/>
    <w:rsid w:val="004C19B4"/>
    <w:rsid w:val="004C1CF8"/>
    <w:rsid w:val="004E101D"/>
    <w:rsid w:val="004E25EB"/>
    <w:rsid w:val="004E6F8A"/>
    <w:rsid w:val="0050027A"/>
    <w:rsid w:val="00501CF4"/>
    <w:rsid w:val="005050BE"/>
    <w:rsid w:val="0050594B"/>
    <w:rsid w:val="00510EBA"/>
    <w:rsid w:val="0053180A"/>
    <w:rsid w:val="00542BD6"/>
    <w:rsid w:val="005500B0"/>
    <w:rsid w:val="00591EB4"/>
    <w:rsid w:val="00593605"/>
    <w:rsid w:val="0059405A"/>
    <w:rsid w:val="00594ADC"/>
    <w:rsid w:val="005A2446"/>
    <w:rsid w:val="005B7AA2"/>
    <w:rsid w:val="005C606F"/>
    <w:rsid w:val="005D129B"/>
    <w:rsid w:val="005D2018"/>
    <w:rsid w:val="005D6A9F"/>
    <w:rsid w:val="005D71F6"/>
    <w:rsid w:val="005E17DA"/>
    <w:rsid w:val="005E654C"/>
    <w:rsid w:val="005E7D65"/>
    <w:rsid w:val="005F3A20"/>
    <w:rsid w:val="005F4C60"/>
    <w:rsid w:val="0060300C"/>
    <w:rsid w:val="006126F0"/>
    <w:rsid w:val="00614F24"/>
    <w:rsid w:val="00616CEF"/>
    <w:rsid w:val="006246F3"/>
    <w:rsid w:val="00626EC3"/>
    <w:rsid w:val="00634F7C"/>
    <w:rsid w:val="0063571B"/>
    <w:rsid w:val="006358B1"/>
    <w:rsid w:val="00642A8A"/>
    <w:rsid w:val="006439B1"/>
    <w:rsid w:val="00645DC7"/>
    <w:rsid w:val="00654841"/>
    <w:rsid w:val="00655707"/>
    <w:rsid w:val="0065627F"/>
    <w:rsid w:val="00661CA3"/>
    <w:rsid w:val="00667918"/>
    <w:rsid w:val="00671B68"/>
    <w:rsid w:val="00676E2E"/>
    <w:rsid w:val="006814CC"/>
    <w:rsid w:val="0068629F"/>
    <w:rsid w:val="00687CD1"/>
    <w:rsid w:val="00691732"/>
    <w:rsid w:val="006A5F59"/>
    <w:rsid w:val="006A787B"/>
    <w:rsid w:val="006B13D5"/>
    <w:rsid w:val="006B2200"/>
    <w:rsid w:val="006B4273"/>
    <w:rsid w:val="006B7DA5"/>
    <w:rsid w:val="006D0EA5"/>
    <w:rsid w:val="006E5EFC"/>
    <w:rsid w:val="006E7C25"/>
    <w:rsid w:val="006F04B2"/>
    <w:rsid w:val="006F779C"/>
    <w:rsid w:val="00710218"/>
    <w:rsid w:val="00720982"/>
    <w:rsid w:val="00726310"/>
    <w:rsid w:val="00732334"/>
    <w:rsid w:val="00734FDC"/>
    <w:rsid w:val="0073607B"/>
    <w:rsid w:val="0074065C"/>
    <w:rsid w:val="00742928"/>
    <w:rsid w:val="007441D1"/>
    <w:rsid w:val="0075591A"/>
    <w:rsid w:val="00755C13"/>
    <w:rsid w:val="00765ED3"/>
    <w:rsid w:val="007721C3"/>
    <w:rsid w:val="007748AD"/>
    <w:rsid w:val="00775F3A"/>
    <w:rsid w:val="0078544F"/>
    <w:rsid w:val="00786D72"/>
    <w:rsid w:val="00795194"/>
    <w:rsid w:val="007A5C83"/>
    <w:rsid w:val="007C268E"/>
    <w:rsid w:val="007D6157"/>
    <w:rsid w:val="007E4685"/>
    <w:rsid w:val="007F3D68"/>
    <w:rsid w:val="007F619B"/>
    <w:rsid w:val="007F62F9"/>
    <w:rsid w:val="0080732A"/>
    <w:rsid w:val="008121F7"/>
    <w:rsid w:val="00816B6A"/>
    <w:rsid w:val="00820193"/>
    <w:rsid w:val="00820591"/>
    <w:rsid w:val="00820BCE"/>
    <w:rsid w:val="008236A5"/>
    <w:rsid w:val="0083046C"/>
    <w:rsid w:val="008350E5"/>
    <w:rsid w:val="00837402"/>
    <w:rsid w:val="0084553F"/>
    <w:rsid w:val="0084614A"/>
    <w:rsid w:val="00847DD3"/>
    <w:rsid w:val="00850426"/>
    <w:rsid w:val="00852205"/>
    <w:rsid w:val="008547B4"/>
    <w:rsid w:val="0085689A"/>
    <w:rsid w:val="008675B8"/>
    <w:rsid w:val="0087125E"/>
    <w:rsid w:val="00872089"/>
    <w:rsid w:val="0087466F"/>
    <w:rsid w:val="00875BA4"/>
    <w:rsid w:val="008830A6"/>
    <w:rsid w:val="00896C06"/>
    <w:rsid w:val="008A1CEC"/>
    <w:rsid w:val="008B112F"/>
    <w:rsid w:val="008C0954"/>
    <w:rsid w:val="008C0AC9"/>
    <w:rsid w:val="008C288B"/>
    <w:rsid w:val="008E0BAD"/>
    <w:rsid w:val="008F08D7"/>
    <w:rsid w:val="008F23A8"/>
    <w:rsid w:val="00906B21"/>
    <w:rsid w:val="00912F8C"/>
    <w:rsid w:val="0091304D"/>
    <w:rsid w:val="0091596D"/>
    <w:rsid w:val="009204E9"/>
    <w:rsid w:val="00927782"/>
    <w:rsid w:val="00934AF7"/>
    <w:rsid w:val="0093578F"/>
    <w:rsid w:val="009428F5"/>
    <w:rsid w:val="00953FA5"/>
    <w:rsid w:val="00976406"/>
    <w:rsid w:val="00981311"/>
    <w:rsid w:val="00991CCD"/>
    <w:rsid w:val="009A0D80"/>
    <w:rsid w:val="009A6366"/>
    <w:rsid w:val="009B16A7"/>
    <w:rsid w:val="009C12A1"/>
    <w:rsid w:val="009C7D31"/>
    <w:rsid w:val="009D0A01"/>
    <w:rsid w:val="009D60E2"/>
    <w:rsid w:val="009D76C4"/>
    <w:rsid w:val="009F2F01"/>
    <w:rsid w:val="009F384A"/>
    <w:rsid w:val="009F59DC"/>
    <w:rsid w:val="00A018D7"/>
    <w:rsid w:val="00A02B86"/>
    <w:rsid w:val="00A123EA"/>
    <w:rsid w:val="00A15A53"/>
    <w:rsid w:val="00A177E3"/>
    <w:rsid w:val="00A21157"/>
    <w:rsid w:val="00A2272D"/>
    <w:rsid w:val="00A24D34"/>
    <w:rsid w:val="00A24F7D"/>
    <w:rsid w:val="00A2614B"/>
    <w:rsid w:val="00A262F2"/>
    <w:rsid w:val="00A36003"/>
    <w:rsid w:val="00A448AD"/>
    <w:rsid w:val="00A6029A"/>
    <w:rsid w:val="00A606FD"/>
    <w:rsid w:val="00A72217"/>
    <w:rsid w:val="00A7255A"/>
    <w:rsid w:val="00A74063"/>
    <w:rsid w:val="00A74228"/>
    <w:rsid w:val="00A82D35"/>
    <w:rsid w:val="00A83C38"/>
    <w:rsid w:val="00A843F4"/>
    <w:rsid w:val="00A8441F"/>
    <w:rsid w:val="00A875F7"/>
    <w:rsid w:val="00A936A1"/>
    <w:rsid w:val="00A965E8"/>
    <w:rsid w:val="00A976C3"/>
    <w:rsid w:val="00AA5039"/>
    <w:rsid w:val="00AB1A6F"/>
    <w:rsid w:val="00AB1BE8"/>
    <w:rsid w:val="00AB22F2"/>
    <w:rsid w:val="00AB23A9"/>
    <w:rsid w:val="00AB29B7"/>
    <w:rsid w:val="00AB5FDF"/>
    <w:rsid w:val="00AC2C2A"/>
    <w:rsid w:val="00AC2F84"/>
    <w:rsid w:val="00AC3CBD"/>
    <w:rsid w:val="00AD1C13"/>
    <w:rsid w:val="00AD21CA"/>
    <w:rsid w:val="00AF40D0"/>
    <w:rsid w:val="00AF56E4"/>
    <w:rsid w:val="00B04FB5"/>
    <w:rsid w:val="00B069F6"/>
    <w:rsid w:val="00B14F0A"/>
    <w:rsid w:val="00B23F38"/>
    <w:rsid w:val="00B2400F"/>
    <w:rsid w:val="00B2787A"/>
    <w:rsid w:val="00B34E98"/>
    <w:rsid w:val="00B34FD6"/>
    <w:rsid w:val="00B46FEC"/>
    <w:rsid w:val="00B51686"/>
    <w:rsid w:val="00B53BDB"/>
    <w:rsid w:val="00B629DF"/>
    <w:rsid w:val="00B649FE"/>
    <w:rsid w:val="00B778DE"/>
    <w:rsid w:val="00B77E96"/>
    <w:rsid w:val="00B8225A"/>
    <w:rsid w:val="00B84672"/>
    <w:rsid w:val="00B876E3"/>
    <w:rsid w:val="00B9408B"/>
    <w:rsid w:val="00BA24F2"/>
    <w:rsid w:val="00BA27AF"/>
    <w:rsid w:val="00BA6047"/>
    <w:rsid w:val="00BC43DE"/>
    <w:rsid w:val="00BD039F"/>
    <w:rsid w:val="00BD1268"/>
    <w:rsid w:val="00BD587D"/>
    <w:rsid w:val="00BD6BC7"/>
    <w:rsid w:val="00BE075B"/>
    <w:rsid w:val="00BE3E42"/>
    <w:rsid w:val="00BE4821"/>
    <w:rsid w:val="00BF0ADF"/>
    <w:rsid w:val="00BF1608"/>
    <w:rsid w:val="00BF7A74"/>
    <w:rsid w:val="00C11B14"/>
    <w:rsid w:val="00C127A4"/>
    <w:rsid w:val="00C166BF"/>
    <w:rsid w:val="00C16971"/>
    <w:rsid w:val="00C25C70"/>
    <w:rsid w:val="00C42D4F"/>
    <w:rsid w:val="00C47F0A"/>
    <w:rsid w:val="00C5268F"/>
    <w:rsid w:val="00C52B29"/>
    <w:rsid w:val="00C61F0F"/>
    <w:rsid w:val="00C6220C"/>
    <w:rsid w:val="00C63E51"/>
    <w:rsid w:val="00C73F74"/>
    <w:rsid w:val="00C803D7"/>
    <w:rsid w:val="00C8374D"/>
    <w:rsid w:val="00C8703E"/>
    <w:rsid w:val="00C90423"/>
    <w:rsid w:val="00C92E3C"/>
    <w:rsid w:val="00CC046F"/>
    <w:rsid w:val="00CC4D9B"/>
    <w:rsid w:val="00CD6844"/>
    <w:rsid w:val="00CD75A2"/>
    <w:rsid w:val="00CF225E"/>
    <w:rsid w:val="00D00251"/>
    <w:rsid w:val="00D06C7F"/>
    <w:rsid w:val="00D07F8B"/>
    <w:rsid w:val="00D113D5"/>
    <w:rsid w:val="00D1676A"/>
    <w:rsid w:val="00D25BFB"/>
    <w:rsid w:val="00D318C1"/>
    <w:rsid w:val="00D33B26"/>
    <w:rsid w:val="00D33B2F"/>
    <w:rsid w:val="00D37EB8"/>
    <w:rsid w:val="00D53A68"/>
    <w:rsid w:val="00D561E3"/>
    <w:rsid w:val="00D64C37"/>
    <w:rsid w:val="00D654BA"/>
    <w:rsid w:val="00D65B4A"/>
    <w:rsid w:val="00D65C0B"/>
    <w:rsid w:val="00D83EAA"/>
    <w:rsid w:val="00D86008"/>
    <w:rsid w:val="00D87A49"/>
    <w:rsid w:val="00D9035A"/>
    <w:rsid w:val="00D91570"/>
    <w:rsid w:val="00D92AF5"/>
    <w:rsid w:val="00D94781"/>
    <w:rsid w:val="00D976A5"/>
    <w:rsid w:val="00DA05A2"/>
    <w:rsid w:val="00DA0D37"/>
    <w:rsid w:val="00DA356F"/>
    <w:rsid w:val="00DA48BB"/>
    <w:rsid w:val="00DA6EEC"/>
    <w:rsid w:val="00DB1C9C"/>
    <w:rsid w:val="00DB37BB"/>
    <w:rsid w:val="00DC34F5"/>
    <w:rsid w:val="00DD4E54"/>
    <w:rsid w:val="00DD6CE1"/>
    <w:rsid w:val="00DE0E6F"/>
    <w:rsid w:val="00DF2E52"/>
    <w:rsid w:val="00DF3A43"/>
    <w:rsid w:val="00DF68BF"/>
    <w:rsid w:val="00E05376"/>
    <w:rsid w:val="00E05F79"/>
    <w:rsid w:val="00E10C87"/>
    <w:rsid w:val="00E2176E"/>
    <w:rsid w:val="00E22F05"/>
    <w:rsid w:val="00E43D33"/>
    <w:rsid w:val="00E50B4E"/>
    <w:rsid w:val="00E538B1"/>
    <w:rsid w:val="00E54677"/>
    <w:rsid w:val="00E610A2"/>
    <w:rsid w:val="00E66576"/>
    <w:rsid w:val="00E908FE"/>
    <w:rsid w:val="00E937EB"/>
    <w:rsid w:val="00EA159F"/>
    <w:rsid w:val="00EA2E84"/>
    <w:rsid w:val="00EA3141"/>
    <w:rsid w:val="00EA6276"/>
    <w:rsid w:val="00EA773B"/>
    <w:rsid w:val="00EB21F6"/>
    <w:rsid w:val="00EB4102"/>
    <w:rsid w:val="00EC1FA8"/>
    <w:rsid w:val="00EC2B4D"/>
    <w:rsid w:val="00EC2E22"/>
    <w:rsid w:val="00EC5CDF"/>
    <w:rsid w:val="00EC62A4"/>
    <w:rsid w:val="00ED5708"/>
    <w:rsid w:val="00EE2BE5"/>
    <w:rsid w:val="00EF5CF7"/>
    <w:rsid w:val="00F078D6"/>
    <w:rsid w:val="00F1170D"/>
    <w:rsid w:val="00F11FF8"/>
    <w:rsid w:val="00F14CCF"/>
    <w:rsid w:val="00F1565E"/>
    <w:rsid w:val="00F2367B"/>
    <w:rsid w:val="00F31816"/>
    <w:rsid w:val="00F326EC"/>
    <w:rsid w:val="00F365A0"/>
    <w:rsid w:val="00F422C5"/>
    <w:rsid w:val="00F44A5D"/>
    <w:rsid w:val="00F45029"/>
    <w:rsid w:val="00F46567"/>
    <w:rsid w:val="00F50ADC"/>
    <w:rsid w:val="00F5410E"/>
    <w:rsid w:val="00F57A45"/>
    <w:rsid w:val="00F61D4D"/>
    <w:rsid w:val="00F74812"/>
    <w:rsid w:val="00F838E9"/>
    <w:rsid w:val="00F85C9E"/>
    <w:rsid w:val="00F86473"/>
    <w:rsid w:val="00F8744B"/>
    <w:rsid w:val="00F93683"/>
    <w:rsid w:val="00F94D1D"/>
    <w:rsid w:val="00F95D93"/>
    <w:rsid w:val="00FA1D61"/>
    <w:rsid w:val="00FB2B2E"/>
    <w:rsid w:val="00FB32B5"/>
    <w:rsid w:val="00FB379E"/>
    <w:rsid w:val="00FB54E5"/>
    <w:rsid w:val="00FC47DF"/>
    <w:rsid w:val="00FC54E9"/>
    <w:rsid w:val="00FC71A4"/>
    <w:rsid w:val="00FC7518"/>
    <w:rsid w:val="00FD049E"/>
    <w:rsid w:val="00FD05C9"/>
    <w:rsid w:val="00FD3720"/>
    <w:rsid w:val="00FF238E"/>
    <w:rsid w:val="00FF4309"/>
    <w:rsid w:val="00FF6DF9"/>
    <w:rsid w:val="057F13E1"/>
    <w:rsid w:val="24BC32DA"/>
    <w:rsid w:val="2C3A210E"/>
    <w:rsid w:val="3A830B88"/>
    <w:rsid w:val="53E605A8"/>
    <w:rsid w:val="54FA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A1C40"/>
  <w15:docId w15:val="{1F412DE8-FAD8-42FE-89F0-D69FDE50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20"/>
    <w:qFormat/>
    <w:pPr>
      <w:jc w:val="left"/>
    </w:pPr>
  </w:style>
  <w:style w:type="paragraph" w:styleId="a5">
    <w:name w:val="Body Text"/>
    <w:basedOn w:val="a"/>
    <w:link w:val="1"/>
    <w:qFormat/>
    <w:pPr>
      <w:spacing w:line="360" w:lineRule="auto"/>
    </w:pPr>
    <w:rPr>
      <w:rFonts w:ascii="仿宋_GB2312" w:eastAsia="仿宋_GB2312"/>
      <w:color w:val="000000"/>
      <w:kern w:val="0"/>
      <w:sz w:val="24"/>
      <w:szCs w:val="28"/>
    </w:rPr>
  </w:style>
  <w:style w:type="paragraph" w:styleId="a6">
    <w:name w:val="Body Text Indent"/>
    <w:basedOn w:val="a"/>
    <w:link w:val="10"/>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pPr>
      <w:ind w:leftChars="1400" w:left="2940"/>
    </w:pPr>
  </w:style>
  <w:style w:type="paragraph" w:styleId="22">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1"/>
    <w:semiHidden/>
    <w:rPr>
      <w:sz w:val="18"/>
      <w:szCs w:val="18"/>
    </w:rPr>
  </w:style>
  <w:style w:type="paragraph" w:styleId="a8">
    <w:name w:val="footer"/>
    <w:basedOn w:val="a"/>
    <w:link w:val="a9"/>
    <w:unhideWhenUsed/>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semiHidden/>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3"/>
    <w:rPr>
      <w:b/>
      <w:bCs/>
    </w:rPr>
  </w:style>
  <w:style w:type="character" w:styleId="ae">
    <w:name w:val="Strong"/>
    <w:qFormat/>
    <w:rPr>
      <w:b/>
      <w:bCs/>
    </w:r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14">
    <w:name w:val="批注文字 字符1"/>
    <w:qFormat/>
    <w:rPr>
      <w:rFonts w:ascii="Times New Roman" w:eastAsia="宋体" w:hAnsi="Times New Roman" w:cs="Times New Roman"/>
      <w:szCs w:val="24"/>
    </w:rPr>
  </w:style>
  <w:style w:type="character" w:customStyle="1" w:styleId="210">
    <w:name w:val="正文文本缩进 2 字符1"/>
    <w:link w:val="22"/>
    <w:qFormat/>
    <w:rPr>
      <w:rFonts w:ascii="宋体" w:eastAsia="宋体" w:hAnsi="宋体" w:cs="Times New Roman"/>
      <w:sz w:val="28"/>
      <w:szCs w:val="20"/>
    </w:rPr>
  </w:style>
  <w:style w:type="character" w:customStyle="1" w:styleId="ab">
    <w:name w:val="页眉 字符"/>
    <w:link w:val="aa"/>
    <w:uiPriority w:val="99"/>
    <w:qFormat/>
    <w:rPr>
      <w:sz w:val="18"/>
      <w:szCs w:val="18"/>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正文文本缩进 3 字符"/>
    <w:uiPriority w:val="99"/>
    <w:semiHidden/>
    <w:qFormat/>
    <w:rPr>
      <w:rFonts w:ascii="Times New Roman" w:eastAsia="宋体" w:hAnsi="Times New Roman" w:cs="Times New Roman"/>
      <w:sz w:val="16"/>
      <w:szCs w:val="16"/>
    </w:rPr>
  </w:style>
  <w:style w:type="character" w:customStyle="1" w:styleId="HTML1">
    <w:name w:val="HTML 预设格式 字符1"/>
    <w:link w:val="HTML"/>
    <w:uiPriority w:val="99"/>
    <w:rPr>
      <w:rFonts w:ascii="宋体" w:eastAsia="宋体" w:hAnsi="宋体" w:cs="宋体"/>
      <w:kern w:val="0"/>
      <w:sz w:val="24"/>
      <w:szCs w:val="24"/>
    </w:rPr>
  </w:style>
  <w:style w:type="character" w:customStyle="1" w:styleId="20">
    <w:name w:val="批注文字 字符2"/>
    <w:link w:val="a4"/>
    <w:qFormat/>
    <w:rPr>
      <w:rFonts w:ascii="Times New Roman" w:eastAsia="宋体" w:hAnsi="Times New Roman" w:cs="Times New Roman"/>
      <w:szCs w:val="24"/>
    </w:rPr>
  </w:style>
  <w:style w:type="character" w:customStyle="1" w:styleId="af3">
    <w:name w:val="正文文本缩进 字符"/>
    <w:uiPriority w:val="99"/>
    <w:semiHidden/>
    <w:qFormat/>
    <w:rPr>
      <w:rFonts w:ascii="Times New Roman" w:eastAsia="宋体" w:hAnsi="Times New Roman" w:cs="Times New Roman"/>
      <w:szCs w:val="24"/>
    </w:rPr>
  </w:style>
  <w:style w:type="character" w:customStyle="1" w:styleId="af4">
    <w:name w:val="批注主题 字符"/>
    <w:uiPriority w:val="99"/>
    <w:semiHidden/>
    <w:qFormat/>
    <w:rPr>
      <w:rFonts w:ascii="Times New Roman" w:eastAsia="宋体" w:hAnsi="Times New Roman" w:cs="Times New Roman"/>
      <w:b/>
      <w:bCs/>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11">
    <w:name w:val="批注框文本 字符1"/>
    <w:link w:val="a7"/>
    <w:semiHidden/>
    <w:qFormat/>
    <w:rPr>
      <w:rFonts w:ascii="Times New Roman" w:eastAsia="宋体" w:hAnsi="Times New Roman" w:cs="Times New Roman"/>
      <w:sz w:val="18"/>
      <w:szCs w:val="18"/>
    </w:rPr>
  </w:style>
  <w:style w:type="character" w:customStyle="1" w:styleId="Char1">
    <w:name w:val="批注文字 Char1"/>
    <w:qFormat/>
    <w:rPr>
      <w:rFonts w:ascii="Times New Roman" w:eastAsia="宋体" w:hAnsi="Times New Roman" w:cs="Times New Roman"/>
      <w:szCs w:val="24"/>
    </w:rPr>
  </w:style>
  <w:style w:type="character" w:customStyle="1" w:styleId="af6">
    <w:name w:val="批注文字 字符"/>
    <w:semiHidden/>
    <w:qFormat/>
    <w:rPr>
      <w:rFonts w:ascii="Times New Roman" w:eastAsia="宋体" w:hAnsi="Times New Roman" w:cs="Times New Roman"/>
      <w:szCs w:val="24"/>
    </w:rPr>
  </w:style>
  <w:style w:type="character" w:customStyle="1" w:styleId="read">
    <w:name w:val="read"/>
    <w:qFormat/>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13">
    <w:name w:val="批注主题 字符1"/>
    <w:link w:val="ad"/>
    <w:qFormat/>
    <w:rPr>
      <w:rFonts w:ascii="Times New Roman" w:eastAsia="宋体" w:hAnsi="Times New Roman" w:cs="Times New Roman"/>
      <w:b/>
      <w:bCs/>
      <w:szCs w:val="24"/>
    </w:rPr>
  </w:style>
  <w:style w:type="character" w:customStyle="1" w:styleId="25">
    <w:name w:val="正文文本缩进 2 字符"/>
    <w:uiPriority w:val="99"/>
    <w:semiHidden/>
    <w:qFormat/>
    <w:rPr>
      <w:rFonts w:ascii="Times New Roman" w:eastAsia="宋体" w:hAnsi="Times New Roman" w:cs="Times New Roman"/>
      <w:szCs w:val="24"/>
    </w:rPr>
  </w:style>
  <w:style w:type="character" w:customStyle="1" w:styleId="Char">
    <w:name w:val="页脚 Char"/>
    <w:uiPriority w:val="99"/>
    <w:qFormat/>
    <w:rPr>
      <w:sz w:val="18"/>
      <w:szCs w:val="18"/>
    </w:rPr>
  </w:style>
  <w:style w:type="character" w:customStyle="1" w:styleId="Char0">
    <w:name w:val="页眉 Char"/>
    <w:uiPriority w:val="99"/>
    <w:qFormat/>
    <w:rPr>
      <w:sz w:val="18"/>
      <w:szCs w:val="18"/>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9">
    <w:name w:val="页脚 字符"/>
    <w:link w:val="a8"/>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character" w:customStyle="1" w:styleId="10">
    <w:name w:val="正文文本缩进 字符1"/>
    <w:link w:val="a6"/>
    <w:qFormat/>
    <w:rPr>
      <w:rFonts w:ascii="Times New Roman" w:eastAsia="方正仿宋简体" w:hAnsi="Times New Roman" w:cs="Times New Roman"/>
      <w:sz w:val="24"/>
      <w:szCs w:val="30"/>
    </w:rPr>
  </w:style>
  <w:style w:type="character" w:customStyle="1" w:styleId="1">
    <w:name w:val="正文文本 字符1"/>
    <w:link w:val="a5"/>
    <w:qFormat/>
    <w:rPr>
      <w:rFonts w:ascii="仿宋_GB2312" w:eastAsia="仿宋_GB2312" w:hAnsi="Times New Roman" w:cs="Times New Roman"/>
      <w:color w:val="000000"/>
      <w:kern w:val="0"/>
      <w:sz w:val="24"/>
      <w:szCs w:val="28"/>
    </w:rPr>
  </w:style>
  <w:style w:type="character" w:customStyle="1" w:styleId="af7">
    <w:name w:val="正文文本 字符"/>
    <w:uiPriority w:val="99"/>
    <w:semiHidden/>
    <w:qFormat/>
    <w:rPr>
      <w:rFonts w:ascii="Times New Roman" w:eastAsia="宋体" w:hAnsi="Times New Roman" w:cs="Times New Roman"/>
      <w:szCs w:val="24"/>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Char">
    <w:name w:val="Char Char 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Pr>
      <w:szCs w:val="20"/>
    </w:rPr>
  </w:style>
  <w:style w:type="paragraph" w:customStyle="1" w:styleId="Char2">
    <w:name w:val="Char"/>
    <w:basedOn w:val="a"/>
    <w:qFormat/>
  </w:style>
  <w:style w:type="paragraph" w:customStyle="1" w:styleId="15">
    <w:name w:val="修订1"/>
    <w:uiPriority w:val="99"/>
    <w:semiHidden/>
    <w:qFormat/>
    <w:rPr>
      <w:rFonts w:ascii="Times New Roman" w:hAnsi="Times New Roman"/>
      <w:kern w:val="2"/>
      <w:sz w:val="21"/>
      <w:szCs w:val="24"/>
    </w:rPr>
  </w:style>
  <w:style w:type="paragraph" w:customStyle="1" w:styleId="CharCharCharCharCharCharChar1CharCharCharCharCharChar">
    <w:name w:val="Char Char Char Char Char Char Char1 Char Char Char Char Char Char"/>
    <w:basedOn w:val="a"/>
    <w:qFormat/>
  </w:style>
  <w:style w:type="table" w:customStyle="1" w:styleId="50">
    <w:name w:val="网格型5"/>
    <w:basedOn w:val="a2"/>
    <w:next w:val="af8"/>
    <w:uiPriority w:val="39"/>
    <w:qFormat/>
    <w:rsid w:val="002669DE"/>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2"/>
    <w:next w:val="af8"/>
    <w:uiPriority w:val="59"/>
    <w:qFormat/>
    <w:rsid w:val="002669DE"/>
    <w:pPr>
      <w:widowControl w:val="0"/>
      <w:jc w:val="both"/>
    </w:pPr>
    <w:rPr>
      <w:rFonts w:ascii="Times New Roman" w:hAnsi="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2"/>
    <w:uiPriority w:val="39"/>
    <w:rsid w:val="0026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324A0"/>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C054-D602-4D6F-8545-6D1F1DEE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5364</Words>
  <Characters>30580</Characters>
  <Application>Microsoft Office Word</Application>
  <DocSecurity>0</DocSecurity>
  <Lines>254</Lines>
  <Paragraphs>71</Paragraphs>
  <ScaleCrop>false</ScaleCrop>
  <Company>神州网信技术有限公司</Company>
  <LinksUpToDate>false</LinksUpToDate>
  <CharactersWithSpaces>35873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晁梦婷</cp:lastModifiedBy>
  <cp:revision>5</cp:revision>
  <cp:lastPrinted>2025-11-12T07:12:00Z</cp:lastPrinted>
  <dcterms:created xsi:type="dcterms:W3CDTF">2026-03-09T11:28:00Z</dcterms:created>
  <dcterms:modified xsi:type="dcterms:W3CDTF">2026-03-24T03:26:00Z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F2CF8C89592B4F3B9FA45E3DADACFB95</vt:lpwstr>
  </property>
</Properties>
</file>