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C78" w:rsidRDefault="00351C78">
      <w:pPr>
        <w:snapToGrid w:val="0"/>
        <w:jc w:val="center"/>
        <w:rPr>
          <w:rFonts w:ascii="宋体" w:hAnsi="宋体" w:cs="宋体"/>
          <w:sz w:val="24"/>
        </w:rPr>
      </w:pPr>
      <w:bookmarkStart w:id="0" w:name="_GoBack"/>
      <w:bookmarkEnd w:id="0"/>
    </w:p>
    <w:p w:rsidR="00351C78" w:rsidRDefault="00351C78">
      <w:pPr>
        <w:snapToGrid w:val="0"/>
        <w:jc w:val="center"/>
        <w:rPr>
          <w:rFonts w:ascii="宋体" w:hAnsi="宋体" w:cs="宋体"/>
          <w:sz w:val="24"/>
        </w:rPr>
      </w:pPr>
    </w:p>
    <w:p w:rsidR="00351C78" w:rsidRDefault="00351C78">
      <w:pPr>
        <w:snapToGrid w:val="0"/>
        <w:jc w:val="center"/>
        <w:rPr>
          <w:rFonts w:ascii="宋体" w:hAnsi="宋体" w:cs="宋体"/>
          <w:sz w:val="24"/>
        </w:rPr>
      </w:pPr>
    </w:p>
    <w:p w:rsidR="00351C78" w:rsidRDefault="00351C78">
      <w:pPr>
        <w:snapToGrid w:val="0"/>
        <w:jc w:val="center"/>
        <w:rPr>
          <w:rFonts w:ascii="宋体" w:hAnsi="宋体" w:cs="宋体"/>
          <w:sz w:val="24"/>
        </w:rPr>
      </w:pPr>
    </w:p>
    <w:p w:rsidR="00351C78" w:rsidRDefault="00351C78">
      <w:pPr>
        <w:snapToGrid w:val="0"/>
        <w:jc w:val="center"/>
        <w:rPr>
          <w:rFonts w:ascii="宋体" w:hAnsi="宋体" w:cs="宋体"/>
          <w:sz w:val="24"/>
        </w:rPr>
      </w:pPr>
    </w:p>
    <w:p w:rsidR="00351C78" w:rsidRDefault="00351C78">
      <w:pPr>
        <w:snapToGrid w:val="0"/>
        <w:jc w:val="center"/>
        <w:rPr>
          <w:rFonts w:ascii="宋体" w:hAnsi="宋体" w:cs="宋体"/>
          <w:sz w:val="24"/>
        </w:rPr>
      </w:pPr>
    </w:p>
    <w:p w:rsidR="00351C78" w:rsidRDefault="00351C78">
      <w:pPr>
        <w:snapToGrid w:val="0"/>
        <w:jc w:val="center"/>
        <w:rPr>
          <w:rFonts w:ascii="宋体" w:hAnsi="宋体" w:cs="宋体"/>
          <w:sz w:val="24"/>
        </w:rPr>
      </w:pPr>
    </w:p>
    <w:p w:rsidR="00351C78" w:rsidRDefault="00351C78">
      <w:pPr>
        <w:snapToGrid w:val="0"/>
        <w:jc w:val="center"/>
        <w:rPr>
          <w:rFonts w:ascii="宋体" w:hAnsi="宋体" w:cs="宋体"/>
          <w:sz w:val="24"/>
        </w:rPr>
      </w:pPr>
    </w:p>
    <w:p w:rsidR="00351C78" w:rsidRDefault="00EB0C7E">
      <w:pPr>
        <w:snapToGrid w:val="0"/>
        <w:jc w:val="center"/>
        <w:rPr>
          <w:rFonts w:ascii="宋体" w:hAnsi="宋体" w:cs="宋体"/>
          <w:b/>
          <w:sz w:val="44"/>
          <w:lang w:eastAsia="zh-CN"/>
        </w:rPr>
      </w:pPr>
      <w:r>
        <w:rPr>
          <w:rFonts w:ascii="宋体" w:hAnsi="宋体" w:cs="宋体" w:hint="eastAsia"/>
          <w:b/>
          <w:sz w:val="44"/>
          <w:lang w:eastAsia="zh-CN"/>
        </w:rPr>
        <w:t>易方达国证港股通科技交易型开放式指数证券投资基金</w:t>
      </w:r>
    </w:p>
    <w:p w:rsidR="00351C78" w:rsidRDefault="00EB0C7E">
      <w:pPr>
        <w:snapToGrid w:val="0"/>
        <w:jc w:val="center"/>
        <w:rPr>
          <w:rFonts w:ascii="宋体" w:hAnsi="宋体" w:cs="宋体"/>
          <w:b/>
          <w:sz w:val="44"/>
          <w:lang w:eastAsia="zh-CN"/>
        </w:rPr>
      </w:pPr>
      <w:r>
        <w:rPr>
          <w:rFonts w:ascii="宋体" w:hAnsi="宋体" w:cs="宋体" w:hint="eastAsia"/>
          <w:b/>
          <w:sz w:val="44"/>
          <w:highlight w:val="white"/>
          <w:lang w:eastAsia="zh-CN"/>
        </w:rPr>
        <w:t>托管协议</w:t>
      </w: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rPr>
          <w:rFonts w:ascii="宋体" w:hAnsi="宋体" w:cs="宋体"/>
          <w:sz w:val="24"/>
          <w:lang w:eastAsia="zh-CN"/>
        </w:rPr>
      </w:pPr>
    </w:p>
    <w:p w:rsidR="00351C78" w:rsidRDefault="00351C78">
      <w:pPr>
        <w:snapToGrid w:val="0"/>
        <w:jc w:val="center"/>
        <w:rPr>
          <w:rFonts w:ascii="宋体" w:hAnsi="宋体" w:cs="宋体"/>
          <w:sz w:val="24"/>
          <w:lang w:eastAsia="zh-CN"/>
        </w:rPr>
      </w:pPr>
    </w:p>
    <w:p w:rsidR="00351C78" w:rsidRDefault="00351C78">
      <w:pPr>
        <w:snapToGrid w:val="0"/>
        <w:jc w:val="center"/>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351C78">
      <w:pPr>
        <w:snapToGrid w:val="0"/>
        <w:jc w:val="center"/>
        <w:outlineLvl w:val="0"/>
        <w:rPr>
          <w:rFonts w:ascii="宋体" w:hAnsi="宋体" w:cs="宋体"/>
          <w:sz w:val="24"/>
          <w:lang w:eastAsia="zh-CN"/>
        </w:rPr>
      </w:pPr>
    </w:p>
    <w:p w:rsidR="00351C78" w:rsidRDefault="00EB0C7E">
      <w:pPr>
        <w:snapToGrid w:val="0"/>
        <w:ind w:firstLine="1961"/>
        <w:outlineLvl w:val="0"/>
        <w:rPr>
          <w:rFonts w:ascii="宋体" w:hAnsi="宋体" w:cs="宋体"/>
          <w:b/>
          <w:bCs/>
          <w:sz w:val="28"/>
          <w:lang w:eastAsia="zh-CN"/>
        </w:rPr>
      </w:pPr>
      <w:r>
        <w:rPr>
          <w:rFonts w:ascii="宋体" w:hAnsi="宋体" w:cs="宋体" w:hint="eastAsia"/>
          <w:b/>
          <w:bCs/>
          <w:sz w:val="28"/>
          <w:highlight w:val="white"/>
          <w:lang w:eastAsia="zh-CN"/>
        </w:rPr>
        <w:t>基金管理人：易方达基金管理有限公司</w:t>
      </w:r>
    </w:p>
    <w:p w:rsidR="00351C78" w:rsidRDefault="00EB0C7E">
      <w:pPr>
        <w:tabs>
          <w:tab w:val="center" w:pos="4252"/>
          <w:tab w:val="left" w:pos="7530"/>
        </w:tabs>
        <w:snapToGrid w:val="0"/>
        <w:jc w:val="left"/>
        <w:outlineLvl w:val="0"/>
        <w:rPr>
          <w:rFonts w:ascii="宋体" w:hAnsi="宋体" w:cs="宋体"/>
          <w:b/>
          <w:bCs/>
          <w:sz w:val="28"/>
          <w:lang w:eastAsia="zh-CN"/>
        </w:rPr>
      </w:pPr>
      <w:r>
        <w:rPr>
          <w:rFonts w:ascii="宋体" w:hAnsi="宋体" w:cs="宋体" w:hint="eastAsia"/>
          <w:b/>
          <w:bCs/>
          <w:sz w:val="28"/>
          <w:highlight w:val="white"/>
          <w:lang w:eastAsia="zh-CN"/>
        </w:rPr>
        <w:tab/>
        <w:t>基金托管人：中国建设银行股份有限公司</w:t>
      </w:r>
      <w:r>
        <w:rPr>
          <w:rFonts w:ascii="宋体" w:hAnsi="宋体" w:cs="宋体" w:hint="eastAsia"/>
          <w:b/>
          <w:bCs/>
          <w:sz w:val="28"/>
          <w:highlight w:val="white"/>
          <w:lang w:eastAsia="zh-CN"/>
        </w:rPr>
        <w:tab/>
      </w:r>
    </w:p>
    <w:p w:rsidR="00351C78" w:rsidRDefault="00351C78">
      <w:pPr>
        <w:snapToGrid w:val="0"/>
        <w:jc w:val="center"/>
        <w:outlineLvl w:val="0"/>
        <w:rPr>
          <w:rFonts w:ascii="宋体" w:hAnsi="宋体" w:cs="宋体"/>
          <w:sz w:val="24"/>
          <w:lang w:eastAsia="zh-CN"/>
        </w:rPr>
      </w:pPr>
    </w:p>
    <w:p w:rsidR="00351C78" w:rsidRDefault="00EB0C7E">
      <w:pPr>
        <w:jc w:val="center"/>
        <w:rPr>
          <w:rFonts w:ascii="宋体" w:hAnsi="宋体" w:cs="宋体"/>
        </w:rPr>
      </w:pPr>
      <w:proofErr w:type="spellStart"/>
      <w:r>
        <w:rPr>
          <w:rFonts w:ascii="宋体" w:hAnsi="宋体" w:cs="宋体"/>
          <w:color w:val="000000"/>
          <w:sz w:val="28"/>
          <w:highlight w:val="white"/>
        </w:rPr>
        <w:t>二〇二</w:t>
      </w:r>
      <w:r w:rsidR="005811FA">
        <w:rPr>
          <w:rFonts w:ascii="宋体" w:hAnsi="宋体" w:cs="宋体"/>
          <w:color w:val="000000"/>
          <w:sz w:val="28"/>
          <w:highlight w:val="white"/>
        </w:rPr>
        <w:t>六</w:t>
      </w:r>
      <w:r>
        <w:rPr>
          <w:rFonts w:ascii="宋体" w:hAnsi="宋体" w:cs="宋体"/>
          <w:color w:val="000000"/>
          <w:sz w:val="28"/>
          <w:highlight w:val="white"/>
        </w:rPr>
        <w:t>年</w:t>
      </w:r>
      <w:proofErr w:type="spellEnd"/>
      <w:r>
        <w:rPr>
          <w:rFonts w:ascii="宋体" w:hAnsi="宋体" w:cs="宋体" w:hint="eastAsia"/>
          <w:color w:val="000000"/>
          <w:sz w:val="28"/>
          <w:highlight w:val="white"/>
          <w:lang w:eastAsia="zh-CN"/>
        </w:rPr>
        <w:t>二</w:t>
      </w:r>
      <w:r>
        <w:rPr>
          <w:rFonts w:ascii="宋体" w:hAnsi="宋体" w:cs="宋体"/>
          <w:color w:val="000000"/>
          <w:sz w:val="28"/>
          <w:highlight w:val="white"/>
        </w:rPr>
        <w:t>月</w:t>
      </w:r>
    </w:p>
    <w:p w:rsidR="00351C78" w:rsidRDefault="00351C78">
      <w:pPr>
        <w:tabs>
          <w:tab w:val="left" w:pos="6120"/>
        </w:tabs>
        <w:snapToGrid w:val="0"/>
        <w:jc w:val="center"/>
        <w:outlineLvl w:val="0"/>
        <w:rPr>
          <w:rFonts w:ascii="宋体" w:hAnsi="宋体" w:cs="宋体"/>
          <w:b/>
          <w:bCs/>
          <w:sz w:val="28"/>
        </w:rPr>
      </w:pPr>
    </w:p>
    <w:p w:rsidR="00351C78" w:rsidRDefault="00EB0C7E">
      <w:pPr>
        <w:snapToGrid w:val="0"/>
        <w:outlineLvl w:val="0"/>
        <w:rPr>
          <w:rFonts w:ascii="宋体" w:hAnsi="宋体" w:cs="宋体"/>
          <w:sz w:val="24"/>
        </w:rPr>
      </w:pPr>
      <w:r>
        <w:rPr>
          <w:rFonts w:ascii="宋体" w:hAnsi="宋体" w:cs="宋体" w:hint="eastAsia"/>
          <w:sz w:val="24"/>
          <w:highlight w:val="white"/>
        </w:rPr>
        <w:t xml:space="preserve">                          </w:t>
      </w:r>
    </w:p>
    <w:p w:rsidR="00351C78" w:rsidRDefault="00351C78">
      <w:pPr>
        <w:snapToGrid w:val="0"/>
        <w:jc w:val="center"/>
        <w:rPr>
          <w:rFonts w:ascii="宋体" w:hAnsi="宋体" w:cs="宋体"/>
          <w:bCs/>
          <w:sz w:val="24"/>
        </w:rPr>
      </w:pPr>
    </w:p>
    <w:p w:rsidR="00351C78" w:rsidRDefault="00351C78">
      <w:pPr>
        <w:widowControl/>
        <w:jc w:val="left"/>
        <w:rPr>
          <w:rFonts w:ascii="宋体" w:hAnsi="宋体" w:cs="宋体"/>
          <w:sz w:val="24"/>
        </w:rPr>
        <w:sectPr w:rsidR="00351C78">
          <w:footerReference w:type="default" r:id="rId7"/>
          <w:pgSz w:w="11906" w:h="16838"/>
          <w:pgMar w:top="1418" w:right="1701" w:bottom="1418" w:left="1701" w:header="851" w:footer="992" w:gutter="0"/>
          <w:cols w:space="720"/>
          <w:docGrid w:type="lines" w:linePitch="312"/>
        </w:sectPr>
      </w:pPr>
    </w:p>
    <w:p w:rsidR="00351C78" w:rsidRDefault="00EB0C7E">
      <w:pPr>
        <w:jc w:val="center"/>
        <w:rPr>
          <w:rFonts w:ascii="宋体" w:hAnsi="宋体" w:cs="宋体"/>
          <w:b/>
          <w:bCs/>
          <w:sz w:val="30"/>
        </w:rPr>
      </w:pPr>
      <w:r>
        <w:rPr>
          <w:rFonts w:ascii="宋体" w:hAnsi="宋体" w:cs="宋体" w:hint="eastAsia"/>
          <w:b/>
          <w:bCs/>
          <w:sz w:val="30"/>
          <w:highlight w:val="white"/>
        </w:rPr>
        <w:lastRenderedPageBreak/>
        <w:t>目    录</w:t>
      </w:r>
    </w:p>
    <w:p w:rsidR="00351C78" w:rsidRDefault="00EB0C7E">
      <w:pPr>
        <w:pStyle w:val="23"/>
        <w:rPr>
          <w:rFonts w:ascii="宋体" w:hAnsi="宋体" w:cs="宋体"/>
          <w:sz w:val="22"/>
          <w:szCs w:val="22"/>
        </w:rPr>
      </w:pPr>
      <w:r>
        <w:rPr>
          <w:rFonts w:ascii="宋体" w:hAnsi="宋体" w:cs="宋体"/>
        </w:rPr>
        <w:fldChar w:fldCharType="begin"/>
      </w:r>
      <w:r>
        <w:rPr>
          <w:rFonts w:ascii="宋体" w:hAnsi="宋体" w:cs="宋体"/>
          <w:highlight w:val="white"/>
        </w:rPr>
        <w:instrText xml:space="preserve"> TOC \o "1-2" \h \z </w:instrText>
      </w:r>
      <w:r>
        <w:rPr>
          <w:rFonts w:ascii="宋体" w:hAnsi="宋体" w:cs="宋体"/>
        </w:rPr>
        <w:fldChar w:fldCharType="separate"/>
      </w:r>
      <w:hyperlink w:anchor="_Toc68875903" w:tooltip="Current Document" w:history="1">
        <w:r>
          <w:rPr>
            <w:rStyle w:val="aff2"/>
            <w:rFonts w:ascii="宋体" w:hAnsi="宋体" w:cs="宋体" w:hint="eastAsia"/>
            <w:highlight w:val="white"/>
          </w:rPr>
          <w:t>一、基金托管协议当事人</w:t>
        </w:r>
        <w:r>
          <w:rPr>
            <w:rFonts w:ascii="宋体" w:hAnsi="宋体" w:cs="宋体"/>
            <w:highlight w:val="white"/>
          </w:rPr>
          <w:tab/>
        </w:r>
        <w:r>
          <w:rPr>
            <w:rFonts w:ascii="宋体" w:hAnsi="宋体" w:cs="宋体"/>
          </w:rPr>
          <w:fldChar w:fldCharType="begin"/>
        </w:r>
        <w:r>
          <w:rPr>
            <w:rFonts w:ascii="宋体" w:hAnsi="宋体" w:cs="宋体"/>
            <w:highlight w:val="white"/>
          </w:rPr>
          <w:instrText xml:space="preserve"> PAGEREF _Toc68875903 \h </w:instrText>
        </w:r>
        <w:r>
          <w:rPr>
            <w:rFonts w:ascii="宋体" w:hAnsi="宋体" w:cs="宋体"/>
          </w:rPr>
        </w:r>
        <w:r>
          <w:rPr>
            <w:rFonts w:ascii="宋体" w:hAnsi="宋体" w:cs="宋体"/>
          </w:rPr>
          <w:fldChar w:fldCharType="separate"/>
        </w:r>
        <w:r w:rsidR="00AF09FA">
          <w:rPr>
            <w:rFonts w:ascii="宋体" w:hAnsi="宋体" w:cs="宋体"/>
            <w:noProof/>
            <w:highlight w:val="white"/>
          </w:rPr>
          <w:t>3</w:t>
        </w:r>
        <w:r>
          <w:rPr>
            <w:rFonts w:ascii="宋体" w:hAnsi="宋体" w:cs="宋体"/>
          </w:rPr>
          <w:fldChar w:fldCharType="end"/>
        </w:r>
      </w:hyperlink>
    </w:p>
    <w:p w:rsidR="00351C78" w:rsidRDefault="00C23066">
      <w:pPr>
        <w:pStyle w:val="23"/>
        <w:rPr>
          <w:rFonts w:ascii="宋体" w:hAnsi="宋体" w:cs="宋体"/>
          <w:sz w:val="22"/>
          <w:szCs w:val="22"/>
        </w:rPr>
      </w:pPr>
      <w:hyperlink w:anchor="_Toc68875904" w:tooltip="Current Document" w:history="1">
        <w:r w:rsidR="0074403C">
          <w:rPr>
            <w:rStyle w:val="aff2"/>
            <w:rFonts w:ascii="宋体" w:hAnsi="宋体" w:cs="宋体" w:hint="eastAsia"/>
            <w:highlight w:val="white"/>
          </w:rPr>
          <w:t>二、基金托管协议的依据、目的和原则</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_Toc68875904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4</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05" w:tooltip="Current Document" w:history="1">
        <w:r w:rsidR="0074403C">
          <w:rPr>
            <w:rStyle w:val="aff2"/>
            <w:rFonts w:ascii="宋体" w:hAnsi="宋体" w:cs="宋体" w:hint="eastAsia"/>
            <w:highlight w:val="white"/>
          </w:rPr>
          <w:t>三、基金托管人对基金管理人的业务监督和核查</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_Toc68875905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4</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06" w:tooltip="Current Document" w:history="1">
        <w:r w:rsidR="0074403C">
          <w:rPr>
            <w:rStyle w:val="aff2"/>
            <w:rFonts w:ascii="宋体" w:hAnsi="宋体" w:cs="宋体" w:hint="eastAsia"/>
            <w:highlight w:val="white"/>
          </w:rPr>
          <w:t>四、基金管理人对基金托管人的业务核查</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_Toc68875906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8</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07" w:tooltip="Current Document" w:history="1">
        <w:r w:rsidR="0074403C">
          <w:rPr>
            <w:rStyle w:val="aff2"/>
            <w:rFonts w:ascii="宋体" w:hAnsi="宋体" w:cs="宋体" w:hint="eastAsia"/>
            <w:highlight w:val="white"/>
          </w:rPr>
          <w:t>五、基金财产的保管</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_Toc68875907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8</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08" w:tooltip="Current Document" w:history="1">
        <w:r w:rsidR="0074403C">
          <w:rPr>
            <w:rStyle w:val="aff2"/>
            <w:rFonts w:ascii="宋体" w:hAnsi="宋体" w:cs="宋体" w:hint="eastAsia"/>
            <w:highlight w:val="white"/>
          </w:rPr>
          <w:t>六、指令的发送、确认及执行</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_Toc68875908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11</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09" w:tooltip="Current Document" w:history="1">
        <w:r w:rsidR="0074403C">
          <w:rPr>
            <w:rStyle w:val="aff2"/>
            <w:rFonts w:ascii="宋体" w:hAnsi="宋体" w:cs="宋体" w:hint="eastAsia"/>
            <w:highlight w:val="white"/>
          </w:rPr>
          <w:t>七、交易及清算交收安排</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_Toc68875909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12</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0" w:tooltip="Current Document" w:history="1">
        <w:r w:rsidR="0074403C">
          <w:rPr>
            <w:rStyle w:val="aff2"/>
            <w:rFonts w:ascii="宋体" w:hAnsi="宋体" w:cs="宋体" w:hint="eastAsia"/>
            <w:highlight w:val="white"/>
          </w:rPr>
          <w:t>八、基金资产净值计算和会计核算</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_Toc68875910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15</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1" w:tooltip="Current Document" w:history="1">
        <w:r w:rsidR="0074403C">
          <w:rPr>
            <w:rStyle w:val="aff2"/>
            <w:rFonts w:ascii="宋体" w:hAnsi="宋体" w:cs="宋体" w:hint="eastAsia"/>
            <w:highlight w:val="white"/>
          </w:rPr>
          <w:t>九、基金收益分配</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_Toc68875911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18</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2" w:tooltip="Current Document" w:history="1">
        <w:r w:rsidR="0074403C">
          <w:rPr>
            <w:rStyle w:val="aff2"/>
            <w:rFonts w:ascii="宋体" w:hAnsi="宋体" w:cs="宋体" w:hint="eastAsia"/>
            <w:highlight w:val="white"/>
          </w:rPr>
          <w:t>十、基金信息披露</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_Toc68875912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19</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3" w:tooltip="Current Document" w:history="1">
        <w:r w:rsidR="0074403C">
          <w:rPr>
            <w:rStyle w:val="aff2"/>
            <w:rFonts w:ascii="宋体" w:hAnsi="宋体" w:cs="宋体" w:hint="eastAsia"/>
            <w:highlight w:val="white"/>
          </w:rPr>
          <w:t>十一、基金费用</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_Toc68875913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20</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4" w:tooltip="Current Document" w:history="1">
        <w:r w:rsidR="0074403C">
          <w:rPr>
            <w:rStyle w:val="aff2"/>
            <w:rFonts w:ascii="宋体" w:hAnsi="宋体" w:cs="宋体" w:hint="eastAsia"/>
            <w:highlight w:val="white"/>
          </w:rPr>
          <w:t>十二、基金份额持有人名册的保管</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_Toc68875914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21</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5" w:tooltip="Current Document" w:history="1">
        <w:r w:rsidR="0074403C">
          <w:rPr>
            <w:rStyle w:val="aff2"/>
            <w:rFonts w:ascii="宋体" w:hAnsi="宋体" w:cs="宋体" w:hint="eastAsia"/>
            <w:highlight w:val="white"/>
          </w:rPr>
          <w:t>十三、基金有关文件档案的保存</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_Toc68875915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22</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6" w:tooltip="Current Document" w:history="1">
        <w:r w:rsidR="0074403C">
          <w:rPr>
            <w:rStyle w:val="aff2"/>
            <w:rFonts w:ascii="宋体" w:hAnsi="宋体" w:cs="宋体" w:hint="eastAsia"/>
            <w:highlight w:val="white"/>
          </w:rPr>
          <w:t>十四、基金管理人和基金托管人的更换</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_Toc68875916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22</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7" w:tooltip="Current Document" w:history="1">
        <w:r w:rsidR="0074403C">
          <w:rPr>
            <w:rStyle w:val="aff2"/>
            <w:rFonts w:ascii="宋体" w:hAnsi="宋体" w:cs="宋体" w:hint="eastAsia"/>
            <w:highlight w:val="white"/>
          </w:rPr>
          <w:t>十五、禁止行为</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_Toc68875917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24</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8" w:tooltip="Current Document" w:history="1">
        <w:r w:rsidR="0074403C">
          <w:rPr>
            <w:rStyle w:val="aff2"/>
            <w:rFonts w:ascii="宋体" w:hAnsi="宋体" w:cs="宋体" w:hint="eastAsia"/>
            <w:highlight w:val="white"/>
          </w:rPr>
          <w:t>十六、托管协议的变更、终止与基金财产的清算</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_Toc68875918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24</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19" w:tooltip="Current Document" w:history="1">
        <w:r w:rsidR="0074403C">
          <w:rPr>
            <w:rStyle w:val="aff2"/>
            <w:rFonts w:ascii="宋体" w:hAnsi="宋体" w:cs="宋体" w:hint="eastAsia"/>
            <w:highlight w:val="white"/>
          </w:rPr>
          <w:t>十七、违约责任</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_Toc68875919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25</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20" w:tooltip="Current Document" w:history="1">
        <w:r w:rsidR="0074403C">
          <w:rPr>
            <w:rStyle w:val="aff2"/>
            <w:rFonts w:ascii="宋体" w:hAnsi="宋体" w:cs="宋体" w:hint="eastAsia"/>
            <w:highlight w:val="white"/>
          </w:rPr>
          <w:t>十八、争议解决方式</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_Toc68875920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26</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21" w:tooltip="Current Document" w:history="1">
        <w:r w:rsidR="0074403C">
          <w:rPr>
            <w:rStyle w:val="aff2"/>
            <w:rFonts w:ascii="宋体" w:hAnsi="宋体" w:cs="宋体" w:hint="eastAsia"/>
            <w:highlight w:val="white"/>
          </w:rPr>
          <w:t>十九、托管协议的效力</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_Toc68875921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26</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22" w:tooltip="Current Document" w:history="1">
        <w:r w:rsidR="0074403C">
          <w:rPr>
            <w:rStyle w:val="aff2"/>
            <w:rFonts w:ascii="宋体" w:hAnsi="宋体" w:cs="宋体" w:hint="eastAsia"/>
            <w:highlight w:val="white"/>
          </w:rPr>
          <w:t>二十、其他事项</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_Toc68875922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27</w:t>
        </w:r>
        <w:r w:rsidR="0074403C">
          <w:rPr>
            <w:rFonts w:ascii="宋体" w:hAnsi="宋体" w:cs="宋体"/>
          </w:rPr>
          <w:fldChar w:fldCharType="end"/>
        </w:r>
      </w:hyperlink>
    </w:p>
    <w:p w:rsidR="00351C78" w:rsidRDefault="00C23066">
      <w:pPr>
        <w:pStyle w:val="23"/>
        <w:rPr>
          <w:rFonts w:ascii="宋体" w:hAnsi="宋体" w:cs="宋体"/>
          <w:sz w:val="22"/>
          <w:szCs w:val="22"/>
        </w:rPr>
      </w:pPr>
      <w:hyperlink w:anchor="_Toc68875923" w:tooltip="Current Document" w:history="1">
        <w:r w:rsidR="0074403C">
          <w:rPr>
            <w:rStyle w:val="aff2"/>
            <w:rFonts w:ascii="宋体" w:hAnsi="宋体" w:cs="宋体" w:hint="eastAsia"/>
            <w:highlight w:val="white"/>
          </w:rPr>
          <w:t>二十一、托管协议的签订</w:t>
        </w:r>
        <w:r w:rsidR="0074403C">
          <w:rPr>
            <w:rFonts w:ascii="宋体" w:hAnsi="宋体" w:cs="宋体"/>
            <w:highlight w:val="white"/>
          </w:rPr>
          <w:tab/>
        </w:r>
        <w:r w:rsidR="0074403C">
          <w:rPr>
            <w:rFonts w:ascii="宋体" w:hAnsi="宋体" w:cs="宋体"/>
          </w:rPr>
          <w:fldChar w:fldCharType="begin"/>
        </w:r>
        <w:r w:rsidR="0074403C">
          <w:rPr>
            <w:rFonts w:ascii="宋体" w:hAnsi="宋体" w:cs="宋体"/>
            <w:highlight w:val="white"/>
          </w:rPr>
          <w:instrText xml:space="preserve"> PAGEREF _Toc68875923 \h </w:instrText>
        </w:r>
        <w:r w:rsidR="0074403C">
          <w:rPr>
            <w:rFonts w:ascii="宋体" w:hAnsi="宋体" w:cs="宋体"/>
          </w:rPr>
        </w:r>
        <w:r w:rsidR="0074403C">
          <w:rPr>
            <w:rFonts w:ascii="宋体" w:hAnsi="宋体" w:cs="宋体"/>
          </w:rPr>
          <w:fldChar w:fldCharType="separate"/>
        </w:r>
        <w:r w:rsidR="00AF09FA">
          <w:rPr>
            <w:rFonts w:ascii="宋体" w:hAnsi="宋体" w:cs="宋体"/>
            <w:noProof/>
            <w:highlight w:val="white"/>
          </w:rPr>
          <w:t>27</w:t>
        </w:r>
        <w:r w:rsidR="0074403C">
          <w:rPr>
            <w:rFonts w:ascii="宋体" w:hAnsi="宋体" w:cs="宋体"/>
          </w:rPr>
          <w:fldChar w:fldCharType="end"/>
        </w:r>
      </w:hyperlink>
    </w:p>
    <w:p w:rsidR="00351C78" w:rsidRDefault="00EB0C7E">
      <w:pPr>
        <w:rPr>
          <w:rFonts w:ascii="宋体" w:hAnsi="宋体" w:cs="宋体"/>
          <w:sz w:val="24"/>
        </w:rPr>
      </w:pPr>
      <w:r>
        <w:rPr>
          <w:rFonts w:ascii="宋体" w:hAnsi="宋体" w:cs="宋体"/>
          <w:sz w:val="28"/>
        </w:rPr>
        <w:fldChar w:fldCharType="end"/>
      </w:r>
    </w:p>
    <w:p w:rsidR="00351C78" w:rsidRDefault="00351C78">
      <w:pPr>
        <w:widowControl/>
        <w:snapToGrid w:val="0"/>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351C78">
      <w:pPr>
        <w:widowControl/>
        <w:ind w:firstLine="480"/>
        <w:rPr>
          <w:rFonts w:ascii="宋体" w:hAnsi="宋体" w:cs="宋体"/>
          <w:sz w:val="24"/>
        </w:rPr>
      </w:pPr>
    </w:p>
    <w:p w:rsidR="00351C78" w:rsidRDefault="00EB0C7E">
      <w:pPr>
        <w:widowControl/>
        <w:ind w:firstLine="480"/>
        <w:rPr>
          <w:rFonts w:ascii="宋体" w:hAnsi="宋体" w:cs="宋体"/>
          <w:sz w:val="24"/>
          <w:lang w:eastAsia="zh-CN"/>
        </w:rPr>
      </w:pPr>
      <w:r>
        <w:rPr>
          <w:rFonts w:ascii="宋体" w:hAnsi="宋体" w:cs="宋体"/>
          <w:sz w:val="24"/>
          <w:highlight w:val="white"/>
          <w:lang w:eastAsia="zh-CN"/>
        </w:rPr>
        <w:lastRenderedPageBreak/>
        <w:t>鉴于易方达基金管理有限公司系一家依照中国法律合法成立并有效存续的有限责任公司，按照相关法律法规的规定具备担任基金管理人的资格和能力，拟募集发行</w:t>
      </w:r>
      <w:r>
        <w:rPr>
          <w:rFonts w:ascii="宋体" w:hAnsi="宋体" w:cs="宋体"/>
          <w:sz w:val="24"/>
          <w:lang w:eastAsia="zh-CN"/>
        </w:rPr>
        <w:t>易方达国证港股通科技交易型开放式指数证券投资基金</w:t>
      </w:r>
      <w:r>
        <w:rPr>
          <w:rFonts w:ascii="宋体" w:hAnsi="宋体" w:cs="宋体"/>
          <w:sz w:val="24"/>
          <w:highlight w:val="white"/>
          <w:lang w:eastAsia="zh-CN"/>
        </w:rPr>
        <w:t>；</w:t>
      </w:r>
    </w:p>
    <w:p w:rsidR="00351C78" w:rsidRDefault="00EB0C7E">
      <w:pPr>
        <w:widowControl/>
        <w:snapToGrid w:val="0"/>
        <w:ind w:firstLine="480"/>
        <w:rPr>
          <w:rFonts w:ascii="宋体" w:hAnsi="宋体" w:cs="宋体"/>
          <w:sz w:val="24"/>
          <w:lang w:eastAsia="zh-CN"/>
        </w:rPr>
      </w:pPr>
      <w:r>
        <w:rPr>
          <w:rFonts w:ascii="宋体" w:hAnsi="宋体" w:cs="宋体" w:hint="eastAsia"/>
          <w:sz w:val="24"/>
          <w:highlight w:val="white"/>
          <w:lang w:eastAsia="zh-CN"/>
        </w:rPr>
        <w:t>鉴于中国建设银行股份有限公司系一家依照中国法律合法成立并有效存续的银行，按照相关法律法规的规定具备担任基金托管人的资格和能力；</w:t>
      </w:r>
    </w:p>
    <w:p w:rsidR="00351C78" w:rsidRDefault="00EB0C7E">
      <w:pPr>
        <w:widowControl/>
        <w:snapToGrid w:val="0"/>
        <w:ind w:firstLine="480"/>
        <w:rPr>
          <w:rFonts w:ascii="宋体" w:hAnsi="宋体" w:cs="宋体"/>
          <w:sz w:val="24"/>
          <w:lang w:eastAsia="zh-CN"/>
        </w:rPr>
      </w:pPr>
      <w:r>
        <w:rPr>
          <w:rFonts w:ascii="宋体" w:hAnsi="宋体" w:cs="宋体" w:hint="eastAsia"/>
          <w:sz w:val="24"/>
          <w:highlight w:val="white"/>
          <w:lang w:eastAsia="zh-CN"/>
        </w:rPr>
        <w:t>鉴于易方达基金管理有限公司拟担任</w:t>
      </w:r>
      <w:r>
        <w:rPr>
          <w:rFonts w:ascii="宋体" w:hAnsi="宋体" w:cs="宋体" w:hint="eastAsia"/>
          <w:sz w:val="24"/>
          <w:lang w:eastAsia="zh-CN"/>
        </w:rPr>
        <w:t>易方达国证港股通科技交易型开放式指数证券投资基金</w:t>
      </w:r>
      <w:r>
        <w:rPr>
          <w:rFonts w:ascii="宋体" w:hAnsi="宋体" w:cs="宋体" w:hint="eastAsia"/>
          <w:sz w:val="24"/>
          <w:highlight w:val="white"/>
          <w:lang w:eastAsia="zh-CN"/>
        </w:rPr>
        <w:t>的基金管理人，中国建设银行股份有限公司拟担任</w:t>
      </w:r>
      <w:r>
        <w:rPr>
          <w:rFonts w:ascii="宋体" w:hAnsi="宋体" w:cs="宋体" w:hint="eastAsia"/>
          <w:sz w:val="24"/>
          <w:lang w:eastAsia="zh-CN"/>
        </w:rPr>
        <w:t>易方达国证港股通科技交易型开放式指数证券投资基金</w:t>
      </w:r>
      <w:r>
        <w:rPr>
          <w:rFonts w:ascii="宋体" w:hAnsi="宋体" w:cs="宋体" w:hint="eastAsia"/>
          <w:sz w:val="24"/>
          <w:highlight w:val="white"/>
          <w:lang w:eastAsia="zh-CN"/>
        </w:rPr>
        <w:t>的基金托管人；</w:t>
      </w:r>
    </w:p>
    <w:p w:rsidR="00351C78" w:rsidRDefault="00EB0C7E">
      <w:pPr>
        <w:widowControl/>
        <w:snapToGrid w:val="0"/>
        <w:ind w:firstLine="480"/>
        <w:rPr>
          <w:rFonts w:ascii="宋体" w:hAnsi="宋体" w:cs="宋体"/>
          <w:sz w:val="24"/>
          <w:lang w:eastAsia="zh-CN"/>
        </w:rPr>
      </w:pPr>
      <w:r>
        <w:rPr>
          <w:rFonts w:ascii="宋体" w:hAnsi="宋体" w:cs="宋体" w:hint="eastAsia"/>
          <w:sz w:val="24"/>
          <w:highlight w:val="white"/>
          <w:lang w:eastAsia="zh-CN"/>
        </w:rPr>
        <w:t>为明确</w:t>
      </w:r>
      <w:r>
        <w:rPr>
          <w:rFonts w:ascii="宋体" w:hAnsi="宋体" w:cs="宋体" w:hint="eastAsia"/>
          <w:sz w:val="24"/>
          <w:lang w:eastAsia="zh-CN"/>
        </w:rPr>
        <w:t>易方达国证港股通科技交易型开放式指数证券投资基金</w:t>
      </w:r>
      <w:r>
        <w:rPr>
          <w:rFonts w:ascii="宋体" w:hAnsi="宋体" w:cs="宋体" w:hint="eastAsia"/>
          <w:sz w:val="24"/>
          <w:highlight w:val="white"/>
          <w:lang w:eastAsia="zh-CN"/>
        </w:rPr>
        <w:t>的基金管理人和基金托管人之间的权利义务关系，特制订本托管协议；</w:t>
      </w:r>
    </w:p>
    <w:p w:rsidR="00351C78" w:rsidRDefault="00EB0C7E">
      <w:pPr>
        <w:widowControl/>
        <w:snapToGrid w:val="0"/>
        <w:ind w:firstLine="480"/>
        <w:rPr>
          <w:rFonts w:ascii="宋体" w:hAnsi="宋体" w:cs="宋体"/>
          <w:sz w:val="24"/>
          <w:lang w:eastAsia="zh-CN"/>
        </w:rPr>
      </w:pPr>
      <w:r>
        <w:rPr>
          <w:rFonts w:ascii="宋体" w:hAnsi="宋体" w:cs="宋体" w:hint="eastAsia"/>
          <w:sz w:val="24"/>
          <w:highlight w:val="white"/>
          <w:lang w:val="en-GB" w:eastAsia="zh-CN"/>
        </w:rPr>
        <w:t>除非另有约定，《</w:t>
      </w:r>
      <w:r>
        <w:rPr>
          <w:rFonts w:ascii="宋体" w:hAnsi="宋体" w:cs="宋体" w:hint="eastAsia"/>
          <w:sz w:val="24"/>
          <w:lang w:eastAsia="zh-CN"/>
        </w:rPr>
        <w:t>易方达国证港股通科技交易型开放式指数证券投资基金</w:t>
      </w:r>
      <w:r>
        <w:rPr>
          <w:rFonts w:ascii="宋体" w:hAnsi="宋体" w:cs="宋体" w:hint="eastAsia"/>
          <w:sz w:val="24"/>
          <w:highlight w:val="white"/>
          <w:lang w:val="en-GB" w:eastAsia="zh-CN"/>
        </w:rPr>
        <w:t>基金合同》(以下简称“基金合同”)中定义的术语在用于本托管协议时应具有相同的含义；若有抵触应以《基金合同》为准，并依其</w:t>
      </w:r>
      <w:r>
        <w:rPr>
          <w:rFonts w:ascii="宋体" w:hAnsi="宋体" w:cs="宋体" w:hint="eastAsia"/>
          <w:sz w:val="24"/>
          <w:highlight w:val="white"/>
          <w:lang w:eastAsia="zh-CN"/>
        </w:rPr>
        <w:t>条款</w:t>
      </w:r>
      <w:r>
        <w:rPr>
          <w:rFonts w:ascii="宋体" w:hAnsi="宋体" w:cs="宋体" w:hint="eastAsia"/>
          <w:sz w:val="24"/>
          <w:highlight w:val="white"/>
          <w:lang w:val="en-GB" w:eastAsia="zh-CN"/>
        </w:rPr>
        <w:t>解释。</w:t>
      </w:r>
    </w:p>
    <w:p w:rsidR="00351C78" w:rsidRDefault="00351C78">
      <w:pPr>
        <w:rPr>
          <w:rFonts w:ascii="宋体" w:hAnsi="宋体" w:cs="宋体"/>
          <w:sz w:val="24"/>
          <w:lang w:eastAsia="zh-CN"/>
        </w:rPr>
      </w:pPr>
    </w:p>
    <w:p w:rsidR="00351C78" w:rsidRDefault="00EB0C7E">
      <w:pPr>
        <w:pStyle w:val="210"/>
        <w:jc w:val="center"/>
        <w:rPr>
          <w:rFonts w:ascii="宋体" w:eastAsia="宋体" w:hAnsi="宋体" w:cs="宋体"/>
          <w:lang w:eastAsia="zh-CN"/>
        </w:rPr>
      </w:pPr>
      <w:bookmarkStart w:id="1" w:name="_Toc68875903"/>
      <w:r>
        <w:rPr>
          <w:rFonts w:ascii="宋体" w:eastAsia="宋体" w:hAnsi="宋体" w:cs="宋体" w:hint="eastAsia"/>
          <w:highlight w:val="white"/>
          <w:lang w:eastAsia="zh-CN"/>
        </w:rPr>
        <w:t>一、基金托管协议当事人</w:t>
      </w:r>
      <w:bookmarkEnd w:id="1"/>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（一）基金管理人</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名称：易方达基金管理有限公司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住所：广东省珠海市横琴新区荣粤道188号6层</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法定代表人：吴欣荣</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设立日期：2001年4月17日</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批准设立机关及批准设立文号：中国证券监督管理委员会，证监基金字[2001]4号</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组织形式：有限责任公司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注册资本：13,244.2万元人民币</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存续期限：持续经营</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联系电话：4008818088</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（二）基金托管人</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名称：中国建设银行股份有限公司(简称：中国建设银行)</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住所：北京市西城区金融大街25号</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办公地址：北京市西城区闹市口大街1号院1号楼</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邮政编码：100033</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法定代表人：张金良</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成立日期：2004年09月17日</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基金托管业务批准文号：中国证监会证监基字[1998</w:t>
      </w:r>
      <w:bookmarkStart w:id="2" w:name="OLE_LINK3"/>
      <w:r>
        <w:rPr>
          <w:rFonts w:ascii="宋体" w:hAnsi="宋体" w:cs="宋体" w:hint="eastAsia"/>
          <w:sz w:val="24"/>
          <w:highlight w:val="white"/>
          <w:lang w:eastAsia="zh-CN"/>
        </w:rPr>
        <w:t>]</w:t>
      </w:r>
      <w:bookmarkEnd w:id="2"/>
      <w:r>
        <w:rPr>
          <w:rFonts w:ascii="宋体" w:hAnsi="宋体" w:cs="宋体" w:hint="eastAsia"/>
          <w:sz w:val="24"/>
          <w:highlight w:val="white"/>
          <w:lang w:eastAsia="zh-CN"/>
        </w:rPr>
        <w:t>12号</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组织形式：股份有限公司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注册资</w:t>
      </w:r>
      <w:r>
        <w:rPr>
          <w:rFonts w:ascii="宋体" w:hAnsi="宋体" w:cs="宋体"/>
          <w:sz w:val="24"/>
          <w:highlight w:val="white"/>
          <w:lang w:eastAsia="zh-CN"/>
        </w:rPr>
        <w:t>本：</w:t>
      </w:r>
      <w:r>
        <w:rPr>
          <w:rFonts w:ascii="宋体" w:hAnsi="宋体" w:cs="宋体" w:hint="eastAsia"/>
          <w:sz w:val="24"/>
          <w:highlight w:val="white"/>
          <w:lang w:eastAsia="zh-CN"/>
        </w:rPr>
        <w:t>贰仟陆佰壹拾陆亿叁拾捌万壹仟肆佰伍拾玖元整</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存续期间：持续经营</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51C78" w:rsidRDefault="00351C78">
      <w:pPr>
        <w:snapToGrid w:val="0"/>
        <w:ind w:firstLine="48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3" w:name="_Toc68875904"/>
      <w:r>
        <w:rPr>
          <w:rFonts w:ascii="宋体" w:eastAsia="宋体" w:hAnsi="宋体" w:cs="宋体" w:hint="eastAsia"/>
          <w:sz w:val="30"/>
          <w:highlight w:val="white"/>
          <w:lang w:eastAsia="zh-CN"/>
        </w:rPr>
        <w:t>二、基金托管协议的依据、目的和原则</w:t>
      </w:r>
      <w:bookmarkEnd w:id="3"/>
    </w:p>
    <w:p w:rsidR="00351C78" w:rsidRDefault="00EB0C7E">
      <w:pPr>
        <w:snapToGrid w:val="0"/>
        <w:ind w:firstLine="480"/>
        <w:rPr>
          <w:rFonts w:ascii="宋体" w:hAnsi="宋体" w:cs="宋体"/>
          <w:sz w:val="24"/>
          <w:szCs w:val="30"/>
          <w:lang w:eastAsia="zh-CN"/>
        </w:rPr>
      </w:pPr>
      <w:r>
        <w:rPr>
          <w:rFonts w:ascii="宋体" w:hAnsi="宋体" w:cs="宋体" w:hint="eastAsia"/>
          <w:sz w:val="24"/>
          <w:highlight w:val="white"/>
          <w:lang w:eastAsia="zh-CN"/>
        </w:rPr>
        <w:t>（一）订立托管协议的依据</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本协议依据《中华人民共和国证券投资基金法》(以下简称“《基金法》”)等有关法律法规、《基金合同》及其他有关规定制订。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（二）订立托管协议的目的</w:t>
      </w:r>
    </w:p>
    <w:p w:rsidR="00351C78" w:rsidRDefault="00EB0C7E">
      <w:pPr>
        <w:snapToGrid w:val="0"/>
        <w:ind w:firstLine="480"/>
        <w:rPr>
          <w:rFonts w:ascii="宋体" w:hAnsi="宋体" w:cs="宋体"/>
          <w:sz w:val="24"/>
          <w:szCs w:val="30"/>
          <w:lang w:eastAsia="zh-CN"/>
        </w:rPr>
      </w:pPr>
      <w:r>
        <w:rPr>
          <w:rFonts w:ascii="宋体" w:hAnsi="宋体" w:cs="宋体" w:hint="eastAsia"/>
          <w:sz w:val="24"/>
          <w:highlight w:val="white"/>
          <w:lang w:eastAsia="zh-CN"/>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（三）订立托管协议的原则</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基金管理人和基金托管人本着平等自愿、诚实信用、充分保护基金份额持有人合法权益的原则，经协商一致，签订本协议。</w:t>
      </w:r>
    </w:p>
    <w:p w:rsidR="00351C78" w:rsidRDefault="00351C78">
      <w:pPr>
        <w:rPr>
          <w:rFonts w:ascii="宋体" w:hAnsi="宋体" w:cs="宋体"/>
          <w:sz w:val="24"/>
          <w:lang w:eastAsia="zh-CN"/>
        </w:rPr>
      </w:pPr>
    </w:p>
    <w:p w:rsidR="00351C78" w:rsidRDefault="00EB0C7E">
      <w:pPr>
        <w:pStyle w:val="210"/>
        <w:jc w:val="center"/>
        <w:rPr>
          <w:rFonts w:ascii="宋体" w:eastAsia="宋体" w:hAnsi="宋体" w:cs="宋体"/>
          <w:sz w:val="30"/>
          <w:szCs w:val="24"/>
          <w:lang w:eastAsia="zh-CN"/>
        </w:rPr>
      </w:pPr>
      <w:bookmarkStart w:id="4" w:name="_Toc68875905"/>
      <w:r>
        <w:rPr>
          <w:rFonts w:ascii="宋体" w:eastAsia="宋体" w:hAnsi="宋体" w:cs="宋体" w:hint="eastAsia"/>
          <w:sz w:val="30"/>
          <w:highlight w:val="white"/>
          <w:lang w:eastAsia="zh-CN"/>
        </w:rPr>
        <w:t>三、基金托管人对基金管理人的业务监督和核查</w:t>
      </w:r>
      <w:bookmarkEnd w:id="4"/>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（一）基金托管人根据有关</w:t>
      </w:r>
      <w:r>
        <w:rPr>
          <w:rFonts w:ascii="宋体" w:hAnsi="宋体" w:cs="宋体"/>
          <w:sz w:val="24"/>
          <w:highlight w:val="white"/>
          <w:lang w:eastAsia="zh-CN"/>
        </w:rPr>
        <w:t>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w:t>
      </w:r>
      <w:r>
        <w:rPr>
          <w:rFonts w:ascii="宋体" w:hAnsi="宋体" w:cs="宋体" w:hint="eastAsia"/>
          <w:sz w:val="24"/>
          <w:highlight w:val="white"/>
          <w:lang w:eastAsia="zh-CN"/>
        </w:rPr>
        <w:t>对</w:t>
      </w:r>
      <w:r>
        <w:rPr>
          <w:rFonts w:ascii="宋体" w:hAnsi="宋体" w:cs="宋体"/>
          <w:sz w:val="24"/>
          <w:highlight w:val="white"/>
          <w:lang w:eastAsia="zh-CN"/>
        </w:rPr>
        <w:t>标的证券库</w:t>
      </w:r>
      <w:r>
        <w:rPr>
          <w:rFonts w:ascii="宋体" w:hAnsi="宋体" w:cs="宋体" w:hint="eastAsia"/>
          <w:sz w:val="24"/>
          <w:highlight w:val="white"/>
          <w:lang w:eastAsia="zh-CN"/>
        </w:rPr>
        <w:t>予以更新和调整并及时书面通知基金托管人。基金托管人根据上述投资范围对基金实际投资是否符合《基金合同》关于证券选择标准的约定进行监督。</w:t>
      </w:r>
    </w:p>
    <w:p w:rsidR="00351C78" w:rsidRDefault="00EB0C7E">
      <w:pPr>
        <w:snapToGrid w:val="0"/>
        <w:ind w:firstLine="480"/>
        <w:rPr>
          <w:rFonts w:ascii="宋体" w:hAnsi="宋体" w:cs="宋体"/>
          <w:sz w:val="24"/>
          <w:lang w:eastAsia="zh-CN"/>
        </w:rPr>
      </w:pPr>
      <w:r>
        <w:rPr>
          <w:rFonts w:ascii="宋体" w:hAnsi="宋体" w:cs="宋体"/>
          <w:sz w:val="24"/>
          <w:lang w:eastAsia="zh-CN"/>
        </w:rPr>
        <w:t>本基金的投资范围包括标的指数成份股及备选成份股（含存托凭证）、除标的指数成份股及备选成份股以外的其他股票（包括港股通标的股票、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351C78" w:rsidRDefault="00EB0C7E">
      <w:pPr>
        <w:snapToGrid w:val="0"/>
        <w:ind w:firstLine="480"/>
        <w:rPr>
          <w:rFonts w:ascii="宋体" w:hAnsi="宋体" w:cs="宋体"/>
          <w:sz w:val="24"/>
          <w:lang w:eastAsia="zh-CN"/>
        </w:rPr>
      </w:pPr>
      <w:r>
        <w:rPr>
          <w:rFonts w:ascii="宋体" w:hAnsi="宋体" w:cs="宋体"/>
          <w:sz w:val="24"/>
          <w:lang w:eastAsia="zh-CN"/>
        </w:rPr>
        <w:t>如法律法规或监管机构以后允许基金投资其他品种，基金管理人在履行适当程序后，本基金可以将其纳入投资范围。</w:t>
      </w:r>
    </w:p>
    <w:p w:rsidR="00351C78" w:rsidRDefault="00EB0C7E">
      <w:pPr>
        <w:snapToGrid w:val="0"/>
        <w:ind w:firstLine="480"/>
        <w:rPr>
          <w:rFonts w:ascii="宋体" w:hAnsi="宋体" w:cs="宋体"/>
          <w:sz w:val="24"/>
          <w:lang w:eastAsia="zh-CN"/>
        </w:rPr>
      </w:pPr>
      <w:r>
        <w:rPr>
          <w:rFonts w:ascii="宋体" w:hAnsi="宋体" w:cs="宋体"/>
          <w:sz w:val="24"/>
          <w:lang w:eastAsia="zh-CN"/>
        </w:rPr>
        <w:t>本基金将根据法律法规的规定参与转融通证券出借及融资业务。</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基金的投资组合比例为：</w:t>
      </w:r>
      <w:r>
        <w:rPr>
          <w:rFonts w:ascii="宋体" w:hAnsi="宋体" w:cs="宋体"/>
          <w:sz w:val="24"/>
          <w:lang w:eastAsia="zh-CN"/>
        </w:rPr>
        <w:t>本基金投资于标的指数成份股及备选成份股的资产不低于非现金基金资产的80%且不低于基金资产净值的90%，法律法规另有规定的除外。</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（二）基金托管人根据有关法律法规的规定及《基金合同》的约定，对基金投资、融资比例进行监督。基金托管人按下述比例和调整期限进行监督：</w:t>
      </w:r>
    </w:p>
    <w:p w:rsidR="00351C78" w:rsidRDefault="00EB0C7E">
      <w:pPr>
        <w:ind w:firstLine="480"/>
        <w:rPr>
          <w:rFonts w:ascii="宋体" w:hAnsi="宋体" w:cs="宋体"/>
          <w:sz w:val="24"/>
          <w:lang w:eastAsia="zh-CN"/>
        </w:rPr>
      </w:pPr>
      <w:r>
        <w:rPr>
          <w:rFonts w:ascii="宋体" w:hAnsi="宋体" w:cs="宋体" w:hint="eastAsia"/>
          <w:sz w:val="24"/>
          <w:highlight w:val="white"/>
          <w:lang w:eastAsia="zh-CN"/>
        </w:rPr>
        <w:t>（1）本基金投资于标的指数成份股及备选成份股的资产不低于非现金基金资产的80%且不低于基金资产净值的90%；</w:t>
      </w:r>
    </w:p>
    <w:p w:rsidR="00351C78" w:rsidRDefault="00EB0C7E">
      <w:pPr>
        <w:ind w:firstLine="480"/>
        <w:rPr>
          <w:lang w:eastAsia="zh-CN"/>
        </w:rPr>
      </w:pPr>
      <w:r>
        <w:rPr>
          <w:rFonts w:ascii="宋体" w:hAnsi="宋体" w:cs="宋体" w:hint="eastAsia"/>
          <w:sz w:val="24"/>
          <w:highlight w:val="white"/>
          <w:lang w:eastAsia="zh-CN"/>
        </w:rPr>
        <w:t>（2）本基金投资于同一原始权益人的各类资产支持证券的比例，不得超过</w:t>
      </w:r>
      <w:r>
        <w:rPr>
          <w:rFonts w:ascii="宋体" w:hAnsi="宋体" w:cs="宋体" w:hint="eastAsia"/>
          <w:sz w:val="24"/>
          <w:highlight w:val="white"/>
          <w:lang w:eastAsia="zh-CN"/>
        </w:rPr>
        <w:lastRenderedPageBreak/>
        <w:t>基金资产净值的10%；</w:t>
      </w:r>
    </w:p>
    <w:p w:rsidR="00351C78" w:rsidRDefault="00EB0C7E">
      <w:pPr>
        <w:ind w:firstLine="480"/>
        <w:rPr>
          <w:lang w:eastAsia="zh-CN"/>
        </w:rPr>
      </w:pPr>
      <w:r>
        <w:rPr>
          <w:rFonts w:ascii="宋体" w:hAnsi="宋体" w:cs="宋体" w:hint="eastAsia"/>
          <w:sz w:val="24"/>
          <w:highlight w:val="white"/>
          <w:lang w:eastAsia="zh-CN"/>
        </w:rPr>
        <w:t>（3）本基金持有的全部资产支持证券，其市值不得超过基金资产净值的20%；</w:t>
      </w:r>
    </w:p>
    <w:p w:rsidR="00351C78" w:rsidRDefault="00EB0C7E">
      <w:pPr>
        <w:ind w:firstLine="480"/>
        <w:rPr>
          <w:lang w:eastAsia="zh-CN"/>
        </w:rPr>
      </w:pPr>
      <w:r>
        <w:rPr>
          <w:rFonts w:ascii="宋体" w:hAnsi="宋体" w:cs="宋体" w:hint="eastAsia"/>
          <w:sz w:val="24"/>
          <w:highlight w:val="white"/>
          <w:lang w:eastAsia="zh-CN"/>
        </w:rPr>
        <w:t>（4）本基金持有的同一（指同一信用级别）资产支持证券的比例，不得超过该资产支持证券规模的10%；</w:t>
      </w:r>
    </w:p>
    <w:p w:rsidR="00351C78" w:rsidRDefault="00EB0C7E">
      <w:pPr>
        <w:ind w:firstLine="480"/>
        <w:rPr>
          <w:lang w:eastAsia="zh-CN"/>
        </w:rPr>
      </w:pPr>
      <w:r>
        <w:rPr>
          <w:rFonts w:ascii="宋体" w:hAnsi="宋体" w:cs="宋体" w:hint="eastAsia"/>
          <w:sz w:val="24"/>
          <w:highlight w:val="white"/>
          <w:lang w:eastAsia="zh-CN"/>
        </w:rPr>
        <w:t>（5）本基金管理人管理的全部基金投资于同一原始权益人的各类资产支持证券，不得超过其各类资产支持证券合计规模的10%；</w:t>
      </w:r>
    </w:p>
    <w:p w:rsidR="00351C78" w:rsidRDefault="00EB0C7E">
      <w:pPr>
        <w:ind w:firstLine="480"/>
        <w:rPr>
          <w:lang w:eastAsia="zh-CN"/>
        </w:rPr>
      </w:pPr>
      <w:r>
        <w:rPr>
          <w:rFonts w:ascii="宋体" w:hAnsi="宋体" w:cs="宋体" w:hint="eastAsia"/>
          <w:sz w:val="24"/>
          <w:highlight w:val="white"/>
          <w:lang w:eastAsia="zh-CN"/>
        </w:rPr>
        <w:t>（6）本基金应投资于信用级别评级为BBB以上（含BBB）的资产支持证券。基金持有资产支持证券期间，如果其信用等级下降、不再符合投资标准，应在评级报告发布之日起3个月内予以全部卖出；</w:t>
      </w:r>
    </w:p>
    <w:p w:rsidR="00351C78" w:rsidRDefault="00EB0C7E">
      <w:pPr>
        <w:ind w:firstLine="480"/>
        <w:rPr>
          <w:lang w:eastAsia="zh-CN"/>
        </w:rPr>
      </w:pPr>
      <w:r>
        <w:rPr>
          <w:rFonts w:ascii="宋体" w:hAnsi="宋体" w:cs="宋体" w:hint="eastAsia"/>
          <w:sz w:val="24"/>
          <w:highlight w:val="white"/>
          <w:lang w:eastAsia="zh-CN"/>
        </w:rPr>
        <w:t>（7）基金财产参与股票发行申购，本基金所申报的金额不超过本基金的总资产，本基金所申报的股票数量不超过拟发行股票公司本次发行股票的总量；</w:t>
      </w:r>
    </w:p>
    <w:p w:rsidR="00351C78" w:rsidRDefault="00EB0C7E">
      <w:pPr>
        <w:ind w:firstLine="480"/>
        <w:rPr>
          <w:lang w:eastAsia="zh-CN"/>
        </w:rPr>
      </w:pPr>
      <w:r>
        <w:rPr>
          <w:rFonts w:ascii="宋体" w:hAnsi="宋体" w:cs="宋体" w:hint="eastAsia"/>
          <w:sz w:val="24"/>
          <w:highlight w:val="white"/>
          <w:lang w:eastAsia="zh-CN"/>
        </w:rPr>
        <w:t>（8）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在扣除股指期货、国债期货合约需缴纳的交易保证金后，应当保持不低于交易保证金一倍的现金；</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9）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10）本基金参与股票期权交易的，应当符合下列要求：基金因未平仓的期权合约支付和收取的权利金总额不得超过基金资产净值的10%；未平仓的期权合约面值不得超过基金资产净值的20%。其中，合约面值按照行权价乘以合约乘数计算；</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11）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30%；最近6个月内日均基金资产净值不得低于2 亿元；证券出借的平均剩余期限不得超过30天，平均剩余期限按照市值加权平均计算；</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（12）基金参与融资业务后，在任何交易日日终，持有的融资买入股票与其他有价证券市值之和，不得超过基金资产净值的95%；</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（14）本基金资产总值不超过基金资产净值的140%；</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lastRenderedPageBreak/>
        <w:t>（15）本基金投资存托凭证的比例限制依照境内上市交易的股票执行，与境内上市交易的股票合并计算；</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（16）法律法规及中国证监会规定的和《基金合同》约定的其他投资限制。</w:t>
      </w:r>
    </w:p>
    <w:p w:rsidR="00351C78" w:rsidRDefault="00EB0C7E">
      <w:pPr>
        <w:ind w:firstLine="480"/>
        <w:rPr>
          <w:rFonts w:ascii="宋体" w:hAnsi="宋体" w:cs="宋体"/>
          <w:sz w:val="24"/>
          <w:highlight w:val="white"/>
          <w:lang w:eastAsia="zh-CN"/>
        </w:rPr>
      </w:pPr>
      <w:r>
        <w:rPr>
          <w:rFonts w:ascii="宋体" w:hAnsi="宋体" w:cs="宋体"/>
          <w:sz w:val="24"/>
          <w:highlight w:val="white"/>
          <w:lang w:eastAsia="zh-CN"/>
        </w:rPr>
        <w:t>除上述（6）、（7）、（11）、（13）情形之外，因证券/期货市场波动、证券发行人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11）项规定的，基金管理人不得新增出借业务。法律法规或监管部门另有规定的，届时按最新规定执行。</w:t>
      </w:r>
    </w:p>
    <w:p w:rsidR="00351C78" w:rsidRDefault="00EB0C7E">
      <w:pPr>
        <w:ind w:firstLine="480"/>
        <w:rPr>
          <w:lang w:eastAsia="zh-CN"/>
        </w:rPr>
      </w:pPr>
      <w:r>
        <w:rPr>
          <w:rFonts w:ascii="宋体" w:hAnsi="宋体" w:cs="宋体" w:hint="eastAsia"/>
          <w:sz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r>
        <w:rPr>
          <w:rFonts w:ascii="宋体" w:hAnsi="宋体" w:cs="宋体"/>
          <w:sz w:val="24"/>
          <w:highlight w:val="white"/>
          <w:lang w:eastAsia="zh-CN"/>
        </w:rPr>
        <w:t xml:space="preserve"> </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如果法律法规对上述投资组合比例限制进行变更的，以变更后的规定为准。法律法规或监管部门取消上述限制，则本基金投资不再受相关限制。</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（三）基金托管人</w:t>
      </w:r>
      <w:bookmarkStart w:id="5" w:name="OLE_LINK1"/>
      <w:r>
        <w:rPr>
          <w:rFonts w:ascii="宋体" w:hAnsi="宋体" w:cs="宋体" w:hint="eastAsia"/>
          <w:sz w:val="24"/>
          <w:highlight w:val="white"/>
          <w:lang w:eastAsia="zh-CN"/>
        </w:rPr>
        <w:t>根据有关法律法规的规定及《基金合同》的约定，</w:t>
      </w:r>
      <w:bookmarkEnd w:id="5"/>
      <w:r>
        <w:rPr>
          <w:rFonts w:ascii="宋体" w:hAnsi="宋体" w:cs="宋体" w:hint="eastAsia"/>
          <w:sz w:val="24"/>
          <w:highlight w:val="white"/>
          <w:lang w:eastAsia="zh-CN"/>
        </w:rPr>
        <w:t>对本托管协议第十五条第九款基金投资禁止行为通过事后监督方式进行监督。</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（四）</w:t>
      </w:r>
      <w:r>
        <w:rPr>
          <w:rFonts w:ascii="宋体" w:hAnsi="宋体" w:cs="宋体" w:hint="eastAsia"/>
          <w:sz w:val="24"/>
          <w:highlight w:val="white"/>
          <w:lang w:eastAsia="zh-CN"/>
        </w:rPr>
        <w:t>基金托管人根据有关法律法规的规定及《基金合同》的约定，对基金管理人投资流通受限证券进行监督。</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相关投资额度和比例等的情况进行监督。</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w:t>
      </w:r>
      <w:r>
        <w:rPr>
          <w:rFonts w:ascii="宋体" w:hAnsi="宋体" w:cs="宋体" w:hint="eastAsia"/>
          <w:sz w:val="24"/>
          <w:highlight w:val="white"/>
          <w:lang w:eastAsia="zh-CN"/>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本基金投资的流通受限证券限于可由中国证券登记结算有限责任公司或中央国债登记结算有限责任公司负责登记和存管，并可在证券交易所或全国银行间债券市场交易的证券。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本基金投资流通受限证券，不得预付任何形式的保证金，若法规有新规定的</w:t>
      </w:r>
      <w:r>
        <w:rPr>
          <w:rFonts w:ascii="宋体" w:hAnsi="宋体" w:cs="宋体" w:hint="eastAsia"/>
          <w:sz w:val="24"/>
          <w:highlight w:val="white"/>
          <w:lang w:eastAsia="zh-CN"/>
        </w:rPr>
        <w:lastRenderedPageBreak/>
        <w:t>按照新的规定执行。</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2.</w:t>
      </w:r>
      <w:r>
        <w:rPr>
          <w:rFonts w:ascii="宋体" w:hAnsi="宋体" w:cs="宋体" w:hint="eastAsia"/>
          <w:sz w:val="24"/>
          <w:highlight w:val="white"/>
          <w:lang w:eastAsia="zh-CN"/>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3.</w:t>
      </w:r>
      <w:r>
        <w:rPr>
          <w:rFonts w:ascii="宋体" w:hAnsi="宋体" w:cs="宋体" w:hint="eastAsia"/>
          <w:sz w:val="24"/>
          <w:highlight w:val="white"/>
          <w:lang w:eastAsia="zh-CN"/>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（1）中国证监会批准发行非公开发行股票的批准文件。</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（2）非公开发行股票有关发行数量、发行价格、锁定期等发行资料。</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w:t>
      </w:r>
      <w:r>
        <w:rPr>
          <w:rFonts w:ascii="宋体" w:hAnsi="宋体" w:cs="宋体"/>
          <w:sz w:val="24"/>
          <w:highlight w:val="white"/>
          <w:lang w:eastAsia="zh-CN"/>
        </w:rPr>
        <w:t>3）基金拟认购的数量、价格、总成本、账面价值。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351C78" w:rsidRDefault="00EB0C7E">
      <w:pPr>
        <w:ind w:firstLine="480"/>
        <w:rPr>
          <w:rFonts w:ascii="宋体" w:hAnsi="宋体" w:cs="宋体"/>
          <w:sz w:val="24"/>
          <w:lang w:eastAsia="zh-CN"/>
        </w:rPr>
      </w:pPr>
      <w:r>
        <w:rPr>
          <w:rFonts w:ascii="宋体" w:hAnsi="宋体" w:cs="宋体"/>
          <w:sz w:val="24"/>
          <w:highlight w:val="white"/>
          <w:lang w:eastAsia="zh-CN"/>
        </w:rPr>
        <w:t>本基金有关投资流通受限证券比例如违反有关限制规定，在合理期限内未能进行及时调整，基金管理人应按照《信息披露办法》的要求进行公告。</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5.相关法律法规对基金投资流通受限证券有新规定的，从其规定。</w:t>
      </w:r>
    </w:p>
    <w:p w:rsidR="00351C78" w:rsidRDefault="00EB0C7E">
      <w:pPr>
        <w:snapToGrid w:val="0"/>
        <w:ind w:firstLine="482"/>
        <w:rPr>
          <w:rFonts w:ascii="宋体" w:hAnsi="宋体" w:cs="宋体"/>
          <w:sz w:val="24"/>
          <w:lang w:eastAsia="zh-CN"/>
        </w:rPr>
      </w:pPr>
      <w:r>
        <w:rPr>
          <w:rFonts w:ascii="宋体" w:hAnsi="宋体" w:cs="宋体" w:hint="eastAsia"/>
          <w:sz w:val="24"/>
          <w:highlight w:val="white"/>
          <w:lang w:eastAsia="zh-CN"/>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w:t>
      </w:r>
      <w:r>
        <w:rPr>
          <w:rFonts w:ascii="宋体" w:hAnsi="宋体" w:cs="宋体" w:hint="eastAsia"/>
          <w:sz w:val="24"/>
          <w:highlight w:val="white"/>
          <w:lang w:eastAsia="zh-CN"/>
        </w:rPr>
        <w:t>六</w:t>
      </w:r>
      <w:r>
        <w:rPr>
          <w:rFonts w:ascii="宋体" w:hAnsi="宋体" w:cs="宋体"/>
          <w:sz w:val="24"/>
          <w:highlight w:val="white"/>
          <w:lang w:eastAsia="zh-CN"/>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（八）若基金托管人发现基金管理人依据交易程序已经生效的指令违反法律、行政法规和其他有关规定，或者违反《基金合同》约定的，应当及时通知基金管</w:t>
      </w:r>
      <w:r>
        <w:rPr>
          <w:rFonts w:ascii="宋体" w:hAnsi="宋体" w:cs="宋体" w:hint="eastAsia"/>
          <w:sz w:val="24"/>
          <w:highlight w:val="white"/>
          <w:lang w:eastAsia="zh-CN"/>
        </w:rPr>
        <w:lastRenderedPageBreak/>
        <w:t>理人，由此造成的损失由基金管理人承担。</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51C78" w:rsidRDefault="00351C78">
      <w:pPr>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6" w:name="_Toc68875906"/>
      <w:bookmarkStart w:id="7" w:name="_Toc89163368"/>
      <w:bookmarkStart w:id="8" w:name="_Toc118212950"/>
      <w:bookmarkStart w:id="9" w:name="_Toc118972648"/>
      <w:bookmarkStart w:id="10" w:name="_Toc110761796"/>
      <w:bookmarkStart w:id="11" w:name="_Toc110765660"/>
      <w:bookmarkStart w:id="12" w:name="_Toc86225291"/>
      <w:bookmarkStart w:id="13" w:name="_Toc110830492"/>
      <w:bookmarkStart w:id="14" w:name="_Toc118774803"/>
      <w:bookmarkStart w:id="15" w:name="_Toc108512358"/>
      <w:bookmarkStart w:id="16" w:name="_Toc119402710"/>
      <w:bookmarkStart w:id="17" w:name="_Toc86223242"/>
      <w:bookmarkStart w:id="18" w:name="_Toc86649722"/>
      <w:bookmarkStart w:id="19" w:name="_Toc120435783"/>
      <w:bookmarkStart w:id="20" w:name="_Toc86726439"/>
      <w:bookmarkStart w:id="21" w:name="_Toc86737929"/>
      <w:bookmarkStart w:id="22" w:name="_Toc86727355"/>
      <w:r>
        <w:rPr>
          <w:rFonts w:ascii="宋体" w:eastAsia="宋体" w:hAnsi="宋体" w:cs="宋体" w:hint="eastAsia"/>
          <w:sz w:val="30"/>
          <w:highlight w:val="white"/>
          <w:lang w:eastAsia="zh-CN"/>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51C78" w:rsidRDefault="00351C78">
      <w:pPr>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23" w:name="_Toc118212951"/>
      <w:bookmarkStart w:id="24" w:name="_Toc84234435"/>
      <w:bookmarkStart w:id="25" w:name="_Toc86225292"/>
      <w:bookmarkStart w:id="26" w:name="_Toc86726440"/>
      <w:bookmarkStart w:id="27" w:name="_Toc110830493"/>
      <w:bookmarkStart w:id="28" w:name="_Toc86649723"/>
      <w:bookmarkStart w:id="29" w:name="_Toc89163369"/>
      <w:bookmarkStart w:id="30" w:name="_Toc119402711"/>
      <w:bookmarkStart w:id="31" w:name="_Toc86204789"/>
      <w:bookmarkStart w:id="32" w:name="_Toc84234388"/>
      <w:bookmarkStart w:id="33" w:name="_Toc118972649"/>
      <w:bookmarkStart w:id="34" w:name="_Toc110761797"/>
      <w:bookmarkStart w:id="35" w:name="_Toc68875907"/>
      <w:bookmarkStart w:id="36" w:name="_Toc86727356"/>
      <w:bookmarkStart w:id="37" w:name="_Toc86223243"/>
      <w:bookmarkStart w:id="38" w:name="_Toc84133786"/>
      <w:bookmarkStart w:id="39" w:name="_Toc110765661"/>
      <w:bookmarkStart w:id="40" w:name="_Toc108512359"/>
      <w:bookmarkStart w:id="41" w:name="_Toc120435784"/>
      <w:bookmarkStart w:id="42" w:name="_Toc118774804"/>
      <w:bookmarkStart w:id="43" w:name="_Toc86737930"/>
      <w:r>
        <w:rPr>
          <w:rFonts w:ascii="宋体" w:eastAsia="宋体" w:hAnsi="宋体" w:cs="宋体" w:hint="eastAsia"/>
          <w:sz w:val="30"/>
          <w:highlight w:val="white"/>
          <w:lang w:eastAsia="zh-CN"/>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（一）基金财产保管的原则</w:t>
      </w:r>
    </w:p>
    <w:p w:rsidR="00351C78" w:rsidRDefault="00EB0C7E">
      <w:pPr>
        <w:snapToGrid w:val="0"/>
        <w:ind w:firstLine="480"/>
        <w:rPr>
          <w:rFonts w:ascii="宋体" w:hAnsi="宋体" w:cs="宋体"/>
          <w:color w:val="000000"/>
          <w:sz w:val="24"/>
          <w:lang w:eastAsia="zh-CN"/>
        </w:rPr>
      </w:pPr>
      <w:r>
        <w:rPr>
          <w:rFonts w:ascii="宋体" w:hAnsi="宋体" w:cs="宋体" w:hint="eastAsia"/>
          <w:color w:val="000000"/>
          <w:sz w:val="24"/>
          <w:highlight w:val="white"/>
          <w:lang w:eastAsia="zh-CN"/>
        </w:rPr>
        <w:t>1.基金财产应独立于基金管理人、基金托管人和证券经纪机构的固有财产。</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2.基金托管人应安全保管基金财产。</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3.基金托管人按照规定开设基金财产的资金账户和证券账户。</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4.基金托管人对所托管的不同基金财产分别设置账户，确保基金财产的完整与独立。</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5.基金托管人按照《基金合同》和本协议的约定保管基金财产，如有特殊情况双方可另行协商解决。基金托管人未经基金管理人的指令，不得自行运用、处分、分配本基金的任何资产（不包含基金托管人开户银行或交易/登记结算机构扣收交易费、结算费和账户维护费等费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6.对于因为基金投资产生的应收资产，如基金托管人无法从公开信息或基金</w:t>
      </w:r>
      <w:r>
        <w:rPr>
          <w:rFonts w:ascii="宋体" w:hAnsi="宋体" w:cs="宋体" w:hint="eastAsia"/>
          <w:sz w:val="24"/>
          <w:highlight w:val="white"/>
          <w:lang w:eastAsia="zh-CN"/>
        </w:rPr>
        <w:lastRenderedPageBreak/>
        <w:t>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7.除依据法律法规和《基金合同》的规定外，基金托管人不得委托第三人托管基金财产。</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（二）基金募集期间及募集资金的验资</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1.基金募集期间</w:t>
      </w:r>
      <w:r>
        <w:rPr>
          <w:rFonts w:ascii="宋体" w:hAnsi="宋体" w:cs="宋体"/>
          <w:sz w:val="24"/>
          <w:highlight w:val="white"/>
          <w:lang w:eastAsia="zh-CN"/>
        </w:rPr>
        <w:t>募集的</w:t>
      </w:r>
      <w:r>
        <w:rPr>
          <w:rFonts w:ascii="宋体" w:hAnsi="宋体" w:cs="宋体" w:hint="eastAsia"/>
          <w:sz w:val="24"/>
          <w:highlight w:val="white"/>
          <w:lang w:eastAsia="zh-CN"/>
        </w:rPr>
        <w:t>资</w:t>
      </w:r>
      <w:r>
        <w:rPr>
          <w:rFonts w:ascii="宋体" w:hAnsi="宋体" w:cs="宋体"/>
          <w:sz w:val="24"/>
          <w:highlight w:val="white"/>
          <w:lang w:eastAsia="zh-CN"/>
        </w:rPr>
        <w:t>金</w:t>
      </w:r>
      <w:r>
        <w:rPr>
          <w:rFonts w:ascii="宋体" w:hAnsi="宋体" w:cs="宋体" w:hint="eastAsia"/>
          <w:sz w:val="24"/>
          <w:highlight w:val="white"/>
          <w:lang w:eastAsia="zh-CN"/>
        </w:rPr>
        <w:t>应</w:t>
      </w:r>
      <w:r>
        <w:rPr>
          <w:rFonts w:ascii="宋体" w:hAnsi="宋体" w:cs="宋体"/>
          <w:sz w:val="24"/>
          <w:highlight w:val="white"/>
          <w:lang w:eastAsia="zh-CN"/>
        </w:rPr>
        <w:t>存于基金管理人在基金托管人的</w:t>
      </w:r>
      <w:r>
        <w:rPr>
          <w:rFonts w:ascii="宋体" w:hAnsi="宋体" w:cs="宋体" w:hint="eastAsia"/>
          <w:sz w:val="24"/>
          <w:highlight w:val="white"/>
          <w:lang w:eastAsia="zh-CN"/>
        </w:rPr>
        <w:t>营业</w:t>
      </w:r>
      <w:r>
        <w:rPr>
          <w:rFonts w:ascii="宋体" w:hAnsi="宋体" w:cs="宋体"/>
          <w:sz w:val="24"/>
          <w:highlight w:val="white"/>
          <w:lang w:eastAsia="zh-CN"/>
        </w:rPr>
        <w:t>机构开立的“基金募集</w:t>
      </w:r>
      <w:r>
        <w:rPr>
          <w:rFonts w:ascii="宋体" w:hAnsi="宋体" w:cs="宋体" w:hint="eastAsia"/>
          <w:sz w:val="24"/>
          <w:highlight w:val="white"/>
          <w:lang w:eastAsia="zh-CN"/>
        </w:rPr>
        <w:t>专户</w:t>
      </w:r>
      <w:r>
        <w:rPr>
          <w:rFonts w:ascii="宋体" w:hAnsi="宋体" w:cs="宋体"/>
          <w:sz w:val="24"/>
          <w:highlight w:val="white"/>
          <w:lang w:eastAsia="zh-CN"/>
        </w:rPr>
        <w:t>”。</w:t>
      </w:r>
      <w:r>
        <w:rPr>
          <w:rFonts w:ascii="宋体" w:hAnsi="宋体" w:cs="宋体" w:hint="eastAsia"/>
          <w:sz w:val="24"/>
          <w:highlight w:val="white"/>
          <w:lang w:eastAsia="zh-CN"/>
        </w:rPr>
        <w:t>该账户</w:t>
      </w:r>
      <w:r>
        <w:rPr>
          <w:rFonts w:ascii="宋体" w:hAnsi="宋体" w:cs="宋体"/>
          <w:sz w:val="24"/>
          <w:highlight w:val="white"/>
          <w:lang w:eastAsia="zh-CN"/>
        </w:rPr>
        <w:t>由基金管理人开立并管理</w:t>
      </w:r>
      <w:r>
        <w:rPr>
          <w:rFonts w:ascii="宋体" w:hAnsi="宋体" w:cs="宋体" w:hint="eastAsia"/>
          <w:sz w:val="24"/>
          <w:highlight w:val="white"/>
          <w:lang w:eastAsia="zh-CN"/>
        </w:rPr>
        <w:t>。</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募集期满或基金停止募集时，募集的基金份额总额、基金募集金额、基金份额持有人人数符合《基金法》、《运作办法》等有关规定后，属于基金财产的全部资金应划入基金托管人开立的基金托管资金账户，同时在规定时间内，聘请符合《证券法》规定的会计师事务所进行验资，出具验资报告。出具的验资报告由参加验资的2名或2名以上中国注册会计师签字方为有效。</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3.若基金募集期限届满，未能达到《基金合同》生效的条件，由基金管理人按规定办理退款等事宜。</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（三）基金托管资金账户的开立和管理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1.基金托管人可以基金的名义在其营业机构开立基金的托管资金账户，并根据基金管理人合法合规的指令办理资金收付。本基金的银行预留印鉴由基金托管人保管和使用。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2.基金托管资金账户的开立和使用，限于满足开展本基金业务的需要。基金托管人和基金管理人不得假借本基金的名义开立任何其他银行账户；亦不得使用基金的任何账户进行本基金业务以外的活动。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3.基金托管资金账户的开立和管理应符合银行业监督管理机构的有关规定。</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4.在符合法律法规规定的条件下，基金托管人可以通过基金托管人专用账户办理基金资产的支付。</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5.基金管理人应于产品终止后及时完成收益兑付、费用结清及其他应收应付款项资金划转，在确保后续不再发生款项进出后的10个工作日内向基金托管人发出销户申请。</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（四）基金证券账户和证券资金账户的开立和管理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1.基金托管人在中国证券登记结算有限责任公司为基金开立基金托管人与基金联名的证券账户。</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3.基金证券账户的开立和证券账户卡的保管由基金托管人负责，账户资产的管理和运用由基金管理人负责。</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证券账户开户费由基金管理人先行垫付,待托管产品起始运营后</w:t>
      </w:r>
      <w:r>
        <w:rPr>
          <w:rFonts w:ascii="宋体" w:hAnsi="宋体" w:cs="宋体"/>
          <w:sz w:val="24"/>
          <w:highlight w:val="white"/>
          <w:lang w:eastAsia="zh-CN"/>
        </w:rPr>
        <w:t>,</w:t>
      </w:r>
      <w:r>
        <w:rPr>
          <w:rFonts w:ascii="宋体" w:hAnsi="宋体" w:cs="宋体" w:hint="eastAsia"/>
          <w:sz w:val="24"/>
          <w:highlight w:val="white"/>
          <w:lang w:eastAsia="zh-CN"/>
        </w:rPr>
        <w:t>基金管理人可向基金托管人发送划款指令,将代垫开户费从本基金托管资金账户中扣还基金管理人。</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本基金通过证券</w:t>
      </w:r>
      <w:r>
        <w:rPr>
          <w:rFonts w:ascii="宋体" w:hAnsi="宋体" w:cs="宋体" w:hint="eastAsia"/>
          <w:sz w:val="24"/>
          <w:highlight w:val="white"/>
          <w:lang w:eastAsia="zh-CN"/>
        </w:rPr>
        <w:lastRenderedPageBreak/>
        <w:t>经纪机构进行的交易由证券经纪机构作为结算参与人代理本基金进行结算。</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5.账户注销时，在遵守中国证券登记结算公司的相关规定下，由管理人和托管人协商确认主要办理人。账户注销期间，主要办理人如需另一方提供配合的，另一方应予以配合。</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6.若中国证监会或其他监管机构在本托管协议订立日之后允许基金从事其他投资品种的投资业务，涉及相关账户的开立、使用的，若无相关规定，则基金托管人比照上述关于账户开立、使用的规定执行。</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（五）银行间账户的开设和管理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（六）其他账户的开立和管理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2.法律法规等有关规定对相关账户的开立和管理另有规定的，从其规定办理。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（七）基金财产投资的有关有价凭证等的保管</w:t>
      </w:r>
    </w:p>
    <w:p w:rsidR="00351C78" w:rsidRDefault="00EB0C7E">
      <w:pPr>
        <w:snapToGrid w:val="0"/>
        <w:ind w:firstLine="480"/>
        <w:rPr>
          <w:rFonts w:ascii="宋体" w:hAnsi="宋体" w:cs="宋体"/>
          <w:lang w:eastAsia="zh-CN"/>
        </w:rPr>
      </w:pPr>
      <w:r>
        <w:rPr>
          <w:rFonts w:ascii="宋体" w:hAnsi="宋体" w:cs="宋体" w:hint="eastAsia"/>
          <w:sz w:val="24"/>
          <w:highlight w:val="white"/>
          <w:lang w:eastAsia="zh-CN"/>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（八）与基金财产有关的重大合同的保管</w:t>
      </w:r>
    </w:p>
    <w:p w:rsidR="00351C78" w:rsidRDefault="00EB0C7E">
      <w:pPr>
        <w:snapToGrid w:val="0"/>
        <w:ind w:firstLine="480"/>
        <w:rPr>
          <w:rFonts w:ascii="宋体" w:hAnsi="宋体" w:cs="宋体"/>
          <w:sz w:val="30"/>
          <w:szCs w:val="30"/>
          <w:lang w:eastAsia="zh-CN"/>
        </w:rPr>
      </w:pPr>
      <w:r>
        <w:rPr>
          <w:rFonts w:ascii="宋体" w:hAnsi="宋体" w:cs="宋体" w:hint="eastAsia"/>
          <w:sz w:val="24"/>
          <w:highlight w:val="white"/>
          <w:lang w:eastAsia="zh-CN"/>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r>
        <w:rPr>
          <w:rFonts w:ascii="宋体" w:hAnsi="宋体" w:cs="宋体"/>
          <w:sz w:val="24"/>
          <w:highlight w:val="white"/>
          <w:lang w:eastAsia="zh-CN"/>
        </w:rPr>
        <w:t>。</w:t>
      </w:r>
    </w:p>
    <w:p w:rsidR="00351C78" w:rsidRDefault="00351C78">
      <w:pPr>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44" w:name="_Toc84133787"/>
      <w:bookmarkStart w:id="45" w:name="_Toc86223244"/>
      <w:bookmarkStart w:id="46" w:name="_Toc86204790"/>
      <w:bookmarkStart w:id="47" w:name="_Toc118212952"/>
      <w:bookmarkStart w:id="48" w:name="_Toc89163370"/>
      <w:bookmarkStart w:id="49" w:name="_Toc108512360"/>
      <w:bookmarkStart w:id="50" w:name="_Toc86225293"/>
      <w:bookmarkStart w:id="51" w:name="_Toc119402712"/>
      <w:bookmarkStart w:id="52" w:name="_Toc68875908"/>
      <w:bookmarkStart w:id="53" w:name="_Toc120435785"/>
      <w:bookmarkStart w:id="54" w:name="_Toc118774805"/>
      <w:bookmarkStart w:id="55" w:name="_Toc84234436"/>
      <w:bookmarkStart w:id="56" w:name="_Toc110765662"/>
      <w:bookmarkStart w:id="57" w:name="_Toc86727357"/>
      <w:bookmarkStart w:id="58" w:name="_Toc86649724"/>
      <w:bookmarkStart w:id="59" w:name="_Toc84234389"/>
      <w:bookmarkStart w:id="60" w:name="_Toc110761798"/>
      <w:bookmarkStart w:id="61" w:name="_Toc86737931"/>
      <w:bookmarkStart w:id="62" w:name="_Toc110830494"/>
      <w:bookmarkStart w:id="63" w:name="_Toc86726441"/>
      <w:bookmarkStart w:id="64" w:name="_Toc118972650"/>
      <w:r>
        <w:rPr>
          <w:rFonts w:ascii="宋体" w:eastAsia="宋体" w:hAnsi="宋体" w:cs="宋体" w:hint="eastAsia"/>
          <w:sz w:val="30"/>
          <w:highlight w:val="white"/>
          <w:lang w:eastAsia="zh-CN"/>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51C78" w:rsidRDefault="00EB0C7E">
      <w:pPr>
        <w:ind w:firstLine="480"/>
        <w:rPr>
          <w:lang w:eastAsia="zh-CN"/>
        </w:rPr>
      </w:pPr>
      <w:r>
        <w:rPr>
          <w:rFonts w:ascii="宋体" w:hAnsi="宋体" w:cs="宋体"/>
          <w:color w:val="000000"/>
          <w:sz w:val="24"/>
          <w:highlight w:val="white"/>
          <w:lang w:eastAsia="zh-CN"/>
        </w:rPr>
        <w:t>基金管理人在运用基金财产时向基金托管人发送资金划拨及其他款项付款指令，基金托管人执行基金管理人的指令、办理基金名下的资金往来等有关事项。</w:t>
      </w:r>
    </w:p>
    <w:p w:rsidR="00351C78" w:rsidRDefault="00EB0C7E">
      <w:pPr>
        <w:ind w:firstLine="480"/>
        <w:rPr>
          <w:lang w:eastAsia="zh-CN"/>
        </w:rPr>
      </w:pPr>
      <w:r>
        <w:rPr>
          <w:rFonts w:ascii="宋体" w:hAnsi="宋体" w:cs="宋体"/>
          <w:color w:val="000000"/>
          <w:sz w:val="24"/>
          <w:highlight w:val="white"/>
          <w:lang w:eastAsia="zh-CN"/>
        </w:rPr>
        <w:t>（一）基金管理人对发送指令人员的书面授权</w:t>
      </w:r>
    </w:p>
    <w:p w:rsidR="00351C78" w:rsidRDefault="00EB0C7E">
      <w:pPr>
        <w:ind w:firstLine="480"/>
        <w:rPr>
          <w:lang w:eastAsia="zh-CN"/>
        </w:rPr>
      </w:pPr>
      <w:r>
        <w:rPr>
          <w:rFonts w:ascii="宋体" w:hAnsi="宋体" w:cs="宋体"/>
          <w:color w:val="000000"/>
          <w:sz w:val="24"/>
          <w:highlight w:val="white"/>
          <w:lang w:eastAsia="zh-CN"/>
        </w:rPr>
        <w:t>1.基金管理人应指定专人向基金托管人发送指令。</w:t>
      </w:r>
    </w:p>
    <w:p w:rsidR="00351C78" w:rsidRDefault="00EB0C7E">
      <w:pPr>
        <w:ind w:firstLine="480"/>
        <w:rPr>
          <w:rFonts w:ascii="宋体" w:hAnsi="宋体" w:cs="宋体"/>
          <w:color w:val="000000"/>
          <w:sz w:val="24"/>
          <w:highlight w:val="white"/>
          <w:lang w:eastAsia="zh-CN"/>
        </w:rPr>
      </w:pPr>
      <w:r>
        <w:rPr>
          <w:rFonts w:ascii="宋体" w:hAnsi="宋体" w:cs="宋体" w:hint="eastAsia"/>
          <w:color w:val="000000"/>
          <w:sz w:val="24"/>
          <w:highlight w:val="white"/>
          <w:lang w:eastAsia="zh-CN"/>
        </w:rPr>
        <w:t>2.基金管理人应向基金托管人提供书面授权文件原件，内容包括被授权人名单、预留印鉴及被授权人签字样本，授权文件应注明被授权人相应的权限并加盖单位公章。</w:t>
      </w:r>
    </w:p>
    <w:p w:rsidR="00351C78" w:rsidRDefault="00EB0C7E">
      <w:pPr>
        <w:ind w:firstLine="480"/>
        <w:rPr>
          <w:lang w:eastAsia="zh-CN"/>
        </w:rPr>
      </w:pPr>
      <w:r>
        <w:rPr>
          <w:rFonts w:ascii="宋体" w:hAnsi="宋体" w:cs="宋体"/>
          <w:color w:val="000000"/>
          <w:sz w:val="24"/>
          <w:highlight w:val="white"/>
          <w:lang w:eastAsia="zh-CN"/>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51C78" w:rsidRDefault="00EB0C7E">
      <w:pPr>
        <w:ind w:firstLine="480"/>
        <w:rPr>
          <w:lang w:eastAsia="zh-CN"/>
        </w:rPr>
      </w:pPr>
      <w:r>
        <w:rPr>
          <w:rFonts w:ascii="宋体" w:hAnsi="宋体" w:cs="宋体"/>
          <w:color w:val="000000"/>
          <w:sz w:val="24"/>
          <w:highlight w:val="white"/>
          <w:lang w:eastAsia="zh-CN"/>
        </w:rPr>
        <w:t>4.基金管理人和基金托管人对授权文件负有保密义务，其内容不得向被授权人及相关操作人员以外的任何人泄露。但法律法规规定或有权机关要求的除外。</w:t>
      </w:r>
    </w:p>
    <w:p w:rsidR="00351C78" w:rsidRDefault="00EB0C7E">
      <w:pPr>
        <w:ind w:firstLine="480"/>
        <w:rPr>
          <w:lang w:eastAsia="zh-CN"/>
        </w:rPr>
      </w:pPr>
      <w:r>
        <w:rPr>
          <w:rFonts w:ascii="宋体" w:hAnsi="宋体" w:cs="宋体"/>
          <w:color w:val="000000"/>
          <w:sz w:val="24"/>
          <w:highlight w:val="white"/>
          <w:lang w:eastAsia="zh-CN"/>
        </w:rPr>
        <w:t>（二）指令的内容</w:t>
      </w:r>
    </w:p>
    <w:p w:rsidR="00351C78" w:rsidRDefault="00EB0C7E">
      <w:pPr>
        <w:ind w:firstLine="480"/>
        <w:rPr>
          <w:lang w:eastAsia="zh-CN"/>
        </w:rPr>
      </w:pPr>
      <w:r>
        <w:rPr>
          <w:rFonts w:ascii="宋体" w:hAnsi="宋体" w:cs="宋体"/>
          <w:color w:val="000000"/>
          <w:sz w:val="24"/>
          <w:highlight w:val="white"/>
          <w:lang w:eastAsia="zh-CN"/>
        </w:rPr>
        <w:t>1.指令包括付款指令以及其他资金划拨指令等。</w:t>
      </w:r>
    </w:p>
    <w:p w:rsidR="00351C78" w:rsidRDefault="00EB0C7E">
      <w:pPr>
        <w:ind w:firstLine="480"/>
        <w:rPr>
          <w:lang w:eastAsia="zh-CN"/>
        </w:rPr>
      </w:pPr>
      <w:r>
        <w:rPr>
          <w:rFonts w:ascii="宋体" w:hAnsi="宋体" w:cs="宋体" w:hint="eastAsia"/>
          <w:color w:val="000000"/>
          <w:sz w:val="24"/>
          <w:highlight w:val="white"/>
          <w:lang w:eastAsia="zh-CN"/>
        </w:rPr>
        <w:t>2.基金管理人发给基金托管人的指令应写明款项事由、支付时间、到账时间、金额、收付款账户等，加盖预留印鉴并由被授权人签字。</w:t>
      </w:r>
    </w:p>
    <w:p w:rsidR="00351C78" w:rsidRDefault="00EB0C7E">
      <w:pPr>
        <w:ind w:firstLine="480"/>
        <w:rPr>
          <w:lang w:eastAsia="zh-CN"/>
        </w:rPr>
      </w:pPr>
      <w:r>
        <w:rPr>
          <w:rFonts w:ascii="宋体" w:hAnsi="宋体" w:cs="宋体"/>
          <w:color w:val="000000"/>
          <w:sz w:val="24"/>
          <w:highlight w:val="white"/>
          <w:lang w:eastAsia="zh-CN"/>
        </w:rPr>
        <w:t>（三）指令的发送、确认及执行的时间和程序</w:t>
      </w:r>
    </w:p>
    <w:p w:rsidR="00351C78" w:rsidRDefault="00EB0C7E">
      <w:pPr>
        <w:ind w:firstLine="480"/>
        <w:rPr>
          <w:lang w:eastAsia="zh-CN"/>
        </w:rPr>
      </w:pPr>
      <w:r>
        <w:rPr>
          <w:rFonts w:ascii="宋体" w:hAnsi="宋体" w:cs="宋体"/>
          <w:color w:val="000000"/>
          <w:sz w:val="24"/>
          <w:highlight w:val="white"/>
          <w:lang w:eastAsia="zh-CN"/>
        </w:rPr>
        <w:t>1.指令的发送</w:t>
      </w:r>
    </w:p>
    <w:p w:rsidR="00351C78" w:rsidRDefault="00EB0C7E">
      <w:pPr>
        <w:ind w:firstLine="480"/>
        <w:rPr>
          <w:lang w:eastAsia="zh-CN"/>
        </w:rPr>
      </w:pPr>
      <w:r>
        <w:rPr>
          <w:rFonts w:ascii="宋体" w:hAnsi="宋体" w:cs="宋体" w:hint="eastAsia"/>
          <w:color w:val="000000"/>
          <w:sz w:val="24"/>
          <w:highlight w:val="white"/>
          <w:lang w:eastAsia="zh-CN"/>
        </w:rPr>
        <w:t>基金管理人发送指令应采用电子直连方式、传真方式或双方协商一致的其他方式。</w:t>
      </w:r>
    </w:p>
    <w:p w:rsidR="00351C78" w:rsidRDefault="00EB0C7E">
      <w:pPr>
        <w:ind w:firstLine="480"/>
        <w:rPr>
          <w:lang w:eastAsia="zh-CN"/>
        </w:rPr>
      </w:pPr>
      <w:r>
        <w:rPr>
          <w:rFonts w:ascii="宋体" w:hAnsi="宋体" w:cs="宋体"/>
          <w:color w:val="000000"/>
          <w:sz w:val="24"/>
          <w:highlight w:val="white"/>
          <w:lang w:eastAsia="zh-CN"/>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51C78" w:rsidRDefault="00EB0C7E">
      <w:pPr>
        <w:ind w:firstLine="480"/>
        <w:rPr>
          <w:rFonts w:ascii="宋体" w:hAnsi="宋体" w:cs="宋体"/>
          <w:color w:val="000000"/>
          <w:sz w:val="24"/>
          <w:highlight w:val="white"/>
          <w:lang w:eastAsia="zh-CN"/>
        </w:rPr>
      </w:pPr>
      <w:r>
        <w:rPr>
          <w:rFonts w:ascii="宋体" w:hAnsi="宋体" w:cs="宋体"/>
          <w:color w:val="000000"/>
          <w:sz w:val="24"/>
          <w:highlight w:val="white"/>
          <w:lang w:eastAsia="zh-CN"/>
        </w:rPr>
        <w:t>指令发出后，基金管理人应及时以电话方式向基金托管人确认。</w:t>
      </w:r>
    </w:p>
    <w:p w:rsidR="00351C78" w:rsidRDefault="00EB0C7E">
      <w:pPr>
        <w:ind w:firstLine="480"/>
        <w:rPr>
          <w:lang w:eastAsia="zh-CN"/>
        </w:rPr>
      </w:pPr>
      <w:r>
        <w:rPr>
          <w:rFonts w:ascii="宋体" w:hAnsi="宋体" w:cs="宋体"/>
          <w:color w:val="000000"/>
          <w:sz w:val="24"/>
          <w:highlight w:val="white"/>
          <w:lang w:eastAsia="zh-CN"/>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51C78" w:rsidRDefault="00EB0C7E">
      <w:pPr>
        <w:ind w:firstLine="480"/>
        <w:rPr>
          <w:lang w:eastAsia="zh-CN"/>
        </w:rPr>
      </w:pPr>
      <w:r>
        <w:rPr>
          <w:rFonts w:ascii="宋体" w:hAnsi="宋体" w:cs="宋体"/>
          <w:color w:val="000000"/>
          <w:sz w:val="24"/>
          <w:highlight w:val="white"/>
          <w:lang w:eastAsia="zh-CN"/>
        </w:rPr>
        <w:t>2.指令的确认</w:t>
      </w:r>
    </w:p>
    <w:p w:rsidR="00351C78" w:rsidRDefault="00EB0C7E">
      <w:pPr>
        <w:ind w:firstLine="480"/>
        <w:rPr>
          <w:lang w:eastAsia="zh-CN"/>
        </w:rPr>
      </w:pPr>
      <w:r>
        <w:rPr>
          <w:rFonts w:ascii="宋体" w:hAnsi="宋体" w:cs="宋体"/>
          <w:color w:val="000000"/>
          <w:sz w:val="24"/>
          <w:highlight w:val="white"/>
          <w:lang w:eastAsia="zh-CN"/>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51C78" w:rsidRDefault="00EB0C7E">
      <w:pPr>
        <w:ind w:firstLine="480"/>
        <w:rPr>
          <w:lang w:eastAsia="zh-CN"/>
        </w:rPr>
      </w:pPr>
      <w:r>
        <w:rPr>
          <w:rFonts w:ascii="宋体" w:hAnsi="宋体" w:cs="宋体"/>
          <w:color w:val="000000"/>
          <w:sz w:val="24"/>
          <w:highlight w:val="white"/>
          <w:lang w:eastAsia="zh-CN"/>
        </w:rPr>
        <w:t>3.指令的时间和执行</w:t>
      </w:r>
    </w:p>
    <w:p w:rsidR="00351C78" w:rsidRDefault="00EB0C7E">
      <w:pPr>
        <w:ind w:firstLine="480"/>
        <w:rPr>
          <w:lang w:eastAsia="zh-CN"/>
        </w:rPr>
      </w:pPr>
      <w:r>
        <w:rPr>
          <w:rFonts w:ascii="宋体" w:hAnsi="宋体" w:cs="宋体" w:hint="eastAsia"/>
          <w:color w:val="000000"/>
          <w:sz w:val="24"/>
          <w:highlight w:val="white"/>
          <w:lang w:eastAsia="zh-CN"/>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Pr>
          <w:rFonts w:ascii="宋体" w:hAnsi="宋体" w:cs="宋体" w:hint="eastAsia"/>
          <w:color w:val="000000"/>
          <w:sz w:val="24"/>
          <w:highlight w:val="white"/>
          <w:lang w:eastAsia="zh-CN"/>
        </w:rPr>
        <w:lastRenderedPageBreak/>
        <w:t>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（四）基金管理人发送错误指令的情形和处理程序</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基金管理人发送错误指令的情形包括指令违反法律法规、监管规定、《基金合同》或本协议的约定，或指令发送人员无权或超越权限发送指令。</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基金托管人发现基金管理人的指令错误时，有权拒绝执行，并及时通知基金管理人改正。如需托管人撤销尚未执行的指令，基金管理人应出具作废指令或作废说明，并电话通知托管人。</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（五）基金托管人未按照基金管理人指令执行的处理方法</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基金托管人由于自身过错，未按照基金管理人发送的符合法律法规、监管规定、《基金合同》和本协议约定的指令执行并对基金财产或投资人造成的直接损失，由基金托管人赔偿由此造成的直接损失。</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（六）更换被授权人员的程序</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管理人更换被授权人、更改或终止对被授权人的授权，应立即将新的加盖公章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基金托管人更换接受基金管理人指令的传真号或邮箱地址，应提前通知基金管理人。</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（七）其他事项</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rsidR="00351C78" w:rsidRDefault="00EB0C7E">
      <w:pPr>
        <w:ind w:firstLine="480"/>
        <w:rPr>
          <w:lang w:eastAsia="zh-CN"/>
        </w:rPr>
      </w:pPr>
      <w:r>
        <w:rPr>
          <w:rFonts w:ascii="宋体" w:hAnsi="宋体" w:cs="宋体"/>
          <w:color w:val="000000"/>
          <w:sz w:val="24"/>
          <w:highlight w:val="white"/>
          <w:lang w:eastAsia="zh-CN"/>
        </w:rPr>
        <w:t>基金参与认购未上市债券时，基金管理人应代表本基金与对手方签署相关合同或协议，明确约定债券过户具体事宜。否则，基金管理人需对所认购债券的过户事宜承担相应责任。</w:t>
      </w:r>
    </w:p>
    <w:p w:rsidR="00351C78" w:rsidRDefault="00351C78">
      <w:pPr>
        <w:snapToGrid w:val="0"/>
        <w:ind w:firstLine="480"/>
        <w:rPr>
          <w:rFonts w:ascii="宋体" w:hAnsi="宋体" w:cs="宋体"/>
          <w:sz w:val="24"/>
          <w:lang w:eastAsia="zh-CN"/>
        </w:rPr>
      </w:pPr>
    </w:p>
    <w:p w:rsidR="00351C78" w:rsidRDefault="00351C78">
      <w:pPr>
        <w:snapToGrid w:val="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65" w:name="_Toc108512361"/>
      <w:bookmarkStart w:id="66" w:name="_Toc89163371"/>
      <w:bookmarkStart w:id="67" w:name="_Toc118774806"/>
      <w:bookmarkStart w:id="68" w:name="_Toc118212953"/>
      <w:bookmarkStart w:id="69" w:name="_Toc86225294"/>
      <w:bookmarkStart w:id="70" w:name="_Toc86649725"/>
      <w:bookmarkStart w:id="71" w:name="_Toc86223245"/>
      <w:bookmarkStart w:id="72" w:name="_Toc110765663"/>
      <w:bookmarkStart w:id="73" w:name="_Toc110761799"/>
      <w:bookmarkStart w:id="74" w:name="_Toc84234390"/>
      <w:bookmarkStart w:id="75" w:name="_Toc84234437"/>
      <w:bookmarkStart w:id="76" w:name="_Toc118972651"/>
      <w:bookmarkStart w:id="77" w:name="_Toc119402713"/>
      <w:bookmarkStart w:id="78" w:name="_Toc120435786"/>
      <w:bookmarkStart w:id="79" w:name="_Toc110830495"/>
      <w:bookmarkStart w:id="80" w:name="_Toc84133788"/>
      <w:bookmarkStart w:id="81" w:name="_Toc86726442"/>
      <w:bookmarkStart w:id="82" w:name="_Toc86737932"/>
      <w:bookmarkStart w:id="83" w:name="_Toc68875909"/>
      <w:bookmarkStart w:id="84" w:name="_Toc86204791"/>
      <w:bookmarkStart w:id="85" w:name="_Toc86727358"/>
      <w:r>
        <w:rPr>
          <w:rFonts w:ascii="宋体" w:eastAsia="宋体" w:hAnsi="宋体" w:cs="宋体" w:hint="eastAsia"/>
          <w:sz w:val="30"/>
          <w:highlight w:val="white"/>
          <w:lang w:eastAsia="zh-CN"/>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51C78" w:rsidRDefault="00351C78">
      <w:pPr>
        <w:ind w:firstLine="480"/>
        <w:rPr>
          <w:rFonts w:ascii="宋体" w:hAnsi="宋体" w:cs="宋体"/>
          <w:color w:val="000000"/>
          <w:sz w:val="24"/>
          <w:lang w:eastAsia="zh-CN"/>
        </w:rPr>
      </w:pPr>
    </w:p>
    <w:p w:rsidR="00351C78" w:rsidRDefault="00EB0C7E">
      <w:pPr>
        <w:ind w:firstLine="480"/>
        <w:rPr>
          <w:lang w:eastAsia="zh-CN"/>
        </w:rPr>
      </w:pPr>
      <w:r>
        <w:rPr>
          <w:rFonts w:ascii="宋体" w:hAnsi="宋体" w:cs="宋体"/>
          <w:color w:val="000000"/>
          <w:sz w:val="24"/>
          <w:highlight w:val="white"/>
          <w:lang w:eastAsia="zh-CN"/>
        </w:rPr>
        <w:t>（一）选择证券买卖的经纪经营机构</w:t>
      </w:r>
    </w:p>
    <w:p w:rsidR="00351C78" w:rsidRDefault="00EB0C7E">
      <w:pPr>
        <w:ind w:firstLine="480"/>
        <w:rPr>
          <w:rFonts w:ascii="宋体" w:hAnsi="宋体" w:cs="宋体"/>
          <w:color w:val="000000"/>
          <w:sz w:val="24"/>
          <w:lang w:eastAsia="zh-CN"/>
        </w:rPr>
      </w:pPr>
      <w:r>
        <w:rPr>
          <w:rFonts w:ascii="宋体" w:hAnsi="宋体" w:cs="宋体"/>
          <w:color w:val="000000"/>
          <w:sz w:val="24"/>
          <w:highlight w:val="white"/>
          <w:lang w:eastAsia="zh-CN"/>
        </w:rPr>
        <w:t>基金管理人应设计选择证券买卖的证券经纪机构的标准和程序。基金管理人应代表基金与被选择的证券经纪机构签订证券经纪合同或其他约定的形式。基金管理人、基金托管人和证券经纪机构就本基金参与证券交易的具体事项另行签订证券经纪服务协议，明确三方在本基金参与场内证券买卖中的各类证券交易、证券交收及相关资金交收过程中的职责和义务。基金管理人应及时将基金佣金费率</w:t>
      </w:r>
      <w:r>
        <w:rPr>
          <w:rFonts w:ascii="宋体" w:hAnsi="宋体" w:cs="宋体"/>
          <w:color w:val="000000"/>
          <w:sz w:val="24"/>
          <w:highlight w:val="white"/>
          <w:lang w:eastAsia="zh-CN"/>
        </w:rPr>
        <w:lastRenderedPageBreak/>
        <w:t>等基本信息以及变更情况以书面形式通知基金托管人,并按法规要求披露关于选择证券公司的标准和程序等信息。</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本基金在开始进行期货投资之前，应与基金托管人、期货公司三方一同就期货开户、清算、估值、交收等事宜另行签署《期货投资托管操作三方备忘录》。</w:t>
      </w:r>
    </w:p>
    <w:p w:rsidR="00351C78" w:rsidRDefault="00EB0C7E">
      <w:pPr>
        <w:ind w:firstLine="480"/>
        <w:rPr>
          <w:lang w:eastAsia="zh-CN"/>
        </w:rPr>
      </w:pPr>
      <w:r>
        <w:rPr>
          <w:rFonts w:ascii="宋体" w:hAnsi="宋体" w:cs="宋体" w:hint="eastAsia"/>
          <w:color w:val="000000"/>
          <w:sz w:val="24"/>
          <w:highlight w:val="white"/>
          <w:lang w:eastAsia="zh-CN"/>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351C78" w:rsidRDefault="00EB0C7E">
      <w:pPr>
        <w:ind w:firstLine="480"/>
        <w:rPr>
          <w:lang w:eastAsia="zh-CN"/>
        </w:rPr>
      </w:pPr>
      <w:r>
        <w:rPr>
          <w:rFonts w:ascii="宋体" w:hAnsi="宋体" w:cs="宋体"/>
          <w:color w:val="000000"/>
          <w:sz w:val="24"/>
          <w:highlight w:val="white"/>
          <w:lang w:eastAsia="zh-CN"/>
        </w:rPr>
        <w:t>（二）基金投资证券后的清算交收安排</w:t>
      </w:r>
    </w:p>
    <w:p w:rsidR="00351C78" w:rsidRDefault="00EB0C7E">
      <w:pPr>
        <w:ind w:firstLine="480"/>
        <w:rPr>
          <w:rFonts w:ascii="宋体" w:hAnsi="宋体" w:cs="宋体"/>
          <w:color w:val="000000"/>
          <w:sz w:val="24"/>
          <w:lang w:eastAsia="zh-CN"/>
        </w:rPr>
      </w:pPr>
      <w:r>
        <w:rPr>
          <w:rFonts w:ascii="宋体" w:hAnsi="宋体" w:cs="宋体"/>
          <w:color w:val="000000"/>
          <w:sz w:val="24"/>
          <w:highlight w:val="white"/>
          <w:lang w:eastAsia="zh-CN"/>
        </w:rPr>
        <w:t>1.清算与交割</w:t>
      </w:r>
    </w:p>
    <w:p w:rsidR="00351C78" w:rsidRDefault="00EB0C7E">
      <w:pPr>
        <w:ind w:firstLine="480"/>
        <w:rPr>
          <w:lang w:eastAsia="zh-CN"/>
        </w:rPr>
      </w:pPr>
      <w:r>
        <w:rPr>
          <w:rFonts w:ascii="宋体" w:hAnsi="宋体" w:cs="宋体"/>
          <w:color w:val="000000"/>
          <w:sz w:val="24"/>
          <w:highlight w:val="white"/>
          <w:lang w:eastAsia="zh-CN"/>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rsidR="00351C78" w:rsidRDefault="00EB0C7E">
      <w:pPr>
        <w:ind w:firstLine="480"/>
        <w:rPr>
          <w:lang w:eastAsia="zh-CN"/>
        </w:rPr>
      </w:pPr>
      <w:r>
        <w:rPr>
          <w:rFonts w:ascii="宋体" w:hAnsi="宋体" w:cs="宋体"/>
          <w:color w:val="000000"/>
          <w:sz w:val="24"/>
          <w:highlight w:val="white"/>
          <w:lang w:eastAsia="zh-CN"/>
        </w:rPr>
        <w:t>证券经纪机构代理本基金财产与中国证券登记结算有限责任公司完成证券交易及非交易涉及的证券资金结算业务，并承担由证券经纪机构原因造成的正常结算、交收业务无法完成的责任；若由于基金管理人过错造成的正常结算业务无法完成，责任由基金管理人承担。</w:t>
      </w:r>
    </w:p>
    <w:p w:rsidR="00351C78" w:rsidRDefault="00EB0C7E">
      <w:pPr>
        <w:ind w:firstLine="480"/>
        <w:rPr>
          <w:lang w:eastAsia="zh-CN"/>
        </w:rPr>
      </w:pPr>
      <w:r>
        <w:rPr>
          <w:rFonts w:ascii="宋体" w:hAnsi="宋体" w:cs="宋体"/>
          <w:color w:val="000000"/>
          <w:sz w:val="24"/>
          <w:highlight w:val="white"/>
          <w:lang w:eastAsia="zh-CN"/>
        </w:rPr>
        <w:t>对于任何原因发生的证券资金交收违约事件，相关各方应当及时协商解决。由于相关方过错在清算上造成基金财产的直接损失，应由过错方承担相应责任。</w:t>
      </w:r>
    </w:p>
    <w:p w:rsidR="00351C78" w:rsidRDefault="00EB0C7E">
      <w:pPr>
        <w:ind w:firstLine="480"/>
        <w:rPr>
          <w:lang w:eastAsia="zh-CN"/>
        </w:rPr>
      </w:pPr>
      <w:r>
        <w:rPr>
          <w:rFonts w:ascii="宋体" w:hAnsi="宋体" w:cs="宋体"/>
          <w:color w:val="000000"/>
          <w:sz w:val="24"/>
          <w:highlight w:val="white"/>
          <w:lang w:eastAsia="zh-CN"/>
        </w:rPr>
        <w:t>2.交易记录、资金和证券/期货账目核对的时间和方式</w:t>
      </w:r>
    </w:p>
    <w:p w:rsidR="00351C78" w:rsidRDefault="00EB0C7E">
      <w:pPr>
        <w:ind w:firstLine="480"/>
        <w:rPr>
          <w:lang w:eastAsia="zh-CN"/>
        </w:rPr>
      </w:pPr>
      <w:r>
        <w:rPr>
          <w:rFonts w:ascii="宋体" w:hAnsi="宋体" w:cs="宋体"/>
          <w:color w:val="000000"/>
          <w:sz w:val="24"/>
          <w:highlight w:val="white"/>
          <w:lang w:eastAsia="zh-CN"/>
        </w:rPr>
        <w:t>（1）交易记录的核对</w:t>
      </w:r>
    </w:p>
    <w:p w:rsidR="00351C78" w:rsidRDefault="00EB0C7E">
      <w:pPr>
        <w:ind w:firstLine="480"/>
        <w:rPr>
          <w:lang w:eastAsia="zh-CN"/>
        </w:rPr>
      </w:pPr>
      <w:r>
        <w:rPr>
          <w:rFonts w:ascii="宋体" w:hAnsi="宋体" w:cs="宋体"/>
          <w:color w:val="000000"/>
          <w:sz w:val="24"/>
          <w:highlight w:val="white"/>
          <w:lang w:eastAsia="zh-CN"/>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rsidR="00351C78" w:rsidRDefault="00EB0C7E">
      <w:pPr>
        <w:ind w:firstLine="480"/>
        <w:rPr>
          <w:lang w:eastAsia="zh-CN"/>
        </w:rPr>
      </w:pPr>
      <w:r>
        <w:rPr>
          <w:rFonts w:ascii="宋体" w:hAnsi="宋体" w:cs="宋体"/>
          <w:color w:val="000000"/>
          <w:sz w:val="24"/>
          <w:highlight w:val="white"/>
          <w:lang w:eastAsia="zh-CN"/>
        </w:rPr>
        <w:t>（2）资金账目的核对</w:t>
      </w:r>
    </w:p>
    <w:p w:rsidR="00351C78" w:rsidRDefault="00EB0C7E">
      <w:pPr>
        <w:ind w:firstLine="480"/>
        <w:rPr>
          <w:lang w:eastAsia="zh-CN"/>
        </w:rPr>
      </w:pPr>
      <w:r>
        <w:rPr>
          <w:rFonts w:ascii="宋体" w:hAnsi="宋体" w:cs="宋体"/>
          <w:color w:val="000000"/>
          <w:sz w:val="24"/>
          <w:highlight w:val="white"/>
          <w:lang w:eastAsia="zh-CN"/>
        </w:rPr>
        <w:t>基金管理人和基金托管人资金账目按日核实。</w:t>
      </w:r>
    </w:p>
    <w:p w:rsidR="00351C78" w:rsidRDefault="00EB0C7E">
      <w:pPr>
        <w:ind w:firstLine="480"/>
        <w:rPr>
          <w:lang w:eastAsia="zh-CN"/>
        </w:rPr>
      </w:pPr>
      <w:r>
        <w:rPr>
          <w:rFonts w:ascii="宋体" w:hAnsi="宋体" w:cs="宋体"/>
          <w:color w:val="000000"/>
          <w:sz w:val="24"/>
          <w:highlight w:val="white"/>
          <w:lang w:eastAsia="zh-CN"/>
        </w:rPr>
        <w:t>（3）证券/期货账目的核对</w:t>
      </w:r>
    </w:p>
    <w:p w:rsidR="00351C78" w:rsidRDefault="00EB0C7E">
      <w:pPr>
        <w:ind w:firstLine="480"/>
        <w:rPr>
          <w:lang w:eastAsia="zh-CN"/>
        </w:rPr>
      </w:pPr>
      <w:r>
        <w:rPr>
          <w:rFonts w:ascii="宋体" w:hAnsi="宋体" w:cs="宋体"/>
          <w:color w:val="000000"/>
          <w:sz w:val="24"/>
          <w:highlight w:val="white"/>
          <w:lang w:eastAsia="zh-CN"/>
        </w:rPr>
        <w:t>基金管理人和基金托管人每交易日结束后核对基金证券/期货账目，确保双方账目相符。</w:t>
      </w:r>
    </w:p>
    <w:p w:rsidR="00351C78" w:rsidRDefault="00EB0C7E">
      <w:pPr>
        <w:ind w:firstLine="480"/>
        <w:rPr>
          <w:lang w:eastAsia="zh-CN"/>
        </w:rPr>
      </w:pPr>
      <w:r>
        <w:rPr>
          <w:rFonts w:ascii="宋体" w:hAnsi="宋体" w:cs="宋体"/>
          <w:color w:val="000000"/>
          <w:sz w:val="24"/>
          <w:highlight w:val="white"/>
          <w:lang w:eastAsia="zh-CN"/>
        </w:rPr>
        <w:t>（三）基金申购和赎回业务处理的基本规定</w:t>
      </w:r>
    </w:p>
    <w:p w:rsidR="00351C78" w:rsidRDefault="00EB0C7E">
      <w:pPr>
        <w:ind w:firstLine="480"/>
        <w:rPr>
          <w:lang w:eastAsia="zh-CN"/>
        </w:rPr>
      </w:pPr>
      <w:r>
        <w:rPr>
          <w:rFonts w:ascii="宋体" w:hAnsi="宋体" w:cs="宋体"/>
          <w:color w:val="000000"/>
          <w:sz w:val="24"/>
          <w:highlight w:val="white"/>
          <w:lang w:eastAsia="zh-CN"/>
        </w:rPr>
        <w:t>1.基金份额申购、赎回的确认、清算由基金管理人或其委托的登记机构负责。</w:t>
      </w:r>
    </w:p>
    <w:p w:rsidR="00351C78" w:rsidRDefault="00EB0C7E">
      <w:pPr>
        <w:ind w:firstLine="480"/>
        <w:rPr>
          <w:lang w:eastAsia="zh-CN"/>
        </w:rPr>
      </w:pPr>
      <w:r>
        <w:rPr>
          <w:rFonts w:ascii="宋体" w:hAnsi="宋体" w:cs="宋体"/>
          <w:color w:val="000000"/>
          <w:sz w:val="24"/>
          <w:highlight w:val="white"/>
          <w:lang w:eastAsia="zh-CN"/>
        </w:rPr>
        <w:t>2.如基金管理人委托其他机构办理本基金的注册登记业务，应保证上述相关事宜按时进行。否则，由基金管理人承担相应的责任。</w:t>
      </w:r>
    </w:p>
    <w:p w:rsidR="00351C78" w:rsidRDefault="00EB0C7E">
      <w:pPr>
        <w:ind w:firstLine="480"/>
        <w:rPr>
          <w:lang w:eastAsia="zh-CN"/>
        </w:rPr>
      </w:pPr>
      <w:r>
        <w:rPr>
          <w:rFonts w:ascii="宋体" w:hAnsi="宋体" w:cs="宋体"/>
          <w:color w:val="000000"/>
          <w:sz w:val="24"/>
          <w:highlight w:val="white"/>
          <w:lang w:eastAsia="zh-CN"/>
        </w:rPr>
        <w:t>3.关于清算专用账户的设立和管理</w:t>
      </w:r>
    </w:p>
    <w:p w:rsidR="00351C78" w:rsidRDefault="00EB0C7E">
      <w:pPr>
        <w:ind w:firstLine="480"/>
        <w:rPr>
          <w:lang w:eastAsia="zh-CN"/>
        </w:rPr>
      </w:pPr>
      <w:r>
        <w:rPr>
          <w:rFonts w:ascii="宋体" w:hAnsi="宋体" w:cs="宋体"/>
          <w:color w:val="000000"/>
          <w:sz w:val="24"/>
          <w:highlight w:val="white"/>
          <w:lang w:eastAsia="zh-CN"/>
        </w:rPr>
        <w:t>为满足申购、赎回及分红资金汇划的需要，由基金管理人开立资金清算的专用账户，该账户由登记机构管理。</w:t>
      </w:r>
    </w:p>
    <w:p w:rsidR="00351C78" w:rsidRDefault="00EB0C7E">
      <w:pPr>
        <w:ind w:firstLine="480"/>
        <w:rPr>
          <w:lang w:eastAsia="zh-CN"/>
        </w:rPr>
      </w:pPr>
      <w:r>
        <w:rPr>
          <w:rFonts w:ascii="宋体" w:hAnsi="宋体" w:cs="宋体"/>
          <w:color w:val="000000"/>
          <w:sz w:val="24"/>
          <w:highlight w:val="white"/>
          <w:lang w:eastAsia="zh-CN"/>
        </w:rPr>
        <w:t>4</w:t>
      </w:r>
      <w:r>
        <w:rPr>
          <w:rFonts w:ascii="宋体" w:hAnsi="宋体" w:cs="宋体" w:hint="eastAsia"/>
          <w:color w:val="000000"/>
          <w:sz w:val="24"/>
          <w:highlight w:val="white"/>
          <w:lang w:eastAsia="zh-CN"/>
        </w:rPr>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rsidR="00351C78" w:rsidRDefault="00EB0C7E">
      <w:pPr>
        <w:ind w:firstLine="480"/>
        <w:rPr>
          <w:lang w:eastAsia="zh-CN"/>
        </w:rPr>
      </w:pPr>
      <w:r>
        <w:rPr>
          <w:rFonts w:ascii="宋体" w:hAnsi="宋体" w:cs="宋体"/>
          <w:color w:val="000000"/>
          <w:sz w:val="24"/>
          <w:highlight w:val="white"/>
          <w:lang w:eastAsia="zh-CN"/>
        </w:rPr>
        <w:t>5.赎回和分红资金划拨规定</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拨付赎回款或进行基金分红时，如基金托管资金账户有足够的资金，基金托</w:t>
      </w:r>
      <w:r>
        <w:rPr>
          <w:rFonts w:ascii="宋体" w:hAnsi="宋体" w:cs="宋体" w:hint="eastAsia"/>
          <w:color w:val="000000"/>
          <w:sz w:val="24"/>
          <w:highlight w:val="white"/>
          <w:lang w:eastAsia="zh-CN"/>
        </w:rPr>
        <w:lastRenderedPageBreak/>
        <w:t>管人应按时拨付；因基金托管资金账户没有足够的资金，导致基金托管人不能按时拨付，如系基金管理人的原因造成，责任由基金管理人承担，基金托管人不承担垫款义务。</w:t>
      </w:r>
    </w:p>
    <w:p w:rsidR="00351C78" w:rsidRDefault="00EB0C7E">
      <w:pPr>
        <w:ind w:firstLine="480"/>
        <w:rPr>
          <w:rFonts w:ascii="宋体" w:hAnsi="宋体" w:cs="宋体"/>
          <w:color w:val="000000"/>
          <w:sz w:val="24"/>
          <w:lang w:eastAsia="zh-CN"/>
        </w:rPr>
      </w:pPr>
      <w:r>
        <w:rPr>
          <w:rFonts w:ascii="宋体" w:hAnsi="宋体" w:cs="宋体"/>
          <w:color w:val="000000"/>
          <w:sz w:val="24"/>
          <w:highlight w:val="white"/>
          <w:lang w:eastAsia="zh-CN"/>
        </w:rPr>
        <w:t>6</w:t>
      </w:r>
      <w:r>
        <w:rPr>
          <w:rFonts w:ascii="宋体" w:hAnsi="宋体" w:cs="宋体" w:hint="eastAsia"/>
          <w:color w:val="000000"/>
          <w:sz w:val="24"/>
          <w:highlight w:val="white"/>
          <w:lang w:eastAsia="zh-CN"/>
        </w:rPr>
        <w:t>.资金指令</w:t>
      </w:r>
    </w:p>
    <w:p w:rsidR="00351C78" w:rsidRDefault="00EB0C7E">
      <w:pPr>
        <w:ind w:firstLine="480"/>
        <w:rPr>
          <w:lang w:eastAsia="zh-CN"/>
        </w:rPr>
      </w:pPr>
      <w:r>
        <w:rPr>
          <w:rFonts w:ascii="宋体" w:hAnsi="宋体" w:cs="宋体" w:hint="eastAsia"/>
          <w:color w:val="000000"/>
          <w:sz w:val="24"/>
          <w:highlight w:val="white"/>
          <w:lang w:eastAsia="zh-CN"/>
        </w:rPr>
        <w:t>除申购款项到达基金托管资金账户需双方按约定方式对账外，回购到期付款和与投资有关的付款、赎回和分红资金划拨时，基金管理人需向基金托管人下达指令。</w:t>
      </w:r>
    </w:p>
    <w:p w:rsidR="00351C78" w:rsidRDefault="00EB0C7E">
      <w:pPr>
        <w:ind w:firstLine="480"/>
        <w:rPr>
          <w:lang w:eastAsia="zh-CN"/>
        </w:rPr>
      </w:pPr>
      <w:r>
        <w:rPr>
          <w:rFonts w:ascii="宋体" w:hAnsi="宋体" w:cs="宋体"/>
          <w:color w:val="000000"/>
          <w:sz w:val="24"/>
          <w:highlight w:val="white"/>
          <w:lang w:eastAsia="zh-CN"/>
        </w:rPr>
        <w:t>资金指令的格式、内容、发送、接收和确认方式等与投资指令相同。</w:t>
      </w:r>
    </w:p>
    <w:p w:rsidR="00351C78" w:rsidRDefault="00EB0C7E">
      <w:pPr>
        <w:ind w:firstLine="480"/>
        <w:rPr>
          <w:lang w:eastAsia="zh-CN"/>
        </w:rPr>
      </w:pPr>
      <w:r>
        <w:rPr>
          <w:rFonts w:ascii="宋体" w:hAnsi="宋体" w:cs="宋体"/>
          <w:color w:val="000000"/>
          <w:sz w:val="24"/>
          <w:highlight w:val="white"/>
          <w:lang w:eastAsia="zh-CN"/>
        </w:rPr>
        <w:t>（四）申赎结算</w:t>
      </w:r>
    </w:p>
    <w:p w:rsidR="00351C78" w:rsidRDefault="00EB0C7E">
      <w:pPr>
        <w:ind w:firstLine="480"/>
        <w:rPr>
          <w:rFonts w:ascii="宋体" w:hAnsi="宋体" w:cs="宋体"/>
          <w:color w:val="000000"/>
          <w:sz w:val="24"/>
          <w:lang w:eastAsia="zh-CN"/>
        </w:rPr>
      </w:pPr>
      <w:r>
        <w:rPr>
          <w:rFonts w:ascii="宋体" w:hAnsi="宋体" w:cs="宋体" w:hint="eastAsia"/>
          <w:color w:val="000000"/>
          <w:sz w:val="24"/>
          <w:highlight w:val="white"/>
          <w:lang w:eastAsia="zh-CN"/>
        </w:rPr>
        <w:t>本基金申购、赎回过程中涉及的基金份额、现金替代、现金差额及其他对价的清算交收依据交易所相关业务规则、参与各方相关协议及招募说明书的有关规定办理。如遇特殊情况，双方协商处理。</w:t>
      </w:r>
    </w:p>
    <w:p w:rsidR="00351C78" w:rsidRDefault="00EB0C7E">
      <w:pPr>
        <w:ind w:firstLine="480"/>
        <w:rPr>
          <w:lang w:eastAsia="zh-CN"/>
        </w:rPr>
      </w:pPr>
      <w:r>
        <w:rPr>
          <w:rFonts w:ascii="宋体" w:hAnsi="宋体" w:cs="宋体" w:hint="eastAsia"/>
          <w:color w:val="000000"/>
          <w:sz w:val="24"/>
          <w:highlight w:val="white"/>
          <w:lang w:eastAsia="zh-CN"/>
        </w:rPr>
        <w:t>如果登记结算机构相关的结算交收业务规则发生变更，则按最新规则办理。基金管理人和基金托管人也可经协商一致后，在法律法规规定和《基金合同》约定的范围内，采取其他可行的交收方式。</w:t>
      </w:r>
    </w:p>
    <w:p w:rsidR="00351C78" w:rsidRDefault="00EB0C7E">
      <w:pPr>
        <w:ind w:firstLine="480"/>
        <w:rPr>
          <w:lang w:eastAsia="zh-CN"/>
        </w:rPr>
      </w:pPr>
      <w:r>
        <w:rPr>
          <w:rFonts w:ascii="宋体" w:hAnsi="宋体" w:cs="宋体"/>
          <w:color w:val="000000"/>
          <w:sz w:val="24"/>
          <w:highlight w:val="white"/>
          <w:lang w:eastAsia="zh-CN"/>
        </w:rPr>
        <w:t>（五）基金现金分红</w:t>
      </w:r>
    </w:p>
    <w:p w:rsidR="00351C78" w:rsidRDefault="00EB0C7E">
      <w:pPr>
        <w:ind w:firstLine="480"/>
        <w:rPr>
          <w:lang w:eastAsia="zh-CN"/>
        </w:rPr>
      </w:pPr>
      <w:r>
        <w:rPr>
          <w:rFonts w:ascii="宋体" w:hAnsi="宋体" w:cs="宋体"/>
          <w:color w:val="000000"/>
          <w:sz w:val="24"/>
          <w:highlight w:val="white"/>
          <w:lang w:eastAsia="zh-CN"/>
        </w:rPr>
        <w:t>1.基金管理人确定分红方案通知基金托管人，双方核定后依照《信息披露办法》的有关规定在规定媒介上公告。</w:t>
      </w:r>
    </w:p>
    <w:p w:rsidR="00351C78" w:rsidRDefault="00EB0C7E">
      <w:pPr>
        <w:ind w:firstLine="480"/>
        <w:rPr>
          <w:lang w:eastAsia="zh-CN"/>
        </w:rPr>
      </w:pPr>
      <w:r>
        <w:rPr>
          <w:rFonts w:ascii="宋体" w:hAnsi="宋体" w:cs="宋体"/>
          <w:color w:val="000000"/>
          <w:sz w:val="24"/>
          <w:highlight w:val="white"/>
          <w:lang w:eastAsia="zh-CN"/>
        </w:rPr>
        <w:t>2.基金托管人和基金管理人对基金分红进行账务处理并核对后，基金管理人向基金托管人发送现金红利的划款指令，基金托管人应及时将资金划入专用账户。</w:t>
      </w:r>
    </w:p>
    <w:p w:rsidR="00351C78" w:rsidRDefault="00EB0C7E">
      <w:pPr>
        <w:ind w:firstLine="480"/>
        <w:rPr>
          <w:lang w:eastAsia="zh-CN"/>
        </w:rPr>
      </w:pPr>
      <w:r>
        <w:rPr>
          <w:rFonts w:ascii="宋体" w:hAnsi="宋体" w:cs="宋体"/>
          <w:color w:val="000000"/>
          <w:sz w:val="24"/>
          <w:highlight w:val="white"/>
          <w:lang w:eastAsia="zh-CN"/>
        </w:rPr>
        <w:t>3.基金管理人在下达指令时，应给基金托管人留出必需的划款时间。</w:t>
      </w:r>
    </w:p>
    <w:p w:rsidR="00351C78" w:rsidRDefault="00EB0C7E">
      <w:pPr>
        <w:ind w:firstLine="480"/>
        <w:rPr>
          <w:lang w:eastAsia="zh-CN"/>
        </w:rPr>
      </w:pPr>
      <w:r>
        <w:rPr>
          <w:rFonts w:ascii="宋体" w:hAnsi="宋体" w:cs="宋体"/>
          <w:color w:val="000000"/>
          <w:sz w:val="24"/>
          <w:highlight w:val="white"/>
          <w:lang w:eastAsia="zh-CN"/>
        </w:rPr>
        <w:t>（六）投资银行存款的特别约定</w:t>
      </w:r>
    </w:p>
    <w:p w:rsidR="00351C78" w:rsidRDefault="00EB0C7E">
      <w:pPr>
        <w:ind w:firstLine="480"/>
        <w:rPr>
          <w:lang w:eastAsia="zh-CN"/>
        </w:rPr>
      </w:pPr>
      <w:r>
        <w:rPr>
          <w:rFonts w:ascii="宋体" w:hAnsi="宋体" w:cs="宋体"/>
          <w:color w:val="000000"/>
          <w:sz w:val="24"/>
          <w:highlight w:val="white"/>
          <w:lang w:eastAsia="zh-CN"/>
        </w:rPr>
        <w:t>1.本基金投资银行存款前，基金管理人应与存款银行签订具体存款协议，包括但不限于以下内容：</w:t>
      </w:r>
    </w:p>
    <w:p w:rsidR="00351C78" w:rsidRDefault="00EB0C7E">
      <w:pPr>
        <w:ind w:firstLine="480"/>
        <w:rPr>
          <w:lang w:eastAsia="zh-CN"/>
        </w:rPr>
      </w:pPr>
      <w:r>
        <w:rPr>
          <w:rFonts w:ascii="宋体" w:hAnsi="宋体" w:cs="宋体" w:hint="eastAsia"/>
          <w:color w:val="000000"/>
          <w:sz w:val="24"/>
          <w:highlight w:val="white"/>
          <w:lang w:eastAsia="zh-CN"/>
        </w:rPr>
        <w:t>（1）存款账户必须以本基金名义开立,并将基金托管人为本基金开立的基金托管资金账户指定为唯一回款账户，任何情况下，存款银行都不得将存款投资本息划往任何其他账户。</w:t>
      </w:r>
    </w:p>
    <w:p w:rsidR="00351C78" w:rsidRDefault="00EB0C7E">
      <w:pPr>
        <w:ind w:firstLine="480"/>
        <w:rPr>
          <w:lang w:eastAsia="zh-CN"/>
        </w:rPr>
      </w:pPr>
      <w:r>
        <w:rPr>
          <w:rFonts w:ascii="宋体" w:hAnsi="宋体" w:cs="宋体"/>
          <w:color w:val="000000"/>
          <w:sz w:val="24"/>
          <w:highlight w:val="white"/>
          <w:lang w:eastAsia="zh-CN"/>
        </w:rPr>
        <w:t>（2）存款银行不得接受基金管理人或基金托管人任何一方单方面提出的对存款进行更名、转让、挂失、质押、担保、撤销、变更印鉴及回款账户信息等可能导致财产转移的操作申请。</w:t>
      </w:r>
    </w:p>
    <w:p w:rsidR="00351C78" w:rsidRDefault="00EB0C7E">
      <w:pPr>
        <w:ind w:firstLine="480"/>
        <w:rPr>
          <w:lang w:eastAsia="zh-CN"/>
        </w:rPr>
      </w:pPr>
      <w:r>
        <w:rPr>
          <w:rFonts w:ascii="宋体" w:hAnsi="宋体" w:cs="宋体"/>
          <w:color w:val="000000"/>
          <w:sz w:val="24"/>
          <w:highlight w:val="white"/>
          <w:lang w:eastAsia="zh-CN"/>
        </w:rPr>
        <w:t>（3）约定存款证实书的具体传递交接方式及交接期限。</w:t>
      </w:r>
    </w:p>
    <w:p w:rsidR="00351C78" w:rsidRDefault="00EB0C7E">
      <w:pPr>
        <w:ind w:firstLine="480"/>
        <w:rPr>
          <w:lang w:eastAsia="zh-CN"/>
        </w:rPr>
      </w:pPr>
      <w:r>
        <w:rPr>
          <w:rFonts w:ascii="宋体" w:hAnsi="宋体" w:cs="宋体"/>
          <w:color w:val="000000"/>
          <w:sz w:val="24"/>
          <w:highlight w:val="white"/>
          <w:lang w:eastAsia="zh-CN"/>
        </w:rPr>
        <w:t>（4）资金划转过程中需要使用存款银行过渡账户的，存款银行须保证资金在过渡账户中不出现滞留，不被挪用。</w:t>
      </w:r>
    </w:p>
    <w:p w:rsidR="00351C78" w:rsidRDefault="00EB0C7E">
      <w:pPr>
        <w:ind w:firstLine="480"/>
        <w:rPr>
          <w:lang w:eastAsia="zh-CN"/>
        </w:rPr>
      </w:pPr>
      <w:r>
        <w:rPr>
          <w:rFonts w:ascii="宋体" w:hAnsi="宋体" w:cs="宋体"/>
          <w:color w:val="000000"/>
          <w:sz w:val="24"/>
          <w:highlight w:val="white"/>
          <w:lang w:eastAsia="zh-CN"/>
        </w:rPr>
        <w:t>2.本基金投资银行存款，必须采用双方认可的方式办理。基金托管人负责依据基金管理人提供的银行存款投资合同/协议/成交单、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351C78" w:rsidRDefault="00EB0C7E">
      <w:pPr>
        <w:ind w:firstLine="480"/>
        <w:rPr>
          <w:lang w:eastAsia="zh-CN"/>
        </w:rPr>
      </w:pPr>
      <w:r>
        <w:rPr>
          <w:rFonts w:ascii="宋体" w:hAnsi="宋体" w:cs="宋体"/>
          <w:color w:val="000000"/>
          <w:sz w:val="24"/>
          <w:highlight w:val="white"/>
          <w:lang w:eastAsia="zh-CN"/>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51C78" w:rsidRDefault="00EB0C7E">
      <w:pPr>
        <w:ind w:firstLine="480"/>
        <w:rPr>
          <w:lang w:eastAsia="zh-CN"/>
        </w:rPr>
      </w:pPr>
      <w:r>
        <w:rPr>
          <w:rFonts w:ascii="宋体" w:hAnsi="宋体" w:cs="宋体" w:hint="eastAsia"/>
          <w:color w:val="000000"/>
          <w:sz w:val="24"/>
          <w:highlight w:val="white"/>
          <w:lang w:eastAsia="zh-CN"/>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w:t>
      </w:r>
      <w:r>
        <w:rPr>
          <w:rFonts w:ascii="宋体" w:hAnsi="宋体" w:cs="宋体" w:hint="eastAsia"/>
          <w:color w:val="000000"/>
          <w:sz w:val="24"/>
          <w:highlight w:val="white"/>
          <w:lang w:eastAsia="zh-CN"/>
        </w:rPr>
        <w:lastRenderedPageBreak/>
        <w:t>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rsidR="00351C78" w:rsidRDefault="00351C78">
      <w:pPr>
        <w:rPr>
          <w:rFonts w:ascii="宋体" w:hAnsi="宋体" w:cs="宋体"/>
          <w:sz w:val="24"/>
          <w:lang w:eastAsia="zh-CN"/>
        </w:rPr>
      </w:pPr>
    </w:p>
    <w:p w:rsidR="00351C78" w:rsidRDefault="00351C78">
      <w:pPr>
        <w:snapToGrid w:val="0"/>
        <w:ind w:firstLine="480"/>
        <w:rPr>
          <w:rFonts w:ascii="宋体" w:hAnsi="宋体" w:cs="宋体"/>
          <w:sz w:val="24"/>
          <w:lang w:eastAsia="zh-CN"/>
        </w:rPr>
      </w:pPr>
    </w:p>
    <w:p w:rsidR="00351C78" w:rsidRDefault="00EB0C7E">
      <w:pPr>
        <w:pStyle w:val="210"/>
        <w:jc w:val="center"/>
        <w:rPr>
          <w:rFonts w:ascii="宋体" w:eastAsia="宋体" w:hAnsi="宋体" w:cs="宋体"/>
          <w:sz w:val="30"/>
          <w:lang w:eastAsia="zh-CN"/>
        </w:rPr>
      </w:pPr>
      <w:r>
        <w:rPr>
          <w:rFonts w:ascii="宋体" w:eastAsia="宋体" w:hAnsi="宋体" w:cs="宋体" w:hint="eastAsia"/>
          <w:sz w:val="30"/>
          <w:highlight w:val="white"/>
          <w:lang w:eastAsia="zh-CN"/>
        </w:rPr>
        <w:t xml:space="preserve"> </w:t>
      </w:r>
      <w:bookmarkStart w:id="86" w:name="_Toc68875910"/>
      <w:r>
        <w:rPr>
          <w:rFonts w:ascii="宋体" w:eastAsia="宋体" w:hAnsi="宋体" w:cs="宋体" w:hint="eastAsia"/>
          <w:sz w:val="30"/>
          <w:highlight w:val="white"/>
          <w:lang w:eastAsia="zh-CN"/>
        </w:rPr>
        <w:t>八、基金资产净值计算和会计核算</w:t>
      </w:r>
      <w:bookmarkEnd w:id="86"/>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（一）基金资产净值的计算、复核与完成的时间及程序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资产净值是指基金资产总值减去负债后的金额。基金份额净值是按照每个估值日闭市后，基金资产净值除以当日基金份额的余额数量计算，均精确到0.0001元，小数点后第五位四舍五入。国家另有规定的，从其规定。</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每个估值日计算基金资产净值及基金份额净值，并按规定公告。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管理人应每个估值日对基金资产估值。但基金管理人根据法律法规或《基金合同》的规定暂停估值时除外。基金管理人每个估值日对基金资产估值后，经基金托管人复核无误后，由基金管理人按规定对外公布。</w:t>
      </w:r>
    </w:p>
    <w:p w:rsidR="00351C78" w:rsidRDefault="00EB0C7E">
      <w:pPr>
        <w:ind w:firstLine="480"/>
        <w:rPr>
          <w:rFonts w:ascii="宋体" w:hAnsi="宋体" w:cs="宋体"/>
          <w:sz w:val="24"/>
          <w:lang w:eastAsia="zh-CN"/>
        </w:rPr>
      </w:pPr>
      <w:r>
        <w:rPr>
          <w:rFonts w:ascii="宋体" w:hAnsi="宋体" w:cs="宋体" w:hint="eastAsia"/>
          <w:sz w:val="24"/>
          <w:highlight w:val="white"/>
          <w:lang w:eastAsia="zh-CN"/>
        </w:rPr>
        <w:t>（二）基金资产估值方法和特殊情形的处理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1.估值对象</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基金所拥有的股票、债券和银行存款本息、应收款项、其它投资等资产及负债。</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2.估值方法</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本基金所持有的投资品种，按如下原则进行估值：</w:t>
      </w:r>
    </w:p>
    <w:p w:rsidR="00351C78" w:rsidRDefault="00EB0C7E">
      <w:pPr>
        <w:snapToGrid w:val="0"/>
        <w:ind w:firstLine="480"/>
        <w:rPr>
          <w:rFonts w:ascii="宋体" w:hAnsi="宋体" w:cs="宋体"/>
          <w:sz w:val="24"/>
          <w:lang w:eastAsia="zh-CN"/>
        </w:rPr>
      </w:pPr>
      <w:r>
        <w:rPr>
          <w:highlight w:val="white"/>
          <w:lang w:eastAsia="zh-CN"/>
        </w:rPr>
        <w:t>（</w:t>
      </w:r>
      <w:r>
        <w:rPr>
          <w:rFonts w:ascii="宋体" w:hAnsi="宋体" w:cs="宋体"/>
          <w:highlight w:val="white"/>
          <w:lang w:eastAsia="zh-CN"/>
        </w:rPr>
        <w:t>1</w:t>
      </w:r>
      <w:r>
        <w:rPr>
          <w:highlight w:val="white"/>
          <w:lang w:eastAsia="zh-CN"/>
        </w:rPr>
        <w:t>）</w:t>
      </w:r>
      <w:r>
        <w:rPr>
          <w:rFonts w:ascii="宋体" w:hAnsi="宋体" w:cs="宋体"/>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（2）处于未上市期间的有价证券应区分如下情况处理：</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1）送股、转增股、配股和公开增发的新股，按估值日在证券交易所挂牌的同一股票的估值方法估值；该日无交易的，以最近一日的市价（收盘价）估值；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2）首次公开发行未上市的股票，采用估值技术确定公允价值；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（3）对于已上市或已挂牌转让的不含权固定收益品种，选取估值日第三方估值基准服务机构提供的相应品种当日的估值全价进行估值。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（4）对于已上市或已挂牌转让的含权固定收益品种，选取估值日第三方估</w:t>
      </w:r>
      <w:r>
        <w:rPr>
          <w:rFonts w:ascii="宋体" w:hAnsi="宋体" w:cs="宋体"/>
          <w:sz w:val="24"/>
          <w:highlight w:val="white"/>
          <w:lang w:eastAsia="zh-CN"/>
        </w:rPr>
        <w:lastRenderedPageBreak/>
        <w:t>值基准服务机构提供的相应品种当日的唯一估值全价或推荐估值全价进行估值。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（6）对于未上市或未挂牌转让且不存在活跃市场的固定收益品种，采用在当前情况下适用并且有足够可利用数据和其他信息支持的估值技术确定其公允价值。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（7）期货合约以估值当日结算价进行估值，估值当日无结算价的，且最近交易日后经济环境未发生重大变化的，采用最近交易日结算价估值。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（8）本基金投资期权，根据相关法律法规以及监管部门的规定估值。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（9）本基金参与融资业务的，按照相关法律法规、监管部门和行业协会的相关规定进行估值。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（10）本基金参与转融通证券出借业务的，按照相关法律法规和行业协会的相关规定进行估值。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（11）本基金投资存托凭证的估值核算，依照境内上市交易的股票执行。</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（12）汇率</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本基金投资股票市场交易互联互通机制允许买卖的境外证券市场上市的股票，涉及相关货币对人民币汇率的，汇率来源详见招募说明书。</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（13）税收</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（14）如有充分理由表明按上述方法进行估值不能客观反映其公允价值的，基金管理人可根据具体情况与基金托管人商定后，按最能反映公允价值的价格估值。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（15）相关法律法规以及监管部门有强制规定的，从其规定。如有新增事项，按国家最新规定估值。</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351C78" w:rsidRDefault="00EB0C7E">
      <w:pPr>
        <w:snapToGrid w:val="0"/>
        <w:ind w:firstLine="480"/>
        <w:rPr>
          <w:rFonts w:ascii="宋体" w:hAnsi="宋体" w:cs="宋体"/>
          <w:sz w:val="24"/>
          <w:highlight w:val="white"/>
          <w:lang w:eastAsia="zh-CN"/>
        </w:rPr>
      </w:pPr>
      <w:r>
        <w:rPr>
          <w:rFonts w:ascii="宋体" w:hAnsi="宋体" w:cs="宋体"/>
          <w:sz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资产净值的计算结果对外予以公布。</w:t>
      </w:r>
    </w:p>
    <w:p w:rsidR="00351C78" w:rsidRDefault="00351C78">
      <w:pPr>
        <w:snapToGrid w:val="0"/>
        <w:ind w:firstLine="480"/>
        <w:rPr>
          <w:rFonts w:ascii="宋体" w:hAnsi="宋体" w:cs="宋体"/>
          <w:sz w:val="24"/>
          <w:lang w:eastAsia="zh-CN"/>
        </w:rPr>
      </w:pPr>
    </w:p>
    <w:p w:rsidR="00351C78" w:rsidRDefault="00EB0C7E">
      <w:pPr>
        <w:snapToGrid w:val="0"/>
        <w:ind w:firstLine="480"/>
        <w:rPr>
          <w:rStyle w:val="read"/>
          <w:rFonts w:ascii="宋体" w:hAnsi="宋体" w:cs="宋体"/>
          <w:lang w:eastAsia="zh-CN"/>
        </w:rPr>
      </w:pPr>
      <w:r>
        <w:rPr>
          <w:rStyle w:val="read"/>
          <w:rFonts w:ascii="宋体" w:hAnsi="宋体" w:cs="宋体" w:hint="eastAsia"/>
          <w:sz w:val="24"/>
          <w:highlight w:val="white"/>
          <w:lang w:eastAsia="zh-CN"/>
        </w:rPr>
        <w:t>3.特殊情形的处理</w:t>
      </w:r>
    </w:p>
    <w:p w:rsidR="00351C78" w:rsidRDefault="00EB0C7E">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基金管理人、基金托管人按估值方法的第(14)项进行估值时，所造成的误差不作为基金份额净值错误处理。</w:t>
      </w:r>
    </w:p>
    <w:p w:rsidR="00351C78" w:rsidRDefault="00EB0C7E">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lastRenderedPageBreak/>
        <w:t>（三）基金份额净值错误的处理方式</w:t>
      </w:r>
    </w:p>
    <w:p w:rsidR="00351C78" w:rsidRDefault="00EB0C7E">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1.当基金份额净值小数点后4位以内(含第4位)发生差错时，视为基金份额净值错误；基金份额净值出现错误时，基金管理人应当立即予以纠正，通报基金托管人，并采取合理的措施防止</w:t>
      </w:r>
      <w:r>
        <w:rPr>
          <w:rStyle w:val="read"/>
          <w:rFonts w:ascii="宋体" w:hAnsi="宋体" w:cs="宋体"/>
          <w:sz w:val="24"/>
          <w:highlight w:val="white"/>
          <w:lang w:eastAsia="zh-CN"/>
        </w:rPr>
        <w:t>损失进一步扩大；错误偏差达到基金份额净值的0.25%时，基金管理人应当通报基金托管人并报中国证监会备案；错误偏差达到基金份额净值的0.5%时，基金管理人应当公告，并报中国证监会备案</w:t>
      </w:r>
      <w:r>
        <w:rPr>
          <w:rStyle w:val="read"/>
          <w:rFonts w:ascii="宋体" w:hAnsi="宋体" w:cs="宋体" w:hint="eastAsia"/>
          <w:sz w:val="24"/>
          <w:highlight w:val="white"/>
          <w:lang w:eastAsia="zh-CN"/>
        </w:rPr>
        <w:t>；当发生净值计算错误时，由基金管理人负责处理，由此给基金份额持有人和基金造</w:t>
      </w:r>
      <w:r>
        <w:rPr>
          <w:rStyle w:val="read"/>
          <w:rFonts w:ascii="宋体" w:hAnsi="宋体" w:cs="宋体"/>
          <w:sz w:val="24"/>
          <w:highlight w:val="white"/>
          <w:lang w:eastAsia="zh-CN"/>
        </w:rPr>
        <w:t>成损失的，应由基金管理人先行赔付，基金管理人按差错情形，有权向其他当事人追偿。</w:t>
      </w:r>
    </w:p>
    <w:p w:rsidR="00351C78" w:rsidRDefault="00EB0C7E">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2.当基金份额净值计算差错给基金和基金份额持有人造成损失需要进行赔偿时，基金管理人和基金托管人应根据实际情况界定双方承担的责任，经确认后按以下条款进行赔偿：</w:t>
      </w:r>
    </w:p>
    <w:p w:rsidR="00351C78" w:rsidRDefault="00EB0C7E">
      <w:pPr>
        <w:snapToGrid w:val="0"/>
        <w:ind w:firstLine="480"/>
        <w:rPr>
          <w:rFonts w:ascii="宋体" w:hAnsi="宋体" w:cs="宋体"/>
          <w:lang w:eastAsia="zh-CN"/>
        </w:rPr>
      </w:pPr>
      <w:r>
        <w:rPr>
          <w:rStyle w:val="read"/>
          <w:rFonts w:ascii="宋体" w:hAnsi="宋体" w:cs="宋体" w:hint="eastAsia"/>
          <w:sz w:val="24"/>
          <w:highlight w:val="white"/>
          <w:lang w:eastAsia="zh-CN"/>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宋体" w:hint="eastAsia"/>
          <w:sz w:val="24"/>
          <w:highlight w:val="white"/>
          <w:lang w:eastAsia="zh-CN"/>
        </w:rPr>
        <w:t>损失，由基金管理人负责赔付。</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(4)由于基金管理人提供的信息错误，进而导致基金份额净值计算错误而引起的基金份额持有人和基金财产的损失，由基金管理人负责赔付。</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由于不可抗力，或证券交易所、登记结算机构、指数编制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4.基金管理人和基金托管人由于各自技术系统设置而产生的净值计算尾差，以基金管理人计算结果为准。</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5.前述内容如法律法规或者监管部门另有规定的，从其规定。如果行业另有通行做法，双方当事人应本着平等和保护基金份额持有人利益的原则进行协商。</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（四）暂停估值与公告基金份额净值的情形</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1</w:t>
      </w:r>
      <w:r w:rsidR="00310F97">
        <w:rPr>
          <w:rFonts w:ascii="宋体" w:hAnsi="宋体" w:cs="宋体" w:hint="eastAsia"/>
          <w:sz w:val="24"/>
          <w:highlight w:val="white"/>
          <w:lang w:eastAsia="zh-CN"/>
        </w:rPr>
        <w:t>.</w:t>
      </w:r>
      <w:r>
        <w:rPr>
          <w:rFonts w:ascii="宋体" w:hAnsi="宋体" w:cs="宋体" w:hint="eastAsia"/>
          <w:sz w:val="24"/>
          <w:highlight w:val="white"/>
          <w:lang w:eastAsia="zh-CN"/>
        </w:rPr>
        <w:t>基金投资所涉及的证券交易市场或外汇市场遇法定节假日或因其他原因暂停营业时；</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2</w:t>
      </w:r>
      <w:r w:rsidR="00310F97">
        <w:rPr>
          <w:rFonts w:ascii="宋体" w:hAnsi="宋体" w:cs="宋体" w:hint="eastAsia"/>
          <w:sz w:val="24"/>
          <w:highlight w:val="white"/>
          <w:lang w:eastAsia="zh-CN"/>
        </w:rPr>
        <w:t>.</w:t>
      </w:r>
      <w:r>
        <w:rPr>
          <w:rFonts w:ascii="宋体" w:hAnsi="宋体" w:cs="宋体" w:hint="eastAsia"/>
          <w:sz w:val="24"/>
          <w:highlight w:val="white"/>
          <w:lang w:eastAsia="zh-CN"/>
        </w:rPr>
        <w:t>因不可抗力或其他情形致使基金管理人、基金托管人无法准确评估基金资产价值时；</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3</w:t>
      </w:r>
      <w:r w:rsidR="00310F97">
        <w:rPr>
          <w:rFonts w:ascii="宋体" w:hAnsi="宋体" w:cs="宋体" w:hint="eastAsia"/>
          <w:sz w:val="24"/>
          <w:highlight w:val="white"/>
          <w:lang w:eastAsia="zh-CN"/>
        </w:rPr>
        <w:t>.</w:t>
      </w:r>
      <w:r>
        <w:rPr>
          <w:rFonts w:ascii="宋体" w:hAnsi="宋体" w:cs="宋体" w:hint="eastAsia"/>
          <w:sz w:val="24"/>
          <w:highlight w:val="white"/>
          <w:lang w:eastAsia="zh-CN"/>
        </w:rPr>
        <w:t>当前一估值日基金资产净值50%以上的资产出现无可参考的活跃市场价格且采用估值技术</w:t>
      </w:r>
      <w:proofErr w:type="gramStart"/>
      <w:r>
        <w:rPr>
          <w:rFonts w:ascii="宋体" w:hAnsi="宋体" w:cs="宋体" w:hint="eastAsia"/>
          <w:sz w:val="24"/>
          <w:highlight w:val="white"/>
          <w:lang w:eastAsia="zh-CN"/>
        </w:rPr>
        <w:t>仍导致</w:t>
      </w:r>
      <w:proofErr w:type="gramEnd"/>
      <w:r>
        <w:rPr>
          <w:rFonts w:ascii="宋体" w:hAnsi="宋体" w:cs="宋体" w:hint="eastAsia"/>
          <w:sz w:val="24"/>
          <w:highlight w:val="white"/>
          <w:lang w:eastAsia="zh-CN"/>
        </w:rPr>
        <w:t>公允价值存在重大不确定性时，经与基金托管人协商确认后，基金管理人应当暂停估值；</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4</w:t>
      </w:r>
      <w:r w:rsidR="00310F97">
        <w:rPr>
          <w:rFonts w:ascii="宋体" w:hAnsi="宋体" w:cs="宋体" w:hint="eastAsia"/>
          <w:sz w:val="24"/>
          <w:highlight w:val="white"/>
          <w:lang w:eastAsia="zh-CN"/>
        </w:rPr>
        <w:t>.</w:t>
      </w:r>
      <w:r>
        <w:rPr>
          <w:rFonts w:ascii="宋体" w:hAnsi="宋体" w:cs="宋体" w:hint="eastAsia"/>
          <w:sz w:val="24"/>
          <w:highlight w:val="white"/>
          <w:lang w:eastAsia="zh-CN"/>
        </w:rPr>
        <w:t>法律法规规定、中国证监会和基金合同认定的其它情形。</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lastRenderedPageBreak/>
        <w:t>（五）基金会计制度</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按国家有关部门规定的会计制度执行。</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（六）基金账册的建立</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（七）基金财务报表与报告的编制和复核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1.财务报表的编制</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基金财务报表由基金管理人编制，基金托管人复核。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2.报表复核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基金托管人在收到基金管理人编制的基金财务报表后，进行独立的复核。核对不符时，应及时通知基金管理人共同查出原因，进行调整，直至双方数据完全一致。</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3.财务报表的编制与复核时间安排</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(1)报表的编制</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rsidR="00351C78" w:rsidRDefault="00EB0C7E">
      <w:pPr>
        <w:pStyle w:val="a3"/>
        <w:snapToGrid w:val="0"/>
        <w:ind w:firstLine="480"/>
        <w:rPr>
          <w:rFonts w:ascii="宋体" w:hAnsi="宋体" w:cs="宋体"/>
          <w:sz w:val="24"/>
          <w:lang w:eastAsia="zh-CN"/>
        </w:rPr>
      </w:pPr>
      <w:r>
        <w:rPr>
          <w:rFonts w:ascii="宋体" w:hAnsi="宋体" w:cs="宋体" w:hint="eastAsia"/>
          <w:sz w:val="24"/>
          <w:highlight w:val="white"/>
          <w:lang w:eastAsia="zh-CN"/>
        </w:rPr>
        <w:t>(2)报表的复核</w:t>
      </w:r>
    </w:p>
    <w:p w:rsidR="00351C78" w:rsidRDefault="00EB0C7E">
      <w:pPr>
        <w:pStyle w:val="a3"/>
        <w:snapToGrid w:val="0"/>
        <w:ind w:firstLine="480"/>
        <w:rPr>
          <w:rFonts w:ascii="宋体" w:hAnsi="宋体" w:cs="宋体"/>
          <w:sz w:val="24"/>
          <w:lang w:eastAsia="zh-CN"/>
        </w:rPr>
      </w:pPr>
      <w:r>
        <w:rPr>
          <w:rFonts w:ascii="宋体" w:hAnsi="宋体" w:cs="宋体" w:hint="eastAsia"/>
          <w:sz w:val="24"/>
          <w:highlight w:val="white"/>
          <w:lang w:eastAsia="zh-CN"/>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51C78" w:rsidRDefault="00EB0C7E">
      <w:pPr>
        <w:pStyle w:val="a3"/>
        <w:snapToGrid w:val="0"/>
        <w:ind w:firstLine="480"/>
        <w:rPr>
          <w:rFonts w:ascii="宋体" w:hAnsi="宋体" w:cs="宋体"/>
          <w:sz w:val="24"/>
          <w:lang w:eastAsia="zh-CN"/>
        </w:rPr>
      </w:pPr>
      <w:r>
        <w:rPr>
          <w:rFonts w:ascii="宋体" w:hAnsi="宋体" w:cs="宋体" w:hint="eastAsia"/>
          <w:sz w:val="24"/>
          <w:highlight w:val="white"/>
          <w:lang w:eastAsia="zh-CN"/>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rsidR="00351C78" w:rsidRDefault="00EB0C7E">
      <w:pPr>
        <w:pStyle w:val="a3"/>
        <w:snapToGrid w:val="0"/>
        <w:ind w:firstLine="480"/>
        <w:rPr>
          <w:rFonts w:ascii="宋体" w:hAnsi="宋体" w:cs="宋体"/>
          <w:sz w:val="24"/>
          <w:lang w:eastAsia="zh-CN"/>
        </w:rPr>
      </w:pPr>
      <w:r>
        <w:rPr>
          <w:rFonts w:ascii="宋体" w:hAnsi="宋体" w:cs="宋体" w:hint="eastAsia"/>
          <w:sz w:val="24"/>
          <w:highlight w:val="white"/>
          <w:lang w:eastAsia="zh-CN"/>
        </w:rPr>
        <w:t>（八）基金管理人应在编制季度报告、中期报告或者年度报告之前及时向基金托管人提供基金业绩比较基准的基础数据和编制结果。</w:t>
      </w:r>
    </w:p>
    <w:p w:rsidR="00351C78" w:rsidRDefault="00EB0C7E">
      <w:pPr>
        <w:pStyle w:val="a3"/>
        <w:snapToGrid w:val="0"/>
        <w:ind w:firstLine="480"/>
        <w:rPr>
          <w:rFonts w:ascii="宋体" w:hAnsi="宋体" w:cs="宋体"/>
          <w:sz w:val="24"/>
          <w:lang w:eastAsia="zh-CN"/>
        </w:rPr>
      </w:pPr>
      <w:r>
        <w:rPr>
          <w:rFonts w:ascii="宋体" w:hAnsi="宋体" w:cs="宋体"/>
          <w:sz w:val="24"/>
          <w:highlight w:val="white"/>
          <w:lang w:eastAsia="zh-CN"/>
        </w:rPr>
        <w:tab/>
      </w:r>
    </w:p>
    <w:p w:rsidR="00351C78" w:rsidRDefault="00EB0C7E">
      <w:pPr>
        <w:pStyle w:val="210"/>
        <w:jc w:val="center"/>
        <w:rPr>
          <w:rFonts w:ascii="宋体" w:eastAsia="宋体" w:hAnsi="宋体" w:cs="宋体"/>
          <w:sz w:val="30"/>
          <w:lang w:eastAsia="zh-CN"/>
        </w:rPr>
      </w:pPr>
      <w:bookmarkStart w:id="87" w:name="_Toc68875911"/>
      <w:r>
        <w:rPr>
          <w:rFonts w:ascii="宋体" w:eastAsia="宋体" w:hAnsi="宋体" w:cs="宋体" w:hint="eastAsia"/>
          <w:sz w:val="30"/>
          <w:highlight w:val="white"/>
          <w:lang w:eastAsia="zh-CN"/>
        </w:rPr>
        <w:t>九、基金收益分配</w:t>
      </w:r>
      <w:bookmarkEnd w:id="87"/>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（一）基金收益分配的原则</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基金收益分配应遵循下列原则：</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1</w:t>
      </w:r>
      <w:r w:rsidR="005A6673">
        <w:rPr>
          <w:rFonts w:ascii="宋体" w:hAnsi="宋体" w:cs="宋体" w:hint="eastAsia"/>
          <w:sz w:val="24"/>
          <w:highlight w:val="white"/>
          <w:lang w:eastAsia="zh-CN"/>
        </w:rPr>
        <w:t>．</w:t>
      </w:r>
      <w:r>
        <w:rPr>
          <w:rFonts w:ascii="宋体" w:hAnsi="宋体" w:cs="宋体" w:hint="eastAsia"/>
          <w:sz w:val="24"/>
          <w:highlight w:val="white"/>
          <w:lang w:eastAsia="zh-CN"/>
        </w:rPr>
        <w:t>本基金收益分配方式采用现金分红；</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2</w:t>
      </w:r>
      <w:r w:rsidR="005A6673">
        <w:rPr>
          <w:rFonts w:ascii="宋体" w:hAnsi="宋体" w:cs="宋体" w:hint="eastAsia"/>
          <w:sz w:val="24"/>
          <w:highlight w:val="white"/>
          <w:lang w:eastAsia="zh-CN"/>
        </w:rPr>
        <w:t>．</w:t>
      </w:r>
      <w:r>
        <w:rPr>
          <w:rFonts w:ascii="宋体" w:hAnsi="宋体" w:cs="宋体" w:hint="eastAsia"/>
          <w:sz w:val="24"/>
          <w:highlight w:val="white"/>
          <w:lang w:eastAsia="zh-CN"/>
        </w:rPr>
        <w:t>每一基金份额享有同等分配权；</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3</w:t>
      </w:r>
      <w:r w:rsidR="005A6673">
        <w:rPr>
          <w:rFonts w:ascii="宋体" w:hAnsi="宋体" w:cs="宋体" w:hint="eastAsia"/>
          <w:sz w:val="24"/>
          <w:highlight w:val="white"/>
          <w:lang w:eastAsia="zh-CN"/>
        </w:rPr>
        <w:t>．</w:t>
      </w:r>
      <w:r>
        <w:rPr>
          <w:rFonts w:ascii="宋体" w:hAnsi="宋体" w:cs="宋体" w:hint="eastAsia"/>
          <w:sz w:val="24"/>
          <w:highlight w:val="white"/>
          <w:lang w:eastAsia="zh-CN"/>
        </w:rPr>
        <w:t>在符合以下有关基金分红条件的情形下，基金管理人可以根据实际情况进行收益分配，具体分配方案以届时的公告为准：</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（1）本基金收益评价日核定的基金累计报酬率超过业绩比较基准同期累计</w:t>
      </w:r>
      <w:r>
        <w:rPr>
          <w:rFonts w:ascii="宋体" w:hAnsi="宋体" w:cs="宋体" w:hint="eastAsia"/>
          <w:sz w:val="24"/>
          <w:highlight w:val="white"/>
          <w:lang w:eastAsia="zh-CN"/>
        </w:rPr>
        <w:lastRenderedPageBreak/>
        <w:t>报酬率或者基金可供分配利润金额大于0元时，基金管理人可进行收益分配，累计报酬率计算方式详见招募说明书；若《基金合同》生效不满3个月可不进行收益分配；</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351C78" w:rsidRDefault="00EB0C7E">
      <w:pPr>
        <w:snapToGrid w:val="0"/>
        <w:ind w:firstLine="480"/>
        <w:outlineLvl w:val="0"/>
        <w:rPr>
          <w:rFonts w:ascii="宋体" w:hAnsi="宋体" w:cs="宋体"/>
          <w:sz w:val="24"/>
          <w:highlight w:val="white"/>
          <w:lang w:eastAsia="zh-CN"/>
        </w:rPr>
      </w:pPr>
      <w:r>
        <w:rPr>
          <w:rFonts w:ascii="宋体" w:hAnsi="宋体" w:cs="宋体"/>
          <w:sz w:val="24"/>
          <w:highlight w:val="white"/>
          <w:lang w:eastAsia="zh-CN"/>
        </w:rPr>
        <w:t>4</w:t>
      </w:r>
      <w:r w:rsidR="005A6673">
        <w:rPr>
          <w:rFonts w:ascii="宋体" w:hAnsi="宋体" w:cs="宋体" w:hint="eastAsia"/>
          <w:sz w:val="24"/>
          <w:highlight w:val="white"/>
          <w:lang w:eastAsia="zh-CN"/>
        </w:rPr>
        <w:t>．</w:t>
      </w:r>
      <w:r>
        <w:rPr>
          <w:rFonts w:ascii="宋体" w:hAnsi="宋体" w:cs="宋体"/>
          <w:sz w:val="24"/>
          <w:highlight w:val="white"/>
          <w:lang w:eastAsia="zh-CN"/>
        </w:rPr>
        <w:t>在对基金份额持有人利益无实质不利影响的前提下，基金管理人经与基金托管人协商一致并履行适当程序后可调整基金收益的分配原则；</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5</w:t>
      </w:r>
      <w:r w:rsidR="005A6673">
        <w:rPr>
          <w:rFonts w:ascii="宋体" w:hAnsi="宋体" w:cs="宋体" w:hint="eastAsia"/>
          <w:sz w:val="24"/>
          <w:highlight w:val="white"/>
          <w:lang w:eastAsia="zh-CN"/>
        </w:rPr>
        <w:t>．</w:t>
      </w:r>
      <w:r>
        <w:rPr>
          <w:rFonts w:ascii="宋体" w:hAnsi="宋体" w:cs="宋体" w:hint="eastAsia"/>
          <w:sz w:val="24"/>
          <w:highlight w:val="white"/>
          <w:lang w:eastAsia="zh-CN"/>
        </w:rPr>
        <w:t>法律法规或监管机关另有规定的，从其规定。证券交易所或基金登记结算机构对收益分配另有规定的，从其规定。</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（二）基金收益分配的时间和程序</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本基金收益分配方案由基金管理人拟定，并由基金托管人复核，在2日内在规定媒介公告。法律法规或监管机关另有规定的，从其规定。基金收益分配方案公告后(依据具体方案的规定)，基金管理人就支付的现金红利向基金托管人发送划款指令，基金托管人按照基金管理人的指令及时进行分红资金的划付。</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基金收益分配时所发生的银行转账或其他手续费用由投资者自行承担。</w:t>
      </w:r>
    </w:p>
    <w:p w:rsidR="00351C78" w:rsidRDefault="00351C78">
      <w:pPr>
        <w:snapToGrid w:val="0"/>
        <w:ind w:firstLine="480"/>
        <w:outlineLvl w:val="0"/>
        <w:rPr>
          <w:rFonts w:ascii="宋体" w:hAnsi="宋体" w:cs="宋体"/>
          <w:sz w:val="24"/>
          <w:lang w:eastAsia="zh-CN"/>
        </w:rPr>
      </w:pPr>
    </w:p>
    <w:p w:rsidR="00351C78" w:rsidRDefault="00351C78">
      <w:pPr>
        <w:snapToGrid w:val="0"/>
        <w:ind w:firstLine="480"/>
        <w:outlineLvl w:val="0"/>
        <w:rPr>
          <w:rFonts w:ascii="宋体" w:hAnsi="宋体" w:cs="宋体"/>
          <w:sz w:val="24"/>
          <w:lang w:eastAsia="zh-CN"/>
        </w:rPr>
      </w:pPr>
    </w:p>
    <w:p w:rsidR="00351C78" w:rsidRDefault="00351C78">
      <w:pPr>
        <w:snapToGrid w:val="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88" w:name="_Toc68875912"/>
      <w:r>
        <w:rPr>
          <w:rFonts w:ascii="宋体" w:eastAsia="宋体" w:hAnsi="宋体" w:cs="宋体" w:hint="eastAsia"/>
          <w:sz w:val="30"/>
          <w:highlight w:val="white"/>
          <w:lang w:eastAsia="zh-CN"/>
        </w:rPr>
        <w:t>十、基金信息披露</w:t>
      </w:r>
      <w:bookmarkEnd w:id="88"/>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（一）保密义务</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1.非因基金管理人和基金托管人的原因导致保密信息被披露、泄露或公开；</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2.基金管理人和基金托管人为遵守和服从法院判决或裁定、仲裁裁决或中国证监会等监管机构的命令、决定所做出的信息披露或公开。</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（二）信息披露的内容</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的信息披露内容主要包括基金招募说明书、《基金合同》、托管协议、基金产品资料概要、基金份额发售公告、基金募集情况、《基金合同》生效公告、基金份额折算日公告、基金份额折算结果公告、基金份额上市交易公告书、基金净值信息、基金份额申购、赎回对价、基金份额申购赎回清单公告、基金定期报告（包括基金年度报告、基金中期报告和基金季度报告）、临时报告、澄清公告、清算报告、基金份额持有人大会决议、</w:t>
      </w:r>
      <w:r>
        <w:rPr>
          <w:rFonts w:ascii="宋体" w:hAnsi="宋体" w:cs="宋体"/>
          <w:sz w:val="24"/>
          <w:highlight w:val="white"/>
          <w:lang w:eastAsia="zh-CN"/>
        </w:rPr>
        <w:t>中国证监会规定的</w:t>
      </w:r>
      <w:r>
        <w:rPr>
          <w:rFonts w:ascii="宋体" w:hAnsi="宋体" w:cs="宋体" w:hint="eastAsia"/>
          <w:sz w:val="24"/>
          <w:highlight w:val="white"/>
          <w:lang w:eastAsia="zh-CN"/>
        </w:rPr>
        <w:t>其他信息。基金年度报告中的财务会计报告需经符合《证券法》规定的会计师事务所审计后，方可披露。</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（三）基金托管人和基金管理人在信息披露中的职责和信息披露程序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1.职责</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基金托管人和基金管理人在信息披露过程中应以保护基金份额持有人利益为</w:t>
      </w:r>
      <w:r>
        <w:rPr>
          <w:rFonts w:ascii="宋体" w:hAnsi="宋体" w:cs="宋体" w:hint="eastAsia"/>
          <w:sz w:val="24"/>
          <w:highlight w:val="white"/>
          <w:lang w:eastAsia="zh-CN"/>
        </w:rPr>
        <w:lastRenderedPageBreak/>
        <w:t>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对于不需要基金托管人复核的信息，基金管理人在公告前应告知基金托管人。</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基金管理人和基金托管人应积极配合、互相监督，保证其履行按照法定方式和限时披露的义务。</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基金管理人、基金托管人应当在中国证监会规定的时间内，将应予披露的基金信息通过规定媒介披露。</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当出现下述情况时，基金管理人和基金托管人可暂停或延迟披露基金相关信息：</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(1)不可抗力；</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(2)基金投资所涉及的证券交易市场遇法定节假日或因其他原因暂停营业时；</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(3)出现基金管理人认为属于会导致基金管理人不能出售或评估基金资产的紧急事故的任何情况；</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(4)法律法规、《基金合同》或中国证监会规定的情况。</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按有关规定须经基金托管人复核的信息披露文件，由基金管理人起草、并经基金托管人复核后由基金管理人公告。发生《基金合同》中规定需要披露的事项时，按《基金合同》规定公布。</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3.信息文本的存放</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予以披露的信息文本，存放在基金管理人/基金托管人办公场所，投资者可以免费查阅。在支付工本费后可在合理时间获得上述文件的复制件或复印件。基金管理人和基金托管人应保证文本的内容与所公告的内容完全一致。</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相关法律法规关于信息披露的规定发生变化时，本基金从其最新规定。</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（四）法律法规或监管部门对适用于本基金的信息披露另有规定的，从其规定。如规定发生变化的，从其最新规定。</w:t>
      </w:r>
    </w:p>
    <w:p w:rsidR="00351C78" w:rsidRDefault="00351C78">
      <w:pPr>
        <w:pStyle w:val="a3"/>
        <w:ind w:firstLine="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89" w:name="_Toc68875913"/>
      <w:r>
        <w:rPr>
          <w:rFonts w:ascii="宋体" w:eastAsia="宋体" w:hAnsi="宋体" w:cs="宋体" w:hint="eastAsia"/>
          <w:sz w:val="30"/>
          <w:highlight w:val="white"/>
          <w:lang w:eastAsia="zh-CN"/>
        </w:rPr>
        <w:t>十一、基金费用</w:t>
      </w:r>
      <w:bookmarkEnd w:id="89"/>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（一）基金管理费的计提比例和计提方法</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本基金的管理费按前一日基金资产净值的0.</w:t>
      </w:r>
      <w:r w:rsidR="00857B92">
        <w:rPr>
          <w:rFonts w:ascii="宋体" w:hAnsi="宋体" w:cs="宋体"/>
          <w:sz w:val="24"/>
          <w:highlight w:val="white"/>
          <w:lang w:eastAsia="zh-CN"/>
        </w:rPr>
        <w:t>3</w:t>
      </w:r>
      <w:r w:rsidR="00857B92">
        <w:rPr>
          <w:rFonts w:ascii="宋体" w:hAnsi="宋体" w:cs="宋体" w:hint="eastAsia"/>
          <w:sz w:val="24"/>
          <w:highlight w:val="white"/>
          <w:lang w:eastAsia="zh-CN"/>
        </w:rPr>
        <w:t>0</w:t>
      </w:r>
      <w:r>
        <w:rPr>
          <w:rFonts w:ascii="宋体" w:hAnsi="宋体" w:cs="宋体" w:hint="eastAsia"/>
          <w:sz w:val="24"/>
          <w:highlight w:val="white"/>
          <w:lang w:eastAsia="zh-CN"/>
        </w:rPr>
        <w:t>%年费率计提。管理费的计算方法如下：</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H＝E×0.</w:t>
      </w:r>
      <w:r w:rsidR="00857B92">
        <w:rPr>
          <w:rFonts w:ascii="宋体" w:hAnsi="宋体" w:cs="宋体"/>
          <w:sz w:val="24"/>
          <w:highlight w:val="white"/>
          <w:lang w:eastAsia="zh-CN"/>
        </w:rPr>
        <w:t>3</w:t>
      </w:r>
      <w:r w:rsidR="00857B92">
        <w:rPr>
          <w:rFonts w:ascii="宋体" w:hAnsi="宋体" w:cs="宋体" w:hint="eastAsia"/>
          <w:sz w:val="24"/>
          <w:highlight w:val="white"/>
          <w:lang w:eastAsia="zh-CN"/>
        </w:rPr>
        <w:t>0</w:t>
      </w:r>
      <w:r>
        <w:rPr>
          <w:rFonts w:ascii="宋体" w:hAnsi="宋体" w:cs="宋体" w:hint="eastAsia"/>
          <w:sz w:val="24"/>
          <w:highlight w:val="white"/>
          <w:lang w:eastAsia="zh-CN"/>
        </w:rPr>
        <w:t>%÷当年天数</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H为每日应计提的基金管理费</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E为前一日的基金资产净值</w:t>
      </w:r>
    </w:p>
    <w:p w:rsidR="00351C78" w:rsidRDefault="00351C78">
      <w:pPr>
        <w:snapToGrid w:val="0"/>
        <w:ind w:firstLine="480"/>
        <w:rPr>
          <w:rFonts w:ascii="宋体" w:hAnsi="宋体" w:cs="宋体"/>
          <w:sz w:val="24"/>
          <w:lang w:eastAsia="zh-CN"/>
        </w:rPr>
      </w:pP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（二）基金托管费的计提比例和计提方法</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本基金的托管费按前一日基金资产净值的0.</w:t>
      </w:r>
      <w:r w:rsidR="00857B92">
        <w:rPr>
          <w:rFonts w:ascii="宋体" w:hAnsi="宋体" w:cs="宋体"/>
          <w:sz w:val="24"/>
          <w:highlight w:val="white"/>
          <w:lang w:eastAsia="zh-CN"/>
        </w:rPr>
        <w:t>05</w:t>
      </w:r>
      <w:r>
        <w:rPr>
          <w:rFonts w:ascii="宋体" w:hAnsi="宋体" w:cs="宋体" w:hint="eastAsia"/>
          <w:sz w:val="24"/>
          <w:highlight w:val="white"/>
          <w:lang w:eastAsia="zh-CN"/>
        </w:rPr>
        <w:t>%年费率计提。托管费的计算方法如下：</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H＝E×0.</w:t>
      </w:r>
      <w:r w:rsidR="00857B92">
        <w:rPr>
          <w:rFonts w:ascii="宋体" w:hAnsi="宋体" w:cs="宋体"/>
          <w:sz w:val="24"/>
          <w:highlight w:val="white"/>
          <w:lang w:eastAsia="zh-CN"/>
        </w:rPr>
        <w:t>05</w:t>
      </w:r>
      <w:r>
        <w:rPr>
          <w:rFonts w:ascii="宋体" w:hAnsi="宋体" w:cs="宋体" w:hint="eastAsia"/>
          <w:sz w:val="24"/>
          <w:highlight w:val="white"/>
          <w:lang w:eastAsia="zh-CN"/>
        </w:rPr>
        <w:t>%÷当年天数</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H为每日应计提的基金托管费</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E为前一日的基金资产净值</w:t>
      </w:r>
    </w:p>
    <w:p w:rsidR="00351C78" w:rsidRDefault="00351C78">
      <w:pPr>
        <w:snapToGrid w:val="0"/>
        <w:ind w:firstLine="480"/>
        <w:rPr>
          <w:rFonts w:ascii="宋体" w:hAnsi="宋体" w:cs="宋体"/>
          <w:sz w:val="24"/>
          <w:lang w:eastAsia="zh-CN"/>
        </w:rPr>
      </w:pP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基金上市初费及月费、登记结算费用、IOPV计算与发布费用、基金相关账户开户费用、证券/期货交易费用、基金的银行汇划费用、银行账户维护费用、收益分配中发生的费用、《基金合同》生效后与基金相关的信息披露费用（但法律法规、中国证监会另有规定的除外）、基金份额持有人大会费用、《基金合同》生效后与基金有关的会计师费、律师费、诉讼费和仲裁费等根据有关法律法规、《基金合同》及相应协议的规定，列入当期基金费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（四）不列入基金费用的项目</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合同》生效前的律师费、会计师费和信息披露费用不得从基金财产中列支；基金管理人和基金托管人因未履行或未完全履行义务导致的费用支出或基金财产的损失，处理与基金运作无关的事项发生的费用，标的指数许可使用费</w:t>
      </w:r>
      <w:r w:rsidR="00DF237C">
        <w:rPr>
          <w:rFonts w:ascii="宋体" w:hAnsi="宋体" w:cs="宋体" w:hint="eastAsia"/>
          <w:sz w:val="24"/>
          <w:highlight w:val="white"/>
          <w:lang w:eastAsia="zh-CN"/>
        </w:rPr>
        <w:t>以</w:t>
      </w:r>
      <w:r>
        <w:rPr>
          <w:rFonts w:ascii="宋体" w:hAnsi="宋体" w:cs="宋体" w:hint="eastAsia"/>
          <w:sz w:val="24"/>
          <w:highlight w:val="white"/>
          <w:lang w:eastAsia="zh-CN"/>
        </w:rPr>
        <w:t>及其他根据相关法律法规及中国证监会的有关规定不得列入基金费用的项目等不列入基金费用。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（五）基金管理费、基金托管费的复核程序、支付方式和时间</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1.复核程序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基金托管人对基金管理人计提的基金管理费、基金托管费等，根据本托管协议和《基金合同》的有关规定进行复核。</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2.支付方式和时间</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基金管理费、基金托管费</w:t>
      </w:r>
      <w:r>
        <w:rPr>
          <w:rFonts w:ascii="宋体" w:hAnsi="宋体" w:cs="宋体"/>
          <w:sz w:val="24"/>
          <w:highlight w:val="white"/>
          <w:lang w:eastAsia="zh-CN"/>
        </w:rPr>
        <w:t>每日计提，逐日累</w:t>
      </w:r>
      <w:r>
        <w:rPr>
          <w:rFonts w:ascii="宋体" w:hAnsi="宋体" w:cs="宋体" w:hint="eastAsia"/>
          <w:sz w:val="24"/>
          <w:highlight w:val="white"/>
          <w:lang w:eastAsia="zh-CN"/>
        </w:rPr>
        <w:t>计至每月月末，</w:t>
      </w:r>
      <w:r>
        <w:rPr>
          <w:rFonts w:ascii="宋体" w:hAnsi="宋体" w:cs="宋体"/>
          <w:sz w:val="24"/>
          <w:highlight w:val="white"/>
          <w:lang w:eastAsia="zh-CN"/>
        </w:rPr>
        <w:t>按月支付，由基金托管人根据与基金管理人核对一致的财务数据，自动在月初5个工作日内、按照指定的账户路径进行资金支付，基金管理人无需再出具资金划拨指令。若遇法定节假日、公休日等，支付日期顺延。</w:t>
      </w:r>
      <w:r>
        <w:rPr>
          <w:rFonts w:ascii="宋体" w:hAnsi="宋体" w:cs="宋体" w:hint="eastAsia"/>
          <w:sz w:val="24"/>
          <w:highlight w:val="white"/>
          <w:lang w:eastAsia="zh-CN"/>
        </w:rPr>
        <w:t>费用自动扣划后，基金管理人应进行核对，如发现数据不符，及时联系基金托管人协商解决。</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在首期支付基金管理费前，基金管理人应向基金托管人出具正式函件指定基金管理费的收款账户。基金管理人如需要变更此账户，应提前5个工作日向基金托管人出具书面的收款账户变更通知。</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（六）违规处理方式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托管人发现基金管理人违反《基金法》、《基金合同》、《运作办法》及其他有关规定从基金财产中列支费用时，基金托管人可要求基金管理人予以说明解释，如基金管理人无正当理由，基金托管人可拒绝支付。</w:t>
      </w:r>
    </w:p>
    <w:p w:rsidR="00351C78" w:rsidRDefault="00351C78">
      <w:pPr>
        <w:snapToGrid w:val="0"/>
        <w:ind w:firstLine="480"/>
        <w:rPr>
          <w:rFonts w:ascii="宋体" w:hAnsi="宋体" w:cs="宋体"/>
          <w:sz w:val="24"/>
          <w:lang w:eastAsia="zh-CN"/>
        </w:rPr>
      </w:pPr>
    </w:p>
    <w:p w:rsidR="00351C78" w:rsidRDefault="00351C78">
      <w:pPr>
        <w:snapToGrid w:val="0"/>
        <w:ind w:firstLine="480"/>
        <w:rPr>
          <w:rFonts w:ascii="宋体" w:hAnsi="宋体" w:cs="宋体"/>
          <w:sz w:val="24"/>
          <w:lang w:eastAsia="zh-CN"/>
        </w:rPr>
      </w:pPr>
    </w:p>
    <w:p w:rsidR="00351C78" w:rsidRDefault="00351C78">
      <w:pPr>
        <w:snapToGrid w:val="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0" w:name="_Toc68875914"/>
      <w:r>
        <w:rPr>
          <w:rFonts w:ascii="宋体" w:eastAsia="宋体" w:hAnsi="宋体" w:cs="宋体" w:hint="eastAsia"/>
          <w:sz w:val="30"/>
          <w:highlight w:val="white"/>
          <w:lang w:eastAsia="zh-CN"/>
        </w:rPr>
        <w:t>十二、基金份额持有人名册的保管</w:t>
      </w:r>
      <w:bookmarkEnd w:id="90"/>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ascii="宋体" w:hAnsi="宋体" w:cs="宋体"/>
          <w:sz w:val="24"/>
          <w:highlight w:val="white"/>
          <w:lang w:eastAsia="zh-CN"/>
        </w:rPr>
        <w:t>20</w:t>
      </w:r>
      <w:r>
        <w:rPr>
          <w:rFonts w:ascii="宋体" w:hAnsi="宋体" w:cs="宋体" w:hint="eastAsia"/>
          <w:sz w:val="24"/>
          <w:highlight w:val="white"/>
          <w:lang w:eastAsia="zh-CN"/>
        </w:rPr>
        <w:t>年。如不能妥善保管，则按相关法规承担责任。</w:t>
      </w:r>
    </w:p>
    <w:p w:rsidR="00351C78" w:rsidRDefault="00EB0C7E">
      <w:pPr>
        <w:snapToGrid w:val="0"/>
        <w:ind w:firstLine="480"/>
        <w:rPr>
          <w:rFonts w:ascii="宋体" w:hAnsi="宋体" w:cs="宋体"/>
          <w:sz w:val="24"/>
          <w:lang w:eastAsia="zh-CN"/>
        </w:rPr>
      </w:pPr>
      <w:r>
        <w:rPr>
          <w:rFonts w:ascii="宋体" w:hAnsi="宋体" w:cs="宋体"/>
          <w:sz w:val="24"/>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351C78" w:rsidRDefault="00351C78">
      <w:pPr>
        <w:snapToGrid w:val="0"/>
        <w:ind w:firstLine="48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1" w:name="_Toc68875915"/>
      <w:r>
        <w:rPr>
          <w:rFonts w:ascii="宋体" w:eastAsia="宋体" w:hAnsi="宋体" w:cs="宋体" w:hint="eastAsia"/>
          <w:sz w:val="30"/>
          <w:highlight w:val="white"/>
          <w:lang w:eastAsia="zh-CN"/>
        </w:rPr>
        <w:t>十三、基金有关文件档案的保存</w:t>
      </w:r>
      <w:bookmarkEnd w:id="91"/>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（一）档案保存</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 年。</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（二）合同档案的建立</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1.基金管理人签署重大合同文本后，应及时将合同文本正本送达基金托管人处。</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2.基金管理人应及时将与本基金账务处理、资金划拨等有关的合同、协议传真基金托管人。</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（三）变更与协助</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若基金管理人/基金托管人发生变更，未变更的一方有义务协助变更后的接任人接收相应文件。</w:t>
      </w:r>
    </w:p>
    <w:p w:rsidR="00351C78" w:rsidRDefault="00EB0C7E">
      <w:pPr>
        <w:snapToGrid w:val="0"/>
        <w:ind w:firstLine="480"/>
        <w:outlineLvl w:val="0"/>
        <w:rPr>
          <w:rFonts w:ascii="宋体" w:hAnsi="宋体" w:cs="宋体"/>
          <w:sz w:val="24"/>
          <w:lang w:eastAsia="zh-CN"/>
        </w:rPr>
      </w:pPr>
      <w:r>
        <w:rPr>
          <w:rFonts w:ascii="宋体" w:hAnsi="宋体" w:cs="宋体" w:hint="eastAsia"/>
          <w:sz w:val="24"/>
          <w:highlight w:val="white"/>
          <w:lang w:eastAsia="zh-CN"/>
        </w:rPr>
        <w:t>（四）基金管理人和基金托管人应按各自职责完整保存原始凭证、记账凭证、基金账册、交易记录和重要合同等，承担保密义务并保存至少20年。</w:t>
      </w:r>
    </w:p>
    <w:p w:rsidR="00351C78" w:rsidRDefault="00351C78">
      <w:pPr>
        <w:snapToGrid w:val="0"/>
        <w:rPr>
          <w:rFonts w:ascii="宋体" w:hAnsi="宋体" w:cs="宋体"/>
          <w:sz w:val="30"/>
          <w:szCs w:val="30"/>
          <w:lang w:eastAsia="zh-CN"/>
        </w:rPr>
      </w:pPr>
    </w:p>
    <w:p w:rsidR="00351C78" w:rsidRDefault="00EB0C7E">
      <w:pPr>
        <w:pStyle w:val="210"/>
        <w:jc w:val="center"/>
        <w:rPr>
          <w:rFonts w:ascii="宋体" w:eastAsia="宋体" w:hAnsi="宋体" w:cs="宋体"/>
          <w:sz w:val="30"/>
          <w:lang w:eastAsia="zh-CN"/>
        </w:rPr>
      </w:pPr>
      <w:bookmarkStart w:id="92" w:name="_Toc68875916"/>
      <w:r>
        <w:rPr>
          <w:rFonts w:ascii="宋体" w:eastAsia="宋体" w:hAnsi="宋体" w:cs="宋体" w:hint="eastAsia"/>
          <w:sz w:val="30"/>
          <w:highlight w:val="white"/>
          <w:lang w:eastAsia="zh-CN"/>
        </w:rPr>
        <w:t>十四、基金管理人和基金托管人的更换</w:t>
      </w:r>
      <w:bookmarkEnd w:id="92"/>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（一）基金管理人职责终止的情形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1.基金管理人职责终止的情形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有下列情形之一的，基金管理人职责终止：</w:t>
      </w:r>
    </w:p>
    <w:p w:rsidR="00351C78" w:rsidRDefault="00EB0C7E">
      <w:pPr>
        <w:ind w:firstLine="480"/>
        <w:rPr>
          <w:lang w:eastAsia="zh-CN"/>
        </w:rPr>
      </w:pPr>
      <w:r>
        <w:rPr>
          <w:rFonts w:ascii="宋体" w:hAnsi="宋体" w:cs="宋体"/>
          <w:sz w:val="24"/>
          <w:highlight w:val="white"/>
          <w:lang w:eastAsia="zh-CN"/>
        </w:rPr>
        <w:t>（1）被依法取消基金管理资格；</w:t>
      </w:r>
    </w:p>
    <w:p w:rsidR="00351C78" w:rsidRDefault="00EB0C7E">
      <w:pPr>
        <w:ind w:firstLine="480"/>
        <w:rPr>
          <w:lang w:eastAsia="zh-CN"/>
        </w:rPr>
      </w:pPr>
      <w:r>
        <w:rPr>
          <w:rFonts w:ascii="宋体" w:hAnsi="宋体" w:cs="宋体"/>
          <w:sz w:val="24"/>
          <w:highlight w:val="white"/>
          <w:lang w:eastAsia="zh-CN"/>
        </w:rPr>
        <w:t>（2）被基金份额持有人大会解任；</w:t>
      </w:r>
    </w:p>
    <w:p w:rsidR="00351C78" w:rsidRDefault="00EB0C7E">
      <w:pPr>
        <w:ind w:firstLine="480"/>
        <w:rPr>
          <w:lang w:eastAsia="zh-CN"/>
        </w:rPr>
      </w:pPr>
      <w:r>
        <w:rPr>
          <w:rFonts w:ascii="宋体" w:hAnsi="宋体" w:cs="宋体"/>
          <w:sz w:val="24"/>
          <w:highlight w:val="white"/>
          <w:lang w:eastAsia="zh-CN"/>
        </w:rPr>
        <w:t>（3）依法解散、被依法撤销或被依法宣告破产；</w:t>
      </w:r>
    </w:p>
    <w:p w:rsidR="00351C78" w:rsidRDefault="00EB0C7E">
      <w:pPr>
        <w:ind w:firstLine="480"/>
        <w:rPr>
          <w:lang w:eastAsia="zh-CN"/>
        </w:rPr>
      </w:pPr>
      <w:r>
        <w:rPr>
          <w:rFonts w:ascii="宋体" w:hAnsi="宋体" w:cs="宋体"/>
          <w:sz w:val="24"/>
          <w:highlight w:val="white"/>
          <w:lang w:eastAsia="zh-CN"/>
        </w:rPr>
        <w:t>（4）法律法规及中国证监会规定的和《基金合同》约定的其他情形。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2.基金管理人的更换程序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更换基金管理人必须依照如下程序进行：</w:t>
      </w:r>
    </w:p>
    <w:p w:rsidR="00351C78" w:rsidRDefault="00EB0C7E">
      <w:pPr>
        <w:ind w:firstLine="480"/>
        <w:rPr>
          <w:lang w:eastAsia="zh-CN"/>
        </w:rPr>
      </w:pPr>
      <w:r>
        <w:rPr>
          <w:rFonts w:ascii="宋体" w:hAnsi="宋体" w:cs="宋体"/>
          <w:sz w:val="24"/>
          <w:highlight w:val="white"/>
          <w:lang w:eastAsia="zh-CN"/>
        </w:rPr>
        <w:t>（1）提名：新任基金管理人由基金托管人或由单独或合计持有10%以上（含10%）基金份额的基金份额持有人提名；</w:t>
      </w:r>
    </w:p>
    <w:p w:rsidR="00351C78" w:rsidRDefault="00EB0C7E">
      <w:pPr>
        <w:ind w:firstLine="480"/>
        <w:rPr>
          <w:lang w:eastAsia="zh-CN"/>
        </w:rPr>
      </w:pPr>
      <w:r>
        <w:rPr>
          <w:rFonts w:ascii="宋体" w:hAnsi="宋体" w:cs="宋体"/>
          <w:sz w:val="24"/>
          <w:highlight w:val="white"/>
          <w:lang w:eastAsia="zh-CN"/>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351C78" w:rsidRDefault="00EB0C7E">
      <w:pPr>
        <w:ind w:firstLine="480"/>
        <w:rPr>
          <w:lang w:eastAsia="zh-CN"/>
        </w:rPr>
      </w:pPr>
      <w:r>
        <w:rPr>
          <w:rFonts w:ascii="宋体" w:hAnsi="宋体" w:cs="宋体"/>
          <w:sz w:val="24"/>
          <w:highlight w:val="white"/>
          <w:lang w:eastAsia="zh-CN"/>
        </w:rPr>
        <w:t>（3）临时基金管理人：新任基金管理人产生之前，由中国证监会指定临时基金管理人；</w:t>
      </w:r>
    </w:p>
    <w:p w:rsidR="00351C78" w:rsidRDefault="00EB0C7E">
      <w:pPr>
        <w:ind w:firstLine="480"/>
        <w:rPr>
          <w:lang w:eastAsia="zh-CN"/>
        </w:rPr>
      </w:pPr>
      <w:r>
        <w:rPr>
          <w:rFonts w:ascii="宋体" w:hAnsi="宋体" w:cs="宋体"/>
          <w:sz w:val="24"/>
          <w:highlight w:val="white"/>
          <w:lang w:eastAsia="zh-CN"/>
        </w:rPr>
        <w:t>（4）备案：基金份额持有人大会更换基金管理人的决议须报中国证监会备案；</w:t>
      </w:r>
    </w:p>
    <w:p w:rsidR="00351C78" w:rsidRDefault="00EB0C7E">
      <w:pPr>
        <w:ind w:firstLine="480"/>
        <w:rPr>
          <w:lang w:eastAsia="zh-CN"/>
        </w:rPr>
      </w:pPr>
      <w:r>
        <w:rPr>
          <w:rFonts w:ascii="宋体" w:hAnsi="宋体" w:cs="宋体"/>
          <w:sz w:val="24"/>
          <w:highlight w:val="white"/>
          <w:lang w:eastAsia="zh-CN"/>
        </w:rPr>
        <w:t>（5）公告：基金管理人更换后，由基金托管人在更换基金管理人的基金份额持有人大会决议生效后2日内在规定媒介公告；</w:t>
      </w:r>
    </w:p>
    <w:p w:rsidR="00351C78" w:rsidRDefault="00EB0C7E">
      <w:pPr>
        <w:ind w:firstLine="480"/>
        <w:rPr>
          <w:lang w:eastAsia="zh-CN"/>
        </w:rPr>
      </w:pPr>
      <w:r>
        <w:rPr>
          <w:rFonts w:ascii="宋体" w:hAnsi="宋体" w:cs="宋体"/>
          <w:sz w:val="24"/>
          <w:highlight w:val="white"/>
          <w:lang w:eastAsia="zh-CN"/>
        </w:rPr>
        <w:lastRenderedPageBreak/>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351C78" w:rsidRDefault="00EB0C7E">
      <w:pPr>
        <w:ind w:firstLine="480"/>
        <w:rPr>
          <w:lang w:eastAsia="zh-CN"/>
        </w:rPr>
      </w:pPr>
      <w:r>
        <w:rPr>
          <w:rFonts w:ascii="宋体" w:hAnsi="宋体" w:cs="宋体"/>
          <w:sz w:val="24"/>
          <w:highlight w:val="white"/>
          <w:lang w:eastAsia="zh-CN"/>
        </w:rPr>
        <w:t>（7）审计：基金管理人职责终止的，应当按照法律法规规定聘请会计师事务所对基金财产进行审计，并将审计结果予以公告，同时报中国证监会备案。审计费用从基金财产中列支；</w:t>
      </w:r>
    </w:p>
    <w:p w:rsidR="00351C78" w:rsidRDefault="00EB0C7E" w:rsidP="00702269">
      <w:pPr>
        <w:ind w:firstLine="480"/>
        <w:rPr>
          <w:rFonts w:ascii="宋体" w:hAnsi="宋体" w:cs="宋体"/>
          <w:sz w:val="24"/>
          <w:lang w:eastAsia="zh-CN"/>
        </w:rPr>
      </w:pPr>
      <w:r>
        <w:rPr>
          <w:rFonts w:ascii="宋体" w:hAnsi="宋体" w:cs="宋体"/>
          <w:sz w:val="24"/>
          <w:highlight w:val="white"/>
          <w:lang w:eastAsia="zh-CN"/>
        </w:rPr>
        <w:t>（8）基金名称变更：基金管理人更换后，如果原任或</w:t>
      </w:r>
      <w:proofErr w:type="gramStart"/>
      <w:r>
        <w:rPr>
          <w:rFonts w:ascii="宋体" w:hAnsi="宋体" w:cs="宋体"/>
          <w:sz w:val="24"/>
          <w:highlight w:val="white"/>
          <w:lang w:eastAsia="zh-CN"/>
        </w:rPr>
        <w:t>新任基金</w:t>
      </w:r>
      <w:proofErr w:type="gramEnd"/>
      <w:r>
        <w:rPr>
          <w:rFonts w:ascii="宋体" w:hAnsi="宋体" w:cs="宋体"/>
          <w:sz w:val="24"/>
          <w:highlight w:val="white"/>
          <w:lang w:eastAsia="zh-CN"/>
        </w:rPr>
        <w:t>管理人要求，应按其要求替换或删除基金名称中与</w:t>
      </w:r>
      <w:proofErr w:type="gramStart"/>
      <w:r>
        <w:rPr>
          <w:rFonts w:ascii="宋体" w:hAnsi="宋体" w:cs="宋体"/>
          <w:sz w:val="24"/>
          <w:highlight w:val="white"/>
          <w:lang w:eastAsia="zh-CN"/>
        </w:rPr>
        <w:t>原基金</w:t>
      </w:r>
      <w:proofErr w:type="gramEnd"/>
      <w:r>
        <w:rPr>
          <w:rFonts w:ascii="宋体" w:hAnsi="宋体" w:cs="宋体"/>
          <w:sz w:val="24"/>
          <w:highlight w:val="white"/>
          <w:lang w:eastAsia="zh-CN"/>
        </w:rPr>
        <w:t>管理人有关的名称字样。</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（二）基金托管人职责终止的情形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1.基金托管人职责终止的情形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有下列情形之一的，基金托管人职责终止：</w:t>
      </w:r>
    </w:p>
    <w:p w:rsidR="00351C78" w:rsidRDefault="00EB0C7E">
      <w:pPr>
        <w:ind w:firstLine="480"/>
        <w:rPr>
          <w:lang w:eastAsia="zh-CN"/>
        </w:rPr>
      </w:pPr>
      <w:r>
        <w:rPr>
          <w:rFonts w:ascii="宋体" w:hAnsi="宋体" w:cs="宋体"/>
          <w:sz w:val="24"/>
          <w:highlight w:val="white"/>
          <w:lang w:eastAsia="zh-CN"/>
        </w:rPr>
        <w:t>（1）被依法取消基金托管资格；</w:t>
      </w:r>
    </w:p>
    <w:p w:rsidR="00351C78" w:rsidRDefault="00EB0C7E">
      <w:pPr>
        <w:ind w:firstLine="480"/>
        <w:rPr>
          <w:lang w:eastAsia="zh-CN"/>
        </w:rPr>
      </w:pPr>
      <w:r>
        <w:rPr>
          <w:rFonts w:ascii="宋体" w:hAnsi="宋体" w:cs="宋体"/>
          <w:sz w:val="24"/>
          <w:highlight w:val="white"/>
          <w:lang w:eastAsia="zh-CN"/>
        </w:rPr>
        <w:t>（2）被基金份额持有人大会解任；</w:t>
      </w:r>
    </w:p>
    <w:p w:rsidR="00351C78" w:rsidRDefault="00EB0C7E">
      <w:pPr>
        <w:ind w:firstLine="480"/>
        <w:rPr>
          <w:lang w:eastAsia="zh-CN"/>
        </w:rPr>
      </w:pPr>
      <w:r>
        <w:rPr>
          <w:rFonts w:ascii="宋体" w:hAnsi="宋体" w:cs="宋体"/>
          <w:sz w:val="24"/>
          <w:highlight w:val="white"/>
          <w:lang w:eastAsia="zh-CN"/>
        </w:rPr>
        <w:t>（3）依法解散、被依法撤销或被依法宣告破产；</w:t>
      </w:r>
    </w:p>
    <w:p w:rsidR="00351C78" w:rsidRDefault="00EB0C7E" w:rsidP="00702269">
      <w:pPr>
        <w:ind w:firstLine="480"/>
        <w:rPr>
          <w:rFonts w:ascii="宋体" w:hAnsi="宋体" w:cs="宋体"/>
          <w:sz w:val="24"/>
          <w:lang w:eastAsia="zh-CN"/>
        </w:rPr>
      </w:pPr>
      <w:r>
        <w:rPr>
          <w:rFonts w:ascii="宋体" w:hAnsi="宋体" w:cs="宋体"/>
          <w:sz w:val="24"/>
          <w:highlight w:val="white"/>
          <w:lang w:eastAsia="zh-CN"/>
        </w:rPr>
        <w:t>（4）法律法规及中国证监会规定的和《基金合同》约定的其他情形。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2.基金托管人的更换程序</w:t>
      </w:r>
    </w:p>
    <w:p w:rsidR="00351C78" w:rsidRDefault="00EB0C7E">
      <w:pPr>
        <w:ind w:firstLine="480"/>
        <w:rPr>
          <w:lang w:eastAsia="zh-CN"/>
        </w:rPr>
      </w:pPr>
      <w:r>
        <w:rPr>
          <w:rFonts w:ascii="宋体" w:hAnsi="宋体" w:cs="宋体"/>
          <w:sz w:val="24"/>
          <w:highlight w:val="white"/>
          <w:lang w:eastAsia="zh-CN"/>
        </w:rPr>
        <w:t>（1）提名：新任基金托管人由基金管理人或由单独或合计持有10%以上（含10%）基金份额的基金份额持有人提名；</w:t>
      </w:r>
    </w:p>
    <w:p w:rsidR="00351C78" w:rsidRDefault="00EB0C7E">
      <w:pPr>
        <w:ind w:firstLine="480"/>
        <w:rPr>
          <w:lang w:eastAsia="zh-CN"/>
        </w:rPr>
      </w:pPr>
      <w:r>
        <w:rPr>
          <w:rFonts w:ascii="宋体" w:hAnsi="宋体" w:cs="宋体"/>
          <w:sz w:val="24"/>
          <w:highlight w:val="white"/>
          <w:lang w:eastAsia="zh-CN"/>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351C78" w:rsidRDefault="00EB0C7E">
      <w:pPr>
        <w:ind w:firstLine="480"/>
        <w:rPr>
          <w:lang w:eastAsia="zh-CN"/>
        </w:rPr>
      </w:pPr>
      <w:r>
        <w:rPr>
          <w:rFonts w:ascii="宋体" w:hAnsi="宋体" w:cs="宋体"/>
          <w:sz w:val="24"/>
          <w:highlight w:val="white"/>
          <w:lang w:eastAsia="zh-CN"/>
        </w:rPr>
        <w:t>（3）临时基金托管人：新任基金托管人产生之前，由中国证监会指定临时基金托管人；</w:t>
      </w:r>
    </w:p>
    <w:p w:rsidR="00351C78" w:rsidRDefault="00EB0C7E">
      <w:pPr>
        <w:ind w:firstLine="480"/>
        <w:rPr>
          <w:lang w:eastAsia="zh-CN"/>
        </w:rPr>
      </w:pPr>
      <w:r>
        <w:rPr>
          <w:rFonts w:ascii="宋体" w:hAnsi="宋体" w:cs="宋体"/>
          <w:sz w:val="24"/>
          <w:highlight w:val="white"/>
          <w:lang w:eastAsia="zh-CN"/>
        </w:rPr>
        <w:t>（4）备案：基金份额持有人大会更换基金托管人的决议须报中国证监会备案；</w:t>
      </w:r>
    </w:p>
    <w:p w:rsidR="00351C78" w:rsidRDefault="00EB0C7E">
      <w:pPr>
        <w:ind w:firstLine="480"/>
        <w:rPr>
          <w:lang w:eastAsia="zh-CN"/>
        </w:rPr>
      </w:pPr>
      <w:r>
        <w:rPr>
          <w:rFonts w:ascii="宋体" w:hAnsi="宋体" w:cs="宋体"/>
          <w:sz w:val="24"/>
          <w:highlight w:val="white"/>
          <w:lang w:eastAsia="zh-CN"/>
        </w:rPr>
        <w:t>（5）公告：基金托管人更换后，由基金管理人在更换基金托管人的基金份额持有人大会决议生效后2日内在规定媒介公告；</w:t>
      </w:r>
    </w:p>
    <w:p w:rsidR="00351C78" w:rsidRDefault="00EB0C7E">
      <w:pPr>
        <w:ind w:firstLine="480"/>
        <w:rPr>
          <w:lang w:eastAsia="zh-CN"/>
        </w:rPr>
      </w:pPr>
      <w:r>
        <w:rPr>
          <w:rFonts w:ascii="宋体" w:hAnsi="宋体" w:cs="宋体"/>
          <w:sz w:val="24"/>
          <w:highlight w:val="white"/>
          <w:lang w:eastAsia="zh-CN"/>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351C78" w:rsidRDefault="00EB0C7E">
      <w:pPr>
        <w:ind w:firstLine="480"/>
        <w:rPr>
          <w:lang w:eastAsia="zh-CN"/>
        </w:rPr>
      </w:pPr>
      <w:r>
        <w:rPr>
          <w:rFonts w:ascii="宋体" w:hAnsi="宋体" w:cs="宋体"/>
          <w:sz w:val="24"/>
          <w:highlight w:val="white"/>
          <w:lang w:eastAsia="zh-CN"/>
        </w:rPr>
        <w:t>（7）审计：基金托管人职责终止的，应当按照法律法规规定聘请会计师事务所对基金财产进行审计，并将审计结果予以公告，同时报中国证监会备案。审计费用从基金财产中列支。</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（三）基金管理人与基金托管人同时更换的条件和程序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w:t>
      </w:r>
      <w:r w:rsidR="005A6673">
        <w:rPr>
          <w:rFonts w:ascii="宋体" w:hAnsi="宋体" w:cs="宋体" w:hint="eastAsia"/>
          <w:sz w:val="24"/>
          <w:highlight w:val="white"/>
          <w:lang w:eastAsia="zh-CN"/>
        </w:rPr>
        <w:t>．</w:t>
      </w:r>
      <w:r>
        <w:rPr>
          <w:rFonts w:ascii="宋体" w:hAnsi="宋体" w:cs="宋体" w:hint="eastAsia"/>
          <w:sz w:val="24"/>
          <w:highlight w:val="white"/>
          <w:lang w:eastAsia="zh-CN"/>
        </w:rPr>
        <w:t>提名：如果基金管理人和基金托管人同时更换，由单独或合计持有基金总份额10%以上（含10%）的基金份额持有人提名新的基金管理人和基金托管人；</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基金管理人和基金托管人的更换分别按上述程序进行；</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w:t>
      </w:r>
      <w:r w:rsidR="005A6673">
        <w:rPr>
          <w:rFonts w:ascii="宋体" w:hAnsi="宋体" w:cs="宋体" w:hint="eastAsia"/>
          <w:sz w:val="24"/>
          <w:highlight w:val="white"/>
          <w:lang w:eastAsia="zh-CN"/>
        </w:rPr>
        <w:t>．</w:t>
      </w:r>
      <w:r>
        <w:rPr>
          <w:rFonts w:ascii="宋体" w:hAnsi="宋体" w:cs="宋体" w:hint="eastAsia"/>
          <w:sz w:val="24"/>
          <w:highlight w:val="white"/>
          <w:lang w:eastAsia="zh-CN"/>
        </w:rPr>
        <w:t>公告：</w:t>
      </w:r>
      <w:proofErr w:type="gramStart"/>
      <w:r>
        <w:rPr>
          <w:rFonts w:ascii="宋体" w:hAnsi="宋体" w:cs="宋体" w:hint="eastAsia"/>
          <w:sz w:val="24"/>
          <w:highlight w:val="white"/>
          <w:lang w:eastAsia="zh-CN"/>
        </w:rPr>
        <w:t>新任基金</w:t>
      </w:r>
      <w:proofErr w:type="gramEnd"/>
      <w:r>
        <w:rPr>
          <w:rFonts w:ascii="宋体" w:hAnsi="宋体" w:cs="宋体" w:hint="eastAsia"/>
          <w:sz w:val="24"/>
          <w:highlight w:val="white"/>
          <w:lang w:eastAsia="zh-CN"/>
        </w:rPr>
        <w:t>管理人和</w:t>
      </w:r>
      <w:proofErr w:type="gramStart"/>
      <w:r>
        <w:rPr>
          <w:rFonts w:ascii="宋体" w:hAnsi="宋体" w:cs="宋体" w:hint="eastAsia"/>
          <w:sz w:val="24"/>
          <w:highlight w:val="white"/>
          <w:lang w:eastAsia="zh-CN"/>
        </w:rPr>
        <w:t>新任基金</w:t>
      </w:r>
      <w:proofErr w:type="gramEnd"/>
      <w:r>
        <w:rPr>
          <w:rFonts w:ascii="宋体" w:hAnsi="宋体" w:cs="宋体" w:hint="eastAsia"/>
          <w:sz w:val="24"/>
          <w:highlight w:val="white"/>
          <w:lang w:eastAsia="zh-CN"/>
        </w:rPr>
        <w:t>托管人应在更换基金管理人和基金托管人的基金份额持有人大会决议生效后2日内在规定媒介上联合公告。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（四）新任或临时基金管理人接收基金管理业务或新任或临时基金托管人接</w:t>
      </w:r>
      <w:r>
        <w:rPr>
          <w:rFonts w:ascii="宋体" w:hAnsi="宋体" w:cs="宋体" w:hint="eastAsia"/>
          <w:sz w:val="24"/>
          <w:highlight w:val="white"/>
          <w:lang w:eastAsia="zh-CN"/>
        </w:rPr>
        <w:lastRenderedPageBreak/>
        <w:t>收基金财产和基金托管业务前，原基金管理人或原基金托管人应继续履行相关职责，并保证不做出对基金份额持有人的利益造成损害的行为。</w:t>
      </w:r>
    </w:p>
    <w:p w:rsidR="00351C78" w:rsidRDefault="00351C78">
      <w:pPr>
        <w:snapToGrid w:val="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3" w:name="_Toc68875917"/>
      <w:r>
        <w:rPr>
          <w:rFonts w:ascii="宋体" w:eastAsia="宋体" w:hAnsi="宋体" w:cs="宋体" w:hint="eastAsia"/>
          <w:sz w:val="30"/>
          <w:highlight w:val="white"/>
          <w:lang w:eastAsia="zh-CN"/>
        </w:rPr>
        <w:t>十五、禁止行为</w:t>
      </w:r>
      <w:bookmarkEnd w:id="93"/>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本协议当事人禁止从事的行为，包括但不限于：</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（一）基金管理人、基金托管人将其固有财产或者他人财产混同于基金财产从事证券投资。</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（二）基金管理人不公平地对待其管理的不同基金财产，基金托管人不公平地对待其托管的不同基金财产。</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（三）基金管理人、基金托管人利用基金财产为基金份额持有人以外的第三人牟取利益。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（四）基金管理人、基金托管人向基金份额持有人违规承诺收益或者承担损失。</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（五）基金管理人、基金托管人对他人泄</w:t>
      </w:r>
      <w:r w:rsidR="005A6673">
        <w:rPr>
          <w:rFonts w:ascii="宋体" w:hAnsi="宋体" w:cs="宋体" w:hint="eastAsia"/>
          <w:sz w:val="24"/>
          <w:highlight w:val="white"/>
          <w:lang w:eastAsia="zh-CN"/>
        </w:rPr>
        <w:t>露</w:t>
      </w:r>
      <w:r>
        <w:rPr>
          <w:rFonts w:ascii="宋体" w:hAnsi="宋体" w:cs="宋体" w:hint="eastAsia"/>
          <w:sz w:val="24"/>
          <w:highlight w:val="white"/>
          <w:lang w:eastAsia="zh-CN"/>
        </w:rPr>
        <w:t>基金运作和管理过程中任何尚未按法律法规规定的方式公开披露的信息。</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（六）基金管理人在没有充足资金的情况下向基金托管人发出投资指令和赎回、分红资金的划拨指令，或违规向基金托管人发出指令。</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（七）基金管理人、基金托管人在行政上、财务上不独立, 其高级管理人员和其他从业人员相互兼职。</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（八）基金托管人私自动用或处分基金财产，根据基金管理人的合法指令、《基金合同》或托管协议的规定进行处分的除外。</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（九）基金财产用于下列投资或者活动：</w:t>
      </w:r>
      <w:r>
        <w:rPr>
          <w:rFonts w:ascii="宋体" w:hAnsi="宋体" w:cs="宋体"/>
          <w:sz w:val="24"/>
          <w:highlight w:val="white"/>
          <w:lang w:eastAsia="zh-CN"/>
        </w:rPr>
        <w:t>（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Pr>
          <w:rFonts w:ascii="宋体" w:hAnsi="宋体" w:cs="宋体" w:hint="eastAsia"/>
          <w:sz w:val="24"/>
          <w:highlight w:val="white"/>
          <w:lang w:eastAsia="zh-CN"/>
        </w:rPr>
        <w:t>法律法规或监管部门取消上述限制，则本基金投资不再受相关限制。</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（十）法律法规和《基金合同》禁止的其他行为，以及依照法律、行政法规有关规定，由中国证监会规定禁止基金管理人、基金托管人从事的其他行为。</w:t>
      </w:r>
    </w:p>
    <w:p w:rsidR="00351C78" w:rsidRDefault="00351C78">
      <w:pPr>
        <w:snapToGrid w:val="0"/>
        <w:ind w:firstLine="48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4" w:name="_Toc68875918"/>
      <w:r>
        <w:rPr>
          <w:rFonts w:ascii="宋体" w:eastAsia="宋体" w:hAnsi="宋体" w:cs="宋体" w:hint="eastAsia"/>
          <w:sz w:val="30"/>
          <w:highlight w:val="white"/>
          <w:lang w:eastAsia="zh-CN"/>
        </w:rPr>
        <w:t>十六、托管协议的变更、终止与基金财产的清算</w:t>
      </w:r>
      <w:bookmarkEnd w:id="94"/>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（一）托管协议的变更程序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本协议双方当事人经协商一致，可以对协议进行修改。修改后的新协议，其内容不得与《基金合同》的规定有任何冲突。</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（二）托管协议终止的情形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1.《基金合同》终止；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2.基金托管人解散、依法被撤销、破产或由其他基金托管人接管基金资产；</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3.基金管理人解散、依法被撤销、破产或由其他基金管理人接管基金管理权；</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4.发生法律法规、中国证监会或《基金合同》规定的终止事项。</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（三）基金财产的清算</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lastRenderedPageBreak/>
        <w:t>1</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基金财产清算小组：自出现《基金合同》终止事由之日起30个工作日内成立清算小组，基金管理人组织基金财产清算小组并在中国证监会的监督下进行基金清算。</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基金财产清算小组职责：基金财产清算小组负责基金财产的保管、清理、估价、变现和分配。基金财产清算小组可以依法进行必要的民事活动。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基金财产清算程序：</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（1）《基金合同》终止情形出现时，由基金财产清算小组统一接管基金；</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（2）对基金财产和债权债务进行清理和确认；</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（3）对基金财产进行估值和变现；</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（4）制作清算报告；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（5）聘请会计师事务所对清算报告进行外部审计，聘请律师事务所对清算报告出具法律意见书；</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（6）将清算报告报中国证监会备案并公告；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（7）对基金剩余财产进行分配。</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5</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基金财产清算的期限为6个月，但因本基金所持证券的流动性受到限制而不能及时变现的，清算期限相应顺延。</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6</w:t>
      </w:r>
      <w:r w:rsidR="005A6673">
        <w:rPr>
          <w:rFonts w:ascii="宋体" w:hAnsi="宋体" w:cs="宋体" w:hint="eastAsia"/>
          <w:sz w:val="24"/>
          <w:highlight w:val="white"/>
          <w:lang w:eastAsia="zh-CN"/>
        </w:rPr>
        <w:t>.</w:t>
      </w:r>
      <w:r>
        <w:rPr>
          <w:rFonts w:ascii="宋体" w:hAnsi="宋体" w:cs="宋体" w:hint="eastAsia"/>
          <w:sz w:val="24"/>
          <w:highlight w:val="white"/>
          <w:lang w:eastAsia="zh-CN"/>
        </w:rPr>
        <w:t>清算费用</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清算费用是指基金财产清算小组在进行基金清算过程中发生的所有合理费用，清算费用由基金财产清算小组优先从基金财产中支付。</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7</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基金财产清算剩余资产的分配</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8</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基金财产清算的公告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9</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基金财产清算账册及文件的保存</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基金财产清算账册及有关文件由基金托管人保存20年以上。</w:t>
      </w:r>
    </w:p>
    <w:p w:rsidR="00351C78" w:rsidRDefault="00351C78">
      <w:pPr>
        <w:ind w:firstLine="480"/>
        <w:rPr>
          <w:rFonts w:ascii="宋体" w:hAnsi="宋体" w:cs="宋体"/>
          <w:sz w:val="24"/>
          <w:lang w:eastAsia="zh-CN"/>
        </w:rPr>
      </w:pPr>
    </w:p>
    <w:p w:rsidR="00351C78" w:rsidRDefault="00351C78">
      <w:pPr>
        <w:ind w:firstLine="480"/>
        <w:rPr>
          <w:rFonts w:ascii="宋体" w:hAnsi="宋体" w:cs="宋体"/>
          <w:sz w:val="24"/>
          <w:lang w:eastAsia="zh-CN"/>
        </w:rPr>
      </w:pPr>
    </w:p>
    <w:p w:rsidR="00351C78" w:rsidRDefault="00351C78">
      <w:pPr>
        <w:ind w:firstLine="480"/>
        <w:rPr>
          <w:rFonts w:ascii="宋体" w:hAnsi="宋体" w:cs="宋体"/>
          <w:sz w:val="24"/>
          <w:lang w:eastAsia="zh-CN"/>
        </w:rPr>
      </w:pPr>
    </w:p>
    <w:p w:rsidR="00351C78" w:rsidRDefault="00351C78">
      <w:pPr>
        <w:snapToGrid w:val="0"/>
        <w:ind w:firstLine="48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5" w:name="_Toc68875919"/>
      <w:r>
        <w:rPr>
          <w:rFonts w:ascii="宋体" w:eastAsia="宋体" w:hAnsi="宋体" w:cs="宋体" w:hint="eastAsia"/>
          <w:sz w:val="30"/>
          <w:highlight w:val="white"/>
          <w:lang w:eastAsia="zh-CN"/>
        </w:rPr>
        <w:t>十七、违约责任</w:t>
      </w:r>
      <w:bookmarkEnd w:id="95"/>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（一）基金管理人、基金托管人不履行本协议或履行本协议不符合约定的，应当承担违约责任。</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（二）基金管理人、基金托管人在履行各自职责的过程中，违反《基金法》或者《基金合同》和本托管协议约定，给基金财产或者基金份额持有人造成损害</w:t>
      </w:r>
      <w:r>
        <w:rPr>
          <w:rFonts w:ascii="宋体" w:hAnsi="宋体" w:cs="宋体" w:hint="eastAsia"/>
          <w:sz w:val="24"/>
          <w:highlight w:val="white"/>
          <w:lang w:eastAsia="zh-CN"/>
        </w:rPr>
        <w:lastRenderedPageBreak/>
        <w:t>的，应当分别对各自的行为依法承担赔偿责任；因共同行为给基金财产或者基金份额持有人造成损害的，应当承担连带赔偿责任，对损失的赔偿，仅限于直接损失。</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1</w:t>
      </w:r>
      <w:r w:rsidR="005A6673">
        <w:rPr>
          <w:rFonts w:ascii="宋体" w:hAnsi="宋体" w:cs="宋体" w:hint="eastAsia"/>
          <w:sz w:val="24"/>
          <w:highlight w:val="white"/>
          <w:lang w:eastAsia="zh-CN"/>
        </w:rPr>
        <w:t>.</w:t>
      </w:r>
      <w:r>
        <w:rPr>
          <w:rFonts w:ascii="宋体" w:hAnsi="宋体" w:cs="宋体" w:hint="eastAsia"/>
          <w:sz w:val="24"/>
          <w:highlight w:val="white"/>
          <w:lang w:eastAsia="zh-CN"/>
        </w:rPr>
        <w:t>不可抗力；</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2</w:t>
      </w:r>
      <w:r w:rsidR="005A6673">
        <w:rPr>
          <w:rFonts w:ascii="宋体" w:hAnsi="宋体" w:cs="宋体" w:hint="eastAsia"/>
          <w:sz w:val="24"/>
          <w:highlight w:val="white"/>
          <w:lang w:eastAsia="zh-CN"/>
        </w:rPr>
        <w:t>.</w:t>
      </w:r>
      <w:r>
        <w:rPr>
          <w:rFonts w:ascii="宋体" w:hAnsi="宋体" w:cs="宋体" w:hint="eastAsia"/>
          <w:sz w:val="24"/>
          <w:highlight w:val="white"/>
          <w:lang w:eastAsia="zh-CN"/>
        </w:rPr>
        <w:t>基金管理人和/或基金托管人按照当时有效的法律法规或中国证监会的规定作为或不作为而造成的损失等；</w:t>
      </w:r>
    </w:p>
    <w:p w:rsidR="00351C78" w:rsidRDefault="00EB0C7E">
      <w:pPr>
        <w:snapToGrid w:val="0"/>
        <w:ind w:firstLine="480"/>
        <w:rPr>
          <w:rFonts w:ascii="宋体" w:hAnsi="宋体" w:cs="宋体"/>
          <w:sz w:val="24"/>
          <w:highlight w:val="white"/>
          <w:lang w:eastAsia="zh-CN"/>
        </w:rPr>
      </w:pPr>
      <w:r>
        <w:rPr>
          <w:rFonts w:ascii="宋体" w:hAnsi="宋体" w:cs="宋体"/>
          <w:sz w:val="24"/>
          <w:highlight w:val="white"/>
          <w:lang w:eastAsia="zh-CN"/>
        </w:rPr>
        <w:t>3</w:t>
      </w:r>
      <w:r w:rsidR="005A6673">
        <w:rPr>
          <w:rFonts w:ascii="宋体" w:hAnsi="宋体" w:cs="宋体" w:hint="eastAsia"/>
          <w:sz w:val="24"/>
          <w:highlight w:val="white"/>
          <w:lang w:eastAsia="zh-CN"/>
        </w:rPr>
        <w:t>.</w:t>
      </w:r>
      <w:r>
        <w:rPr>
          <w:rFonts w:ascii="宋体" w:hAnsi="宋体" w:cs="宋体"/>
          <w:sz w:val="24"/>
          <w:highlight w:val="white"/>
          <w:lang w:eastAsia="zh-CN"/>
        </w:rPr>
        <w:t>在没有过错的情况下，基金管理人由于按照基金合同规定的投资原则投资或不投资造成的直接损失或潜在损失等。</w:t>
      </w:r>
    </w:p>
    <w:p w:rsidR="00351C78" w:rsidRDefault="00EB0C7E">
      <w:pPr>
        <w:snapToGrid w:val="0"/>
        <w:ind w:firstLine="480"/>
        <w:rPr>
          <w:rFonts w:ascii="宋体" w:hAnsi="宋体" w:cs="宋体"/>
          <w:sz w:val="24"/>
          <w:highlight w:val="white"/>
          <w:lang w:eastAsia="zh-CN"/>
        </w:rPr>
      </w:pPr>
      <w:r>
        <w:rPr>
          <w:rFonts w:ascii="宋体" w:hAnsi="宋体" w:cs="宋体"/>
          <w:sz w:val="24"/>
          <w:highlight w:val="white"/>
          <w:lang w:eastAsia="zh-CN"/>
        </w:rPr>
        <w:t>4</w:t>
      </w:r>
      <w:r w:rsidR="005A6673">
        <w:rPr>
          <w:rFonts w:ascii="宋体" w:hAnsi="宋体" w:cs="宋体" w:hint="eastAsia"/>
          <w:sz w:val="24"/>
          <w:highlight w:val="white"/>
          <w:lang w:eastAsia="zh-CN"/>
        </w:rPr>
        <w:t>.</w:t>
      </w:r>
      <w:r>
        <w:rPr>
          <w:rFonts w:ascii="宋体" w:hAnsi="宋体" w:cs="宋体"/>
          <w:sz w:val="24"/>
          <w:highlight w:val="white"/>
          <w:lang w:eastAsia="zh-CN"/>
        </w:rPr>
        <w:t>非因基金管理人、基金托管人的故意或重大过失造成的计算机系统故障、网络故障、通讯故障、电力故障、计算机病毒攻击及其它意外事故所导致的损失等。</w:t>
      </w:r>
    </w:p>
    <w:p w:rsidR="00351C78" w:rsidRDefault="00351C78">
      <w:pPr>
        <w:snapToGrid w:val="0"/>
        <w:ind w:firstLine="480"/>
        <w:rPr>
          <w:rFonts w:ascii="宋体" w:hAnsi="宋体" w:cs="宋体"/>
          <w:sz w:val="24"/>
          <w:lang w:eastAsia="zh-CN"/>
        </w:rPr>
      </w:pP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（五）违约行为虽已发生，但本托管协议能够继续履行的，在最大限度地保护基金份额持有人利益的前提下，基金管理人和基金托管人应当继续履行本协议。</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51C78" w:rsidRDefault="00351C78">
      <w:pPr>
        <w:snapToGrid w:val="0"/>
        <w:outlineLvl w:val="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6" w:name="_Toc68875920"/>
      <w:r>
        <w:rPr>
          <w:rFonts w:ascii="宋体" w:eastAsia="宋体" w:hAnsi="宋体" w:cs="宋体" w:hint="eastAsia"/>
          <w:sz w:val="30"/>
          <w:highlight w:val="white"/>
          <w:lang w:eastAsia="zh-CN"/>
        </w:rPr>
        <w:t>十八、争议解决方式</w:t>
      </w:r>
      <w:bookmarkEnd w:id="96"/>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争议处理期间，双方当事人应恪守基金管理人和基金托管人职责，各自继续忠实、勤勉、尽责地履行《基金合同》和本托管协议规定的义务，维护基金份额持有人的合法权益。</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本协议受中国法律管辖。</w:t>
      </w:r>
    </w:p>
    <w:p w:rsidR="00351C78" w:rsidRDefault="00351C78">
      <w:pPr>
        <w:snapToGrid w:val="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7" w:name="_Toc68875921"/>
      <w:r>
        <w:rPr>
          <w:rFonts w:ascii="宋体" w:eastAsia="宋体" w:hAnsi="宋体" w:cs="宋体" w:hint="eastAsia"/>
          <w:sz w:val="30"/>
          <w:highlight w:val="white"/>
          <w:lang w:eastAsia="zh-CN"/>
        </w:rPr>
        <w:t>十九、托管协议的效力</w:t>
      </w:r>
      <w:bookmarkEnd w:id="97"/>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双方对托管协议的效力约定如下：</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lastRenderedPageBreak/>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（二）托管协议自《基金合同》成立之日起成立，自《基金合同》生效之日起生效。托管协议的有效期自其生效之日起至基金财产清算结果报中国证监会备案并公告之日止。</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（三）托管协议自生效之日起对托管协议当事人具有同等的法律约束力。</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（四）本协议</w:t>
      </w:r>
      <w:r>
        <w:rPr>
          <w:rFonts w:ascii="宋体" w:hAnsi="宋体" w:cs="宋体"/>
          <w:sz w:val="24"/>
          <w:highlight w:val="white"/>
          <w:lang w:eastAsia="zh-CN"/>
        </w:rPr>
        <w:t>正本一式</w:t>
      </w:r>
      <w:r>
        <w:rPr>
          <w:rFonts w:ascii="宋体" w:hAnsi="宋体" w:cs="宋体" w:hint="eastAsia"/>
          <w:sz w:val="24"/>
          <w:highlight w:val="white"/>
          <w:lang w:eastAsia="zh-CN"/>
        </w:rPr>
        <w:t>六份，除</w:t>
      </w:r>
      <w:r>
        <w:rPr>
          <w:rFonts w:ascii="宋体" w:hAnsi="宋体" w:cs="宋体"/>
          <w:sz w:val="24"/>
          <w:highlight w:val="white"/>
          <w:lang w:eastAsia="zh-CN"/>
        </w:rPr>
        <w:t>上报有关监</w:t>
      </w:r>
      <w:r>
        <w:rPr>
          <w:rFonts w:ascii="宋体" w:hAnsi="宋体" w:cs="宋体" w:hint="eastAsia"/>
          <w:sz w:val="24"/>
          <w:highlight w:val="white"/>
          <w:lang w:eastAsia="zh-CN"/>
        </w:rPr>
        <w:t>管</w:t>
      </w:r>
      <w:r>
        <w:rPr>
          <w:rFonts w:ascii="宋体" w:hAnsi="宋体" w:cs="宋体"/>
          <w:sz w:val="24"/>
          <w:highlight w:val="white"/>
          <w:lang w:eastAsia="zh-CN"/>
        </w:rPr>
        <w:t>机构</w:t>
      </w:r>
      <w:r>
        <w:rPr>
          <w:rFonts w:ascii="宋体" w:hAnsi="宋体" w:cs="宋体" w:hint="eastAsia"/>
          <w:sz w:val="24"/>
          <w:highlight w:val="white"/>
          <w:lang w:eastAsia="zh-CN"/>
        </w:rPr>
        <w:t>二</w:t>
      </w:r>
      <w:r>
        <w:rPr>
          <w:rFonts w:ascii="宋体" w:hAnsi="宋体" w:cs="宋体"/>
          <w:sz w:val="24"/>
          <w:highlight w:val="white"/>
          <w:lang w:eastAsia="zh-CN"/>
        </w:rPr>
        <w:t>份外，基金管理人、基金托管人各持有</w:t>
      </w:r>
      <w:r>
        <w:rPr>
          <w:rFonts w:ascii="宋体" w:hAnsi="宋体" w:cs="宋体" w:hint="eastAsia"/>
          <w:sz w:val="24"/>
          <w:highlight w:val="white"/>
          <w:lang w:eastAsia="zh-CN"/>
        </w:rPr>
        <w:t>二</w:t>
      </w:r>
      <w:r>
        <w:rPr>
          <w:rFonts w:ascii="宋体" w:hAnsi="宋体" w:cs="宋体"/>
          <w:sz w:val="24"/>
          <w:highlight w:val="white"/>
          <w:lang w:eastAsia="zh-CN"/>
        </w:rPr>
        <w:t>份，每份具有同等的法律效力。</w:t>
      </w:r>
    </w:p>
    <w:p w:rsidR="00351C78" w:rsidRDefault="00351C78">
      <w:pPr>
        <w:snapToGrid w:val="0"/>
        <w:rPr>
          <w:rFonts w:ascii="宋体" w:hAnsi="宋体" w:cs="宋体"/>
          <w:sz w:val="24"/>
          <w:lang w:eastAsia="zh-CN"/>
        </w:rPr>
      </w:pPr>
    </w:p>
    <w:p w:rsidR="00351C78" w:rsidRDefault="00EB0C7E">
      <w:pPr>
        <w:pStyle w:val="210"/>
        <w:jc w:val="center"/>
        <w:rPr>
          <w:rFonts w:ascii="宋体" w:eastAsia="宋体" w:hAnsi="宋体" w:cs="宋体"/>
          <w:sz w:val="30"/>
          <w:lang w:eastAsia="zh-CN"/>
        </w:rPr>
      </w:pPr>
      <w:bookmarkStart w:id="98" w:name="_Toc68875922"/>
      <w:r>
        <w:rPr>
          <w:rFonts w:ascii="宋体" w:eastAsia="宋体" w:hAnsi="宋体" w:cs="宋体" w:hint="eastAsia"/>
          <w:sz w:val="30"/>
          <w:highlight w:val="white"/>
          <w:lang w:eastAsia="zh-CN"/>
        </w:rPr>
        <w:t>二十、其他事项</w:t>
      </w:r>
      <w:bookmarkEnd w:id="98"/>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如发生有权司法机关依法冻结基金份额持有人的基金份额时，基金管理人应予以配合，承担司法协助义务。</w:t>
      </w:r>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除本协议有明确定义外，本协议的用语定义适用《基金合同》的约定。本协议未尽事宜，当事人依据《基金合同》、有关法律法规等规定协商办理。</w:t>
      </w:r>
    </w:p>
    <w:p w:rsidR="00351C78" w:rsidRDefault="00351C78">
      <w:pPr>
        <w:snapToGrid w:val="0"/>
        <w:rPr>
          <w:rFonts w:ascii="宋体" w:hAnsi="宋体" w:cs="宋体"/>
          <w:b/>
          <w:bCs/>
          <w:lang w:eastAsia="zh-CN"/>
        </w:rPr>
      </w:pPr>
    </w:p>
    <w:p w:rsidR="00351C78" w:rsidRDefault="00EB0C7E">
      <w:pPr>
        <w:pStyle w:val="210"/>
        <w:jc w:val="center"/>
        <w:rPr>
          <w:rFonts w:ascii="宋体" w:eastAsia="宋体" w:hAnsi="宋体" w:cs="宋体"/>
          <w:sz w:val="30"/>
          <w:lang w:eastAsia="zh-CN"/>
        </w:rPr>
      </w:pPr>
      <w:bookmarkStart w:id="99" w:name="_Toc68875923"/>
      <w:r>
        <w:rPr>
          <w:rFonts w:ascii="宋体" w:eastAsia="宋体" w:hAnsi="宋体" w:cs="宋体" w:hint="eastAsia"/>
          <w:sz w:val="30"/>
          <w:highlight w:val="white"/>
          <w:lang w:eastAsia="zh-CN"/>
        </w:rPr>
        <w:t>二十一、托管协议的签订</w:t>
      </w:r>
      <w:bookmarkEnd w:id="99"/>
    </w:p>
    <w:p w:rsidR="00351C78" w:rsidRDefault="00EB0C7E">
      <w:pPr>
        <w:snapToGrid w:val="0"/>
        <w:ind w:firstLine="480"/>
        <w:rPr>
          <w:rFonts w:ascii="宋体" w:hAnsi="宋体" w:cs="宋体"/>
          <w:sz w:val="24"/>
          <w:lang w:eastAsia="zh-CN"/>
        </w:rPr>
      </w:pPr>
      <w:r>
        <w:rPr>
          <w:rFonts w:ascii="宋体" w:hAnsi="宋体" w:cs="宋体" w:hint="eastAsia"/>
          <w:sz w:val="24"/>
          <w:highlight w:val="white"/>
          <w:lang w:eastAsia="zh-CN"/>
        </w:rPr>
        <w:t>本协议双方法定代表人或授权代表签章、签订地、签订日</w:t>
      </w:r>
    </w:p>
    <w:p w:rsidR="00351C78" w:rsidRDefault="00351C78">
      <w:pPr>
        <w:widowControl/>
        <w:spacing w:beforeAutospacing="1" w:afterAutospacing="1"/>
        <w:jc w:val="left"/>
        <w:rPr>
          <w:rFonts w:ascii="宋体" w:hAnsi="宋体" w:cs="宋体"/>
          <w:sz w:val="24"/>
          <w:lang w:eastAsia="zh-CN"/>
        </w:rPr>
        <w:sectPr w:rsidR="00351C78">
          <w:headerReference w:type="default" r:id="rId8"/>
          <w:pgSz w:w="11906" w:h="16838"/>
          <w:pgMar w:top="1418" w:right="1701" w:bottom="1418" w:left="1701" w:header="851" w:footer="992" w:gutter="0"/>
          <w:cols w:space="720"/>
          <w:docGrid w:type="lines" w:linePitch="312"/>
        </w:sectPr>
      </w:pP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lastRenderedPageBreak/>
        <w:t>本页无正文，为《</w:t>
      </w:r>
      <w:r>
        <w:rPr>
          <w:rFonts w:ascii="宋体" w:hAnsi="宋体" w:cs="宋体" w:hint="eastAsia"/>
          <w:sz w:val="24"/>
          <w:lang w:eastAsia="zh-CN"/>
        </w:rPr>
        <w:t>易方达国证港股通科技交易型开放式指数证券投资基金</w:t>
      </w:r>
      <w:r>
        <w:rPr>
          <w:rFonts w:ascii="宋体" w:hAnsi="宋体" w:cs="宋体" w:hint="eastAsia"/>
          <w:sz w:val="24"/>
          <w:highlight w:val="white"/>
          <w:lang w:eastAsia="zh-CN"/>
        </w:rPr>
        <w:t>托管协议》的签字盖章页。</w:t>
      </w:r>
    </w:p>
    <w:p w:rsidR="00351C78" w:rsidRDefault="00351C78">
      <w:pPr>
        <w:spacing w:line="360" w:lineRule="auto"/>
        <w:rPr>
          <w:rFonts w:ascii="宋体" w:hAnsi="宋体" w:cs="宋体"/>
          <w:sz w:val="24"/>
          <w:lang w:eastAsia="zh-CN"/>
        </w:rPr>
      </w:pP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t>《托管协议》当事人盖章及法定代表人或授权代表签</w:t>
      </w:r>
      <w:r>
        <w:rPr>
          <w:rFonts w:ascii="宋体" w:hAnsi="宋体" w:cs="宋体"/>
          <w:sz w:val="24"/>
          <w:highlight w:val="white"/>
          <w:lang w:eastAsia="zh-CN"/>
        </w:rPr>
        <w:t>字/签章、签订地、签订日</w:t>
      </w:r>
    </w:p>
    <w:p w:rsidR="00351C78" w:rsidRDefault="00351C78">
      <w:pPr>
        <w:spacing w:line="360" w:lineRule="auto"/>
        <w:ind w:right="26"/>
        <w:rPr>
          <w:rFonts w:ascii="宋体" w:hAnsi="宋体" w:cs="宋体"/>
          <w:sz w:val="24"/>
          <w:lang w:eastAsia="zh-CN"/>
        </w:rPr>
      </w:pPr>
    </w:p>
    <w:p w:rsidR="005811FA" w:rsidRDefault="005811FA">
      <w:pPr>
        <w:spacing w:line="360" w:lineRule="auto"/>
        <w:ind w:right="26"/>
        <w:rPr>
          <w:rFonts w:ascii="宋体" w:hAnsi="宋体" w:cs="宋体"/>
          <w:sz w:val="24"/>
          <w:lang w:eastAsia="zh-CN"/>
        </w:rPr>
      </w:pPr>
    </w:p>
    <w:p w:rsidR="005811FA" w:rsidRDefault="005811FA">
      <w:pPr>
        <w:spacing w:line="360" w:lineRule="auto"/>
        <w:ind w:right="26"/>
        <w:rPr>
          <w:rFonts w:ascii="宋体" w:hAnsi="宋体" w:cs="宋体"/>
          <w:sz w:val="24"/>
          <w:lang w:eastAsia="zh-CN"/>
        </w:rPr>
      </w:pP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t>基金管理人：易方达基金管理有限公司（章）</w:t>
      </w:r>
    </w:p>
    <w:p w:rsidR="00351C78" w:rsidRDefault="00351C78">
      <w:pPr>
        <w:spacing w:line="360" w:lineRule="auto"/>
        <w:ind w:right="26"/>
        <w:rPr>
          <w:rFonts w:ascii="宋体" w:hAnsi="宋体" w:cs="宋体"/>
          <w:sz w:val="24"/>
          <w:lang w:eastAsia="zh-CN"/>
        </w:rPr>
      </w:pPr>
    </w:p>
    <w:p w:rsidR="005811FA" w:rsidRDefault="005811FA">
      <w:pPr>
        <w:spacing w:line="360" w:lineRule="auto"/>
        <w:ind w:right="26"/>
        <w:rPr>
          <w:rFonts w:ascii="宋体" w:hAnsi="宋体" w:cs="宋体"/>
          <w:sz w:val="24"/>
          <w:lang w:eastAsia="zh-CN"/>
        </w:rPr>
      </w:pPr>
    </w:p>
    <w:p w:rsidR="005811FA" w:rsidRDefault="005811FA">
      <w:pPr>
        <w:spacing w:line="360" w:lineRule="auto"/>
        <w:ind w:right="26"/>
        <w:rPr>
          <w:rFonts w:ascii="宋体" w:hAnsi="宋体" w:cs="宋体"/>
          <w:sz w:val="24"/>
          <w:lang w:eastAsia="zh-CN"/>
        </w:rPr>
      </w:pP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t>法定代表人或授权代表（签字/签章）：</w:t>
      </w:r>
    </w:p>
    <w:p w:rsidR="00351C78" w:rsidRDefault="00351C78">
      <w:pPr>
        <w:spacing w:line="360" w:lineRule="auto"/>
        <w:ind w:right="26"/>
        <w:rPr>
          <w:rFonts w:ascii="宋体" w:hAnsi="宋体" w:cs="宋体"/>
          <w:sz w:val="24"/>
          <w:lang w:eastAsia="zh-CN"/>
        </w:rPr>
      </w:pPr>
    </w:p>
    <w:p w:rsidR="005811FA" w:rsidRDefault="005811FA">
      <w:pPr>
        <w:spacing w:line="360" w:lineRule="auto"/>
        <w:ind w:right="26"/>
        <w:rPr>
          <w:rFonts w:ascii="宋体" w:hAnsi="宋体" w:cs="宋体"/>
          <w:sz w:val="24"/>
          <w:lang w:eastAsia="zh-CN"/>
        </w:rPr>
      </w:pPr>
    </w:p>
    <w:p w:rsidR="00351C78" w:rsidRDefault="00351C78">
      <w:pPr>
        <w:spacing w:line="360" w:lineRule="auto"/>
        <w:ind w:right="26"/>
        <w:rPr>
          <w:rFonts w:ascii="宋体" w:hAnsi="宋体" w:cs="宋体"/>
          <w:sz w:val="24"/>
          <w:lang w:eastAsia="zh-CN"/>
        </w:rPr>
      </w:pPr>
    </w:p>
    <w:p w:rsidR="005811FA" w:rsidRDefault="005811FA">
      <w:pPr>
        <w:spacing w:line="360" w:lineRule="auto"/>
        <w:ind w:right="26"/>
        <w:rPr>
          <w:rFonts w:ascii="宋体" w:hAnsi="宋体" w:cs="宋体"/>
          <w:sz w:val="24"/>
          <w:lang w:eastAsia="zh-CN"/>
        </w:rPr>
      </w:pPr>
    </w:p>
    <w:p w:rsidR="00351C78" w:rsidRDefault="00351C78">
      <w:pPr>
        <w:spacing w:line="360" w:lineRule="auto"/>
        <w:ind w:right="26"/>
        <w:rPr>
          <w:rFonts w:ascii="宋体" w:hAnsi="宋体" w:cs="宋体"/>
          <w:sz w:val="24"/>
          <w:lang w:eastAsia="zh-CN"/>
        </w:rPr>
      </w:pP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t>基金托管人：中国建设银行股份有限公司（章）</w:t>
      </w:r>
    </w:p>
    <w:p w:rsidR="00351C78" w:rsidRDefault="00351C78">
      <w:pPr>
        <w:spacing w:line="360" w:lineRule="auto"/>
        <w:ind w:right="26"/>
        <w:rPr>
          <w:rFonts w:ascii="宋体" w:hAnsi="宋体" w:cs="宋体"/>
          <w:sz w:val="24"/>
          <w:lang w:eastAsia="zh-CN"/>
        </w:rPr>
      </w:pPr>
    </w:p>
    <w:p w:rsidR="00351C78" w:rsidRDefault="00351C78">
      <w:pPr>
        <w:spacing w:line="360" w:lineRule="auto"/>
        <w:ind w:right="26"/>
        <w:rPr>
          <w:rFonts w:ascii="宋体" w:hAnsi="宋体" w:cs="宋体"/>
          <w:sz w:val="24"/>
          <w:lang w:eastAsia="zh-CN"/>
        </w:rPr>
      </w:pPr>
    </w:p>
    <w:p w:rsidR="00351C78" w:rsidRDefault="00351C78">
      <w:pPr>
        <w:spacing w:line="360" w:lineRule="auto"/>
        <w:ind w:right="26"/>
        <w:rPr>
          <w:rFonts w:ascii="宋体" w:hAnsi="宋体" w:cs="宋体"/>
          <w:sz w:val="24"/>
          <w:lang w:eastAsia="zh-CN"/>
        </w:rPr>
      </w:pP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t>法定代表人或授权代表（签字/签章）：</w:t>
      </w:r>
    </w:p>
    <w:p w:rsidR="005811FA" w:rsidRDefault="005811FA">
      <w:pPr>
        <w:spacing w:line="360" w:lineRule="auto"/>
        <w:ind w:right="26"/>
        <w:rPr>
          <w:rFonts w:ascii="宋体" w:hAnsi="宋体" w:cs="宋体"/>
          <w:sz w:val="24"/>
          <w:highlight w:val="white"/>
          <w:lang w:eastAsia="zh-CN"/>
        </w:rPr>
      </w:pPr>
    </w:p>
    <w:p w:rsidR="005811FA" w:rsidRDefault="005811FA">
      <w:pPr>
        <w:spacing w:line="360" w:lineRule="auto"/>
        <w:ind w:right="26"/>
        <w:rPr>
          <w:rFonts w:ascii="宋体" w:hAnsi="宋体" w:cs="宋体"/>
          <w:sz w:val="24"/>
          <w:highlight w:val="white"/>
          <w:lang w:eastAsia="zh-CN"/>
        </w:rPr>
      </w:pP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t>签订地点：</w:t>
      </w:r>
    </w:p>
    <w:p w:rsidR="00351C78" w:rsidRDefault="00EB0C7E">
      <w:pPr>
        <w:spacing w:line="360" w:lineRule="auto"/>
        <w:ind w:right="26"/>
        <w:rPr>
          <w:rFonts w:ascii="宋体" w:hAnsi="宋体" w:cs="宋体"/>
          <w:sz w:val="24"/>
          <w:lang w:eastAsia="zh-CN"/>
        </w:rPr>
      </w:pPr>
      <w:r>
        <w:rPr>
          <w:rFonts w:ascii="宋体" w:hAnsi="宋体" w:cs="宋体" w:hint="eastAsia"/>
          <w:sz w:val="24"/>
          <w:highlight w:val="white"/>
          <w:lang w:eastAsia="zh-CN"/>
        </w:rPr>
        <w:t xml:space="preserve">签订日：   </w:t>
      </w:r>
      <w:r>
        <w:rPr>
          <w:rFonts w:ascii="宋体" w:hAnsi="宋体" w:cs="宋体"/>
          <w:sz w:val="24"/>
          <w:highlight w:val="white"/>
          <w:lang w:eastAsia="zh-CN"/>
        </w:rPr>
        <w:t xml:space="preserve"> </w:t>
      </w:r>
      <w:r>
        <w:rPr>
          <w:rFonts w:ascii="宋体" w:hAnsi="宋体" w:cs="宋体" w:hint="eastAsia"/>
          <w:sz w:val="24"/>
          <w:highlight w:val="white"/>
          <w:lang w:eastAsia="zh-CN"/>
        </w:rPr>
        <w:t>年</w:t>
      </w:r>
      <w:r>
        <w:rPr>
          <w:rFonts w:ascii="宋体" w:hAnsi="宋体" w:cs="宋体"/>
          <w:sz w:val="24"/>
          <w:highlight w:val="white"/>
          <w:lang w:eastAsia="zh-CN"/>
        </w:rPr>
        <w:t xml:space="preserve"> </w:t>
      </w:r>
      <w:r>
        <w:rPr>
          <w:rFonts w:ascii="宋体" w:hAnsi="宋体" w:cs="宋体" w:hint="eastAsia"/>
          <w:sz w:val="24"/>
          <w:highlight w:val="white"/>
          <w:lang w:eastAsia="zh-CN"/>
        </w:rPr>
        <w:t xml:space="preserve">  月</w:t>
      </w:r>
      <w:r>
        <w:rPr>
          <w:rFonts w:ascii="宋体" w:hAnsi="宋体" w:cs="宋体"/>
          <w:sz w:val="24"/>
          <w:highlight w:val="white"/>
          <w:lang w:eastAsia="zh-CN"/>
        </w:rPr>
        <w:t xml:space="preserve"> </w:t>
      </w:r>
      <w:r>
        <w:rPr>
          <w:rFonts w:ascii="宋体" w:hAnsi="宋体" w:cs="宋体" w:hint="eastAsia"/>
          <w:sz w:val="24"/>
          <w:highlight w:val="white"/>
          <w:lang w:eastAsia="zh-CN"/>
        </w:rPr>
        <w:t xml:space="preserve">  日</w:t>
      </w:r>
    </w:p>
    <w:p w:rsidR="00351C78" w:rsidRDefault="00351C78">
      <w:pPr>
        <w:spacing w:line="360" w:lineRule="auto"/>
        <w:rPr>
          <w:rFonts w:ascii="宋体" w:hAnsi="宋体" w:cs="宋体"/>
          <w:lang w:eastAsia="zh-CN"/>
        </w:rPr>
      </w:pPr>
    </w:p>
    <w:sectPr w:rsidR="00351C78">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66" w:rsidRDefault="00C23066">
      <w:r>
        <w:separator/>
      </w:r>
    </w:p>
  </w:endnote>
  <w:endnote w:type="continuationSeparator" w:id="0">
    <w:p w:rsidR="00C23066" w:rsidRDefault="00C2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font>
  <w:font w:name="方正仿宋简体">
    <w:altName w:val="创艺简"/>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161314"/>
      <w:placeholder>
        <w:docPart w:val="9a1149f66b8240a793fee1d912384d1a"/>
      </w:placeholder>
    </w:sdtPr>
    <w:sdtEndPr/>
    <w:sdtContent>
      <w:p w:rsidR="00351C78" w:rsidRDefault="00EB0C7E">
        <w:pPr>
          <w:pStyle w:val="12"/>
          <w:snapToGrid/>
          <w:jc w:val="center"/>
        </w:pPr>
        <w:r>
          <w:fldChar w:fldCharType="begin"/>
        </w:r>
        <w:r>
          <w:rPr>
            <w:highlight w:val="white"/>
          </w:rPr>
          <w:instrText>PAGE   \* MERGEFORMAT</w:instrText>
        </w:r>
        <w:r>
          <w:fldChar w:fldCharType="separate"/>
        </w:r>
        <w:r w:rsidR="00702269" w:rsidRPr="00702269">
          <w:rPr>
            <w:noProof/>
            <w:highlight w:val="white"/>
            <w:lang w:val="zh-CN"/>
          </w:rPr>
          <w:t>1</w:t>
        </w:r>
        <w:r>
          <w:fldChar w:fldCharType="end"/>
        </w:r>
      </w:p>
    </w:sdtContent>
  </w:sdt>
  <w:p w:rsidR="00351C78" w:rsidRDefault="00351C78">
    <w:pPr>
      <w:pStyle w:val="12"/>
      <w:snapToGri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78" w:rsidRDefault="00351C78">
    <w:pPr>
      <w:pStyle w:val="12"/>
      <w:snapToGri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66" w:rsidRDefault="00C23066">
      <w:r>
        <w:separator/>
      </w:r>
    </w:p>
  </w:footnote>
  <w:footnote w:type="continuationSeparator" w:id="0">
    <w:p w:rsidR="00C23066" w:rsidRDefault="00C23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78" w:rsidRDefault="00351C7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78" w:rsidRDefault="00351C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50"/>
    <w:rsid w:val="9F9E4EF2"/>
    <w:rsid w:val="00193050"/>
    <w:rsid w:val="002E79A7"/>
    <w:rsid w:val="00310F97"/>
    <w:rsid w:val="00351C78"/>
    <w:rsid w:val="00376CCE"/>
    <w:rsid w:val="00522293"/>
    <w:rsid w:val="005811FA"/>
    <w:rsid w:val="005A6673"/>
    <w:rsid w:val="00702269"/>
    <w:rsid w:val="0074403C"/>
    <w:rsid w:val="007A7F6B"/>
    <w:rsid w:val="008140F0"/>
    <w:rsid w:val="00857B92"/>
    <w:rsid w:val="00943694"/>
    <w:rsid w:val="00AF09FA"/>
    <w:rsid w:val="00C23066"/>
    <w:rsid w:val="00DF237C"/>
    <w:rsid w:val="00EB0C7E"/>
    <w:rsid w:val="00FB0FF7"/>
    <w:rsid w:val="00FF3DD7"/>
    <w:rsid w:val="1DDF9453"/>
    <w:rsid w:val="3B9DB479"/>
    <w:rsid w:val="7BFDA2CB"/>
    <w:rsid w:val="7F72B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9D17065-E3C7-4CA5-9054-725F40C9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uiPriority="39"/>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hd w:val="clear" w:color="FFFFFF" w:fill="FFFFFF"/>
      <w:jc w:val="both"/>
    </w:pPr>
    <w:rPr>
      <w:rFonts w:ascii="Times New Roman" w:hAnsi="Times New Roman" w:cs="Times New Roman"/>
      <w:sz w:val="21"/>
      <w:szCs w:val="24"/>
      <w:lang w:eastAsia="en-US"/>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pPr>
      <w:ind w:left="2520"/>
    </w:pPr>
  </w:style>
  <w:style w:type="paragraph" w:styleId="a3">
    <w:name w:val="Normal Indent"/>
    <w:basedOn w:val="a"/>
    <w:qFormat/>
    <w:pPr>
      <w:ind w:firstLine="420"/>
    </w:pPr>
  </w:style>
  <w:style w:type="paragraph" w:styleId="a4">
    <w:name w:val="caption"/>
    <w:basedOn w:val="a"/>
    <w:next w:val="a"/>
    <w:uiPriority w:val="35"/>
    <w:semiHidden/>
    <w:unhideWhenUsed/>
    <w:qFormat/>
    <w:pPr>
      <w:spacing w:line="276" w:lineRule="auto"/>
    </w:pPr>
    <w:rPr>
      <w:b/>
      <w:bCs/>
      <w:color w:val="4F81BD" w:themeColor="accent1"/>
      <w:sz w:val="18"/>
      <w:szCs w:val="18"/>
    </w:rPr>
  </w:style>
  <w:style w:type="paragraph" w:styleId="a5">
    <w:name w:val="annotation text"/>
    <w:basedOn w:val="a"/>
    <w:link w:val="a6"/>
    <w:qFormat/>
    <w:pPr>
      <w:jc w:val="left"/>
    </w:pPr>
  </w:style>
  <w:style w:type="paragraph" w:styleId="a7">
    <w:name w:val="Body Text"/>
    <w:basedOn w:val="a"/>
    <w:link w:val="a8"/>
    <w:qFormat/>
    <w:pPr>
      <w:spacing w:line="360" w:lineRule="auto"/>
    </w:pPr>
    <w:rPr>
      <w:rFonts w:ascii="仿宋_GB2312" w:eastAsia="仿宋_GB2312"/>
      <w:color w:val="000000"/>
      <w:sz w:val="24"/>
      <w:szCs w:val="28"/>
    </w:rPr>
  </w:style>
  <w:style w:type="paragraph" w:styleId="a9">
    <w:name w:val="Body Text Indent"/>
    <w:basedOn w:val="a"/>
    <w:link w:val="aa"/>
    <w:qFormat/>
    <w:pPr>
      <w:snapToGrid w:val="0"/>
      <w:spacing w:line="560" w:lineRule="exact"/>
      <w:ind w:firstLine="480"/>
    </w:pPr>
    <w:rPr>
      <w:rFonts w:eastAsia="方正仿宋简体"/>
      <w:sz w:val="24"/>
      <w:szCs w:val="30"/>
    </w:rPr>
  </w:style>
  <w:style w:type="paragraph" w:styleId="51">
    <w:name w:val="toc 5"/>
    <w:basedOn w:val="a"/>
    <w:next w:val="a"/>
    <w:semiHidden/>
    <w:pPr>
      <w:ind w:left="1680"/>
    </w:pPr>
  </w:style>
  <w:style w:type="paragraph" w:styleId="31">
    <w:name w:val="toc 3"/>
    <w:basedOn w:val="a"/>
    <w:next w:val="a"/>
    <w:semiHidden/>
    <w:pPr>
      <w:ind w:left="840"/>
    </w:pPr>
  </w:style>
  <w:style w:type="paragraph" w:styleId="81">
    <w:name w:val="toc 8"/>
    <w:basedOn w:val="a"/>
    <w:next w:val="a"/>
    <w:semiHidden/>
    <w:pPr>
      <w:ind w:left="2940"/>
    </w:pPr>
  </w:style>
  <w:style w:type="paragraph" w:styleId="21">
    <w:name w:val="Body Text Indent 2"/>
    <w:basedOn w:val="a"/>
    <w:link w:val="22"/>
    <w:pPr>
      <w:spacing w:line="360" w:lineRule="auto"/>
      <w:ind w:firstLine="525"/>
    </w:pPr>
    <w:rPr>
      <w:rFonts w:ascii="宋体" w:hAnsi="宋体"/>
      <w:sz w:val="28"/>
      <w:szCs w:val="20"/>
    </w:rPr>
  </w:style>
  <w:style w:type="paragraph" w:styleId="ab">
    <w:name w:val="endnote text"/>
    <w:basedOn w:val="a"/>
    <w:link w:val="ac"/>
    <w:uiPriority w:val="99"/>
    <w:semiHidden/>
    <w:unhideWhenUsed/>
    <w:rPr>
      <w:sz w:val="20"/>
    </w:rPr>
  </w:style>
  <w:style w:type="paragraph" w:styleId="ad">
    <w:name w:val="Balloon Text"/>
    <w:basedOn w:val="a"/>
    <w:link w:val="ae"/>
    <w:semiHidden/>
    <w:rPr>
      <w:sz w:val="18"/>
      <w:szCs w:val="18"/>
    </w:rPr>
  </w:style>
  <w:style w:type="paragraph" w:styleId="af">
    <w:name w:val="footer"/>
    <w:basedOn w:val="a"/>
    <w:link w:val="af0"/>
    <w:uiPriority w:val="99"/>
    <w:unhideWhenUsed/>
    <w:pPr>
      <w:tabs>
        <w:tab w:val="center" w:pos="4153"/>
        <w:tab w:val="right" w:pos="8306"/>
      </w:tabs>
      <w:snapToGrid w:val="0"/>
      <w:jc w:val="left"/>
    </w:pPr>
    <w:rPr>
      <w:sz w:val="18"/>
      <w:szCs w:val="18"/>
    </w:rPr>
  </w:style>
  <w:style w:type="paragraph" w:styleId="af1">
    <w:name w:val="header"/>
    <w:basedOn w:val="a"/>
    <w:link w:val="af2"/>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style>
  <w:style w:type="paragraph" w:styleId="41">
    <w:name w:val="toc 4"/>
    <w:basedOn w:val="a"/>
    <w:next w:val="a"/>
    <w:semiHidden/>
    <w:pPr>
      <w:ind w:left="1260"/>
    </w:pPr>
  </w:style>
  <w:style w:type="paragraph" w:styleId="af3">
    <w:name w:val="Subtitle"/>
    <w:basedOn w:val="a"/>
    <w:next w:val="a"/>
    <w:link w:val="af4"/>
    <w:uiPriority w:val="11"/>
    <w:qFormat/>
    <w:pPr>
      <w:spacing w:before="200" w:after="200"/>
    </w:pPr>
    <w:rPr>
      <w:sz w:val="24"/>
    </w:rPr>
  </w:style>
  <w:style w:type="paragraph" w:styleId="af5">
    <w:name w:val="footnote text"/>
    <w:basedOn w:val="a"/>
    <w:link w:val="af6"/>
    <w:uiPriority w:val="99"/>
    <w:semiHidden/>
    <w:unhideWhenUsed/>
    <w:qFormat/>
    <w:pPr>
      <w:spacing w:after="40"/>
    </w:pPr>
    <w:rPr>
      <w:sz w:val="18"/>
    </w:rPr>
  </w:style>
  <w:style w:type="paragraph" w:styleId="61">
    <w:name w:val="toc 6"/>
    <w:basedOn w:val="a"/>
    <w:next w:val="a"/>
    <w:semiHidden/>
    <w:qFormat/>
    <w:pPr>
      <w:ind w:left="2100"/>
    </w:pPr>
  </w:style>
  <w:style w:type="paragraph" w:styleId="32">
    <w:name w:val="Body Text Indent 3"/>
    <w:basedOn w:val="a"/>
    <w:link w:val="33"/>
    <w:pPr>
      <w:snapToGrid w:val="0"/>
      <w:ind w:firstLine="480"/>
    </w:pPr>
    <w:rPr>
      <w:rFonts w:ascii="仿宋_GB2312" w:eastAsia="仿宋_GB2312" w:hAnsi="宋体" w:cs="Arial"/>
      <w:color w:val="000000"/>
      <w:sz w:val="24"/>
    </w:rPr>
  </w:style>
  <w:style w:type="paragraph" w:styleId="af7">
    <w:name w:val="table of figures"/>
    <w:basedOn w:val="a"/>
    <w:next w:val="a"/>
    <w:uiPriority w:val="99"/>
    <w:unhideWhenUsed/>
  </w:style>
  <w:style w:type="paragraph" w:styleId="23">
    <w:name w:val="toc 2"/>
    <w:basedOn w:val="a"/>
    <w:next w:val="a"/>
    <w:uiPriority w:val="39"/>
    <w:pPr>
      <w:tabs>
        <w:tab w:val="right" w:leader="dot" w:pos="8494"/>
      </w:tabs>
      <w:ind w:left="420"/>
    </w:pPr>
  </w:style>
  <w:style w:type="paragraph" w:styleId="91">
    <w:name w:val="toc 9"/>
    <w:basedOn w:val="a"/>
    <w:next w:val="a"/>
    <w:semiHidden/>
    <w:pPr>
      <w:ind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f8">
    <w:name w:val="Normal (Web)"/>
    <w:basedOn w:val="a"/>
    <w:uiPriority w:val="99"/>
    <w:qFormat/>
    <w:pPr>
      <w:widowControl/>
      <w:spacing w:before="100" w:beforeAutospacing="1" w:after="100" w:afterAutospacing="1"/>
      <w:jc w:val="left"/>
    </w:pPr>
    <w:rPr>
      <w:rFonts w:ascii="Arial Unicode MS" w:hAnsi="Arial Unicode MS" w:cs="Arial Unicode MS"/>
      <w:sz w:val="24"/>
    </w:rPr>
  </w:style>
  <w:style w:type="paragraph" w:styleId="af9">
    <w:name w:val="Title"/>
    <w:basedOn w:val="a"/>
    <w:next w:val="a"/>
    <w:link w:val="afa"/>
    <w:uiPriority w:val="10"/>
    <w:qFormat/>
    <w:pPr>
      <w:spacing w:before="300" w:after="200"/>
      <w:contextualSpacing/>
    </w:pPr>
    <w:rPr>
      <w:sz w:val="48"/>
      <w:szCs w:val="48"/>
    </w:rPr>
  </w:style>
  <w:style w:type="paragraph" w:styleId="afb">
    <w:name w:val="annotation subject"/>
    <w:basedOn w:val="a5"/>
    <w:next w:val="a5"/>
    <w:link w:val="afc"/>
    <w:qFormat/>
    <w:rPr>
      <w:b/>
      <w:bCs/>
    </w:rPr>
  </w:style>
  <w:style w:type="table" w:styleId="af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e">
    <w:name w:val="Strong"/>
    <w:qFormat/>
    <w:rPr>
      <w:b/>
      <w:bCs/>
    </w:rPr>
  </w:style>
  <w:style w:type="character" w:styleId="aff">
    <w:name w:val="endnote reference"/>
    <w:basedOn w:val="a0"/>
    <w:uiPriority w:val="99"/>
    <w:semiHidden/>
    <w:unhideWhenUsed/>
    <w:rPr>
      <w:vertAlign w:val="superscript"/>
    </w:rPr>
  </w:style>
  <w:style w:type="character" w:styleId="aff0">
    <w:name w:val="page number"/>
    <w:basedOn w:val="a0"/>
    <w:qFormat/>
  </w:style>
  <w:style w:type="character" w:styleId="aff1">
    <w:name w:val="FollowedHyperlink"/>
    <w:basedOn w:val="a0"/>
    <w:uiPriority w:val="99"/>
    <w:semiHidden/>
    <w:unhideWhenUsed/>
    <w:rPr>
      <w:color w:val="800080" w:themeColor="followedHyperlink"/>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aff4">
    <w:name w:val="footnote reference"/>
    <w:basedOn w:val="a0"/>
    <w:uiPriority w:val="99"/>
    <w:unhideWhenUsed/>
    <w:qFormat/>
    <w:rPr>
      <w:vertAlign w:val="superscript"/>
    </w:rPr>
  </w:style>
  <w:style w:type="paragraph" w:customStyle="1" w:styleId="210">
    <w:name w:val="标题 21"/>
    <w:basedOn w:val="a"/>
    <w:next w:val="a3"/>
    <w:link w:val="2Char"/>
    <w:qFormat/>
    <w:pPr>
      <w:keepNext/>
      <w:keepLines/>
      <w:spacing w:before="260" w:after="260" w:line="416" w:lineRule="auto"/>
      <w:outlineLvl w:val="1"/>
    </w:pPr>
    <w:rPr>
      <w:rFonts w:ascii="Arial" w:eastAsia="黑体" w:hAnsi="Arial"/>
      <w:b/>
      <w:sz w:val="32"/>
      <w:szCs w:val="20"/>
    </w:rPr>
  </w:style>
  <w:style w:type="character" w:customStyle="1" w:styleId="ac">
    <w:name w:val="尾注文本 字符"/>
    <w:link w:val="ab"/>
    <w:uiPriority w:val="99"/>
    <w:rPr>
      <w:sz w:val="20"/>
    </w:rPr>
  </w:style>
  <w:style w:type="paragraph" w:customStyle="1" w:styleId="12">
    <w:name w:val="页脚1"/>
    <w:basedOn w:val="a"/>
    <w:link w:val="Char"/>
    <w:uiPriority w:val="99"/>
    <w:unhideWhenUsed/>
    <w:qFormat/>
    <w:pPr>
      <w:tabs>
        <w:tab w:val="center" w:pos="4153"/>
        <w:tab w:val="right" w:pos="8306"/>
      </w:tabs>
      <w:snapToGrid w:val="0"/>
      <w:jc w:val="left"/>
    </w:pPr>
    <w:rPr>
      <w:sz w:val="18"/>
      <w:szCs w:val="18"/>
    </w:rPr>
  </w:style>
  <w:style w:type="character" w:customStyle="1" w:styleId="30">
    <w:name w:val="标题 3 字符"/>
    <w:basedOn w:val="a0"/>
    <w:link w:val="3"/>
    <w:uiPriority w:val="9"/>
    <w:qFormat/>
    <w:rPr>
      <w:rFonts w:ascii="Arial" w:hAnsi="Arial" w:cs="Arial"/>
      <w:sz w:val="30"/>
      <w:szCs w:val="30"/>
    </w:rPr>
  </w:style>
  <w:style w:type="character" w:customStyle="1" w:styleId="40">
    <w:name w:val="标题 4 字符"/>
    <w:basedOn w:val="a0"/>
    <w:link w:val="4"/>
    <w:uiPriority w:val="9"/>
    <w:qFormat/>
    <w:rPr>
      <w:rFonts w:ascii="Arial" w:hAnsi="Arial" w:cs="Arial"/>
      <w:b/>
      <w:bCs/>
      <w:sz w:val="26"/>
      <w:szCs w:val="26"/>
    </w:rPr>
  </w:style>
  <w:style w:type="character" w:customStyle="1" w:styleId="50">
    <w:name w:val="标题 5 字符"/>
    <w:basedOn w:val="a0"/>
    <w:link w:val="5"/>
    <w:uiPriority w:val="9"/>
    <w:qFormat/>
    <w:rPr>
      <w:rFonts w:ascii="Arial" w:hAnsi="Arial" w:cs="Arial"/>
      <w:b/>
      <w:bCs/>
      <w:sz w:val="24"/>
      <w:szCs w:val="24"/>
    </w:rPr>
  </w:style>
  <w:style w:type="character" w:customStyle="1" w:styleId="60">
    <w:name w:val="标题 6 字符"/>
    <w:basedOn w:val="a0"/>
    <w:link w:val="6"/>
    <w:uiPriority w:val="9"/>
    <w:qFormat/>
    <w:rPr>
      <w:rFonts w:ascii="Arial" w:hAnsi="Arial" w:cs="Arial"/>
      <w:b/>
      <w:bCs/>
      <w:sz w:val="22"/>
      <w:szCs w:val="22"/>
    </w:rPr>
  </w:style>
  <w:style w:type="character" w:customStyle="1" w:styleId="70">
    <w:name w:val="标题 7 字符"/>
    <w:basedOn w:val="a0"/>
    <w:link w:val="7"/>
    <w:uiPriority w:val="9"/>
    <w:qFormat/>
    <w:rPr>
      <w:rFonts w:ascii="Arial" w:hAnsi="Arial" w:cs="Arial"/>
      <w:b/>
      <w:bCs/>
      <w:i/>
      <w:iCs/>
      <w:sz w:val="22"/>
      <w:szCs w:val="22"/>
    </w:rPr>
  </w:style>
  <w:style w:type="character" w:customStyle="1" w:styleId="80">
    <w:name w:val="标题 8 字符"/>
    <w:basedOn w:val="a0"/>
    <w:link w:val="8"/>
    <w:uiPriority w:val="9"/>
    <w:qFormat/>
    <w:rPr>
      <w:rFonts w:ascii="Arial" w:hAnsi="Arial" w:cs="Arial"/>
      <w:i/>
      <w:iCs/>
      <w:sz w:val="22"/>
      <w:szCs w:val="22"/>
    </w:rPr>
  </w:style>
  <w:style w:type="character" w:customStyle="1" w:styleId="90">
    <w:name w:val="标题 9 字符"/>
    <w:basedOn w:val="a0"/>
    <w:link w:val="9"/>
    <w:uiPriority w:val="9"/>
    <w:qFormat/>
    <w:rPr>
      <w:rFonts w:ascii="Arial" w:hAnsi="Arial" w:cs="Arial"/>
      <w:i/>
      <w:iCs/>
      <w:sz w:val="21"/>
      <w:szCs w:val="21"/>
    </w:rPr>
  </w:style>
  <w:style w:type="character" w:customStyle="1" w:styleId="10">
    <w:name w:val="标题 1 字符"/>
    <w:basedOn w:val="a0"/>
    <w:link w:val="1"/>
    <w:uiPriority w:val="9"/>
    <w:qFormat/>
    <w:rPr>
      <w:rFonts w:ascii="Arial" w:hAnsi="Arial" w:cs="Arial"/>
      <w:sz w:val="40"/>
      <w:szCs w:val="40"/>
    </w:rPr>
  </w:style>
  <w:style w:type="character" w:customStyle="1" w:styleId="20">
    <w:name w:val="标题 2 字符"/>
    <w:basedOn w:val="a0"/>
    <w:link w:val="2"/>
    <w:uiPriority w:val="9"/>
    <w:qFormat/>
    <w:rPr>
      <w:rFonts w:ascii="Arial" w:hAnsi="Arial" w:cs="Arial"/>
      <w:sz w:val="34"/>
    </w:rPr>
  </w:style>
  <w:style w:type="paragraph" w:styleId="aff5">
    <w:name w:val="List Paragraph"/>
    <w:basedOn w:val="a"/>
    <w:uiPriority w:val="34"/>
    <w:qFormat/>
    <w:pPr>
      <w:ind w:left="720"/>
      <w:contextualSpacing/>
    </w:pPr>
  </w:style>
  <w:style w:type="paragraph" w:styleId="aff6">
    <w:name w:val="No Spacing"/>
    <w:uiPriority w:val="1"/>
    <w:qFormat/>
    <w:pPr>
      <w:shd w:val="clear" w:color="FFFFFF" w:fill="FFFFFF"/>
    </w:pPr>
    <w:rPr>
      <w:sz w:val="21"/>
      <w:szCs w:val="22"/>
      <w:lang w:eastAsia="en-US"/>
    </w:rPr>
  </w:style>
  <w:style w:type="character" w:customStyle="1" w:styleId="afa">
    <w:name w:val="标题 字符"/>
    <w:basedOn w:val="a0"/>
    <w:link w:val="af9"/>
    <w:uiPriority w:val="10"/>
    <w:qFormat/>
    <w:rPr>
      <w:sz w:val="48"/>
      <w:szCs w:val="48"/>
    </w:rPr>
  </w:style>
  <w:style w:type="character" w:customStyle="1" w:styleId="af4">
    <w:name w:val="副标题 字符"/>
    <w:basedOn w:val="a0"/>
    <w:link w:val="af3"/>
    <w:uiPriority w:val="11"/>
    <w:qFormat/>
    <w:rPr>
      <w:sz w:val="24"/>
      <w:szCs w:val="24"/>
    </w:rPr>
  </w:style>
  <w:style w:type="paragraph" w:styleId="aff7">
    <w:name w:val="Quote"/>
    <w:basedOn w:val="a"/>
    <w:next w:val="a"/>
    <w:link w:val="aff8"/>
    <w:uiPriority w:val="29"/>
    <w:qFormat/>
    <w:pPr>
      <w:ind w:left="720" w:right="720"/>
    </w:pPr>
    <w:rPr>
      <w:i/>
    </w:rPr>
  </w:style>
  <w:style w:type="character" w:customStyle="1" w:styleId="aff8">
    <w:name w:val="引用 字符"/>
    <w:link w:val="aff7"/>
    <w:uiPriority w:val="29"/>
    <w:qFormat/>
    <w:rPr>
      <w:i/>
    </w:rPr>
  </w:style>
  <w:style w:type="paragraph" w:styleId="aff9">
    <w:name w:val="Intense Quote"/>
    <w:basedOn w:val="a"/>
    <w:next w:val="a"/>
    <w:link w:val="aff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a">
    <w:name w:val="明显引用 字符"/>
    <w:link w:val="aff9"/>
    <w:uiPriority w:val="30"/>
    <w:qFormat/>
    <w:rPr>
      <w:i/>
    </w:rPr>
  </w:style>
  <w:style w:type="character" w:customStyle="1" w:styleId="af6">
    <w:name w:val="脚注文本 字符"/>
    <w:link w:val="af5"/>
    <w:uiPriority w:val="99"/>
    <w:qFormat/>
    <w:rPr>
      <w:sz w:val="18"/>
    </w:rPr>
  </w:style>
  <w:style w:type="character" w:customStyle="1" w:styleId="2Char">
    <w:name w:val="标题 2 Char"/>
    <w:basedOn w:val="a0"/>
    <w:link w:val="210"/>
    <w:qFormat/>
    <w:rPr>
      <w:rFonts w:ascii="Arial" w:eastAsia="黑体" w:hAnsi="Arial" w:cs="Times New Roman"/>
      <w:b/>
      <w:sz w:val="32"/>
      <w:szCs w:val="20"/>
    </w:rPr>
  </w:style>
  <w:style w:type="character" w:customStyle="1" w:styleId="Char">
    <w:name w:val="页脚 Char"/>
    <w:basedOn w:val="a0"/>
    <w:link w:val="12"/>
    <w:uiPriority w:val="99"/>
    <w:qFormat/>
    <w:rPr>
      <w:rFonts w:ascii="Times New Roman" w:eastAsia="宋体" w:hAnsi="Times New Roman" w:cs="Times New Roman"/>
      <w:sz w:val="18"/>
      <w:szCs w:val="18"/>
    </w:rPr>
  </w:style>
  <w:style w:type="character" w:customStyle="1" w:styleId="a8">
    <w:name w:val="正文文本 字符"/>
    <w:basedOn w:val="a0"/>
    <w:link w:val="a7"/>
    <w:qFormat/>
    <w:rPr>
      <w:rFonts w:ascii="仿宋_GB2312" w:eastAsia="仿宋_GB2312" w:hAnsi="Times New Roman" w:cs="Times New Roman"/>
      <w:color w:val="000000"/>
      <w:sz w:val="24"/>
      <w:szCs w:val="28"/>
    </w:rPr>
  </w:style>
  <w:style w:type="character" w:customStyle="1" w:styleId="read">
    <w:name w:val="read"/>
    <w:basedOn w:val="a0"/>
    <w:qFormat/>
  </w:style>
  <w:style w:type="character" w:customStyle="1" w:styleId="aa">
    <w:name w:val="正文文本缩进 字符"/>
    <w:basedOn w:val="a0"/>
    <w:link w:val="a9"/>
    <w:rPr>
      <w:rFonts w:ascii="Times New Roman" w:eastAsia="方正仿宋简体" w:hAnsi="Times New Roman" w:cs="Times New Roman"/>
      <w:sz w:val="24"/>
      <w:szCs w:val="30"/>
    </w:rPr>
  </w:style>
  <w:style w:type="character" w:customStyle="1" w:styleId="22">
    <w:name w:val="正文文本缩进 2 字符"/>
    <w:basedOn w:val="a0"/>
    <w:link w:val="21"/>
    <w:qFormat/>
    <w:rPr>
      <w:rFonts w:ascii="宋体" w:eastAsia="宋体" w:hAnsi="宋体" w:cs="Times New Roman"/>
      <w:sz w:val="28"/>
      <w:szCs w:val="20"/>
    </w:rPr>
  </w:style>
  <w:style w:type="character" w:customStyle="1" w:styleId="33">
    <w:name w:val="正文文本缩进 3 字符"/>
    <w:basedOn w:val="a0"/>
    <w:link w:val="32"/>
    <w:qFormat/>
    <w:rPr>
      <w:rFonts w:ascii="仿宋_GB2312" w:eastAsia="仿宋_GB2312" w:hAnsi="宋体" w:cs="Arial"/>
      <w:color w:val="000000"/>
      <w:sz w:val="24"/>
      <w:szCs w:val="24"/>
    </w:rPr>
  </w:style>
  <w:style w:type="character" w:customStyle="1" w:styleId="ae">
    <w:name w:val="批注框文本 字符"/>
    <w:basedOn w:val="a0"/>
    <w:link w:val="ad"/>
    <w:semiHidden/>
    <w:rPr>
      <w:rFonts w:ascii="Times New Roman" w:eastAsia="宋体" w:hAnsi="Times New Roman" w:cs="Times New Roman"/>
      <w:sz w:val="18"/>
      <w:szCs w:val="18"/>
    </w:rPr>
  </w:style>
  <w:style w:type="character" w:customStyle="1" w:styleId="a6">
    <w:name w:val="批注文字 字符"/>
    <w:basedOn w:val="a0"/>
    <w:link w:val="a5"/>
    <w:qFormat/>
    <w:rPr>
      <w:rFonts w:ascii="Times New Roman" w:eastAsia="宋体" w:hAnsi="Times New Roman" w:cs="Times New Roman"/>
      <w:sz w:val="24"/>
      <w:szCs w:val="24"/>
    </w:rPr>
  </w:style>
  <w:style w:type="character" w:customStyle="1" w:styleId="HTML0">
    <w:name w:val="HTML 预设格式 字符"/>
    <w:basedOn w:val="a0"/>
    <w:link w:val="HTML"/>
    <w:uiPriority w:val="99"/>
    <w:rPr>
      <w:rFonts w:ascii="宋体" w:eastAsia="宋体" w:hAnsi="宋体" w:cs="宋体"/>
      <w:sz w:val="24"/>
      <w:szCs w:val="24"/>
    </w:rPr>
  </w:style>
  <w:style w:type="character" w:customStyle="1" w:styleId="afc">
    <w:name w:val="批注主题 字符"/>
    <w:basedOn w:val="a6"/>
    <w:link w:val="afb"/>
    <w:qFormat/>
    <w:rPr>
      <w:rFonts w:ascii="Times New Roman" w:eastAsia="宋体" w:hAnsi="Times New Roman" w:cs="Times New Roman"/>
      <w:b/>
      <w:bCs/>
      <w:sz w:val="24"/>
      <w:szCs w:val="24"/>
    </w:rPr>
  </w:style>
  <w:style w:type="character" w:customStyle="1" w:styleId="af2">
    <w:name w:val="页眉 字符"/>
    <w:basedOn w:val="a0"/>
    <w:link w:val="af1"/>
    <w:uiPriority w:val="99"/>
    <w:rPr>
      <w:rFonts w:ascii="Times New Roman" w:hAnsi="Times New Roman" w:cs="Times New Roman"/>
      <w:sz w:val="18"/>
      <w:szCs w:val="18"/>
      <w:shd w:val="clear" w:color="FFFFFF" w:fill="FFFFFF"/>
    </w:rPr>
  </w:style>
  <w:style w:type="character" w:customStyle="1" w:styleId="af0">
    <w:name w:val="页脚 字符"/>
    <w:basedOn w:val="a0"/>
    <w:link w:val="af"/>
    <w:uiPriority w:val="99"/>
    <w:rPr>
      <w:rFonts w:ascii="Times New Roman" w:hAnsi="Times New Roman" w:cs="Times New Roman"/>
      <w:sz w:val="18"/>
      <w:szCs w:val="18"/>
      <w:shd w:val="clear" w:color="FFFF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1149f66b8240a793fee1d912384d1a"/>
        <w:category>
          <w:name w:val="(Empty Category)"/>
          <w:gallery w:val="any"/>
        </w:category>
        <w:behaviors>
          <w:behavior w:val="content"/>
        </w:behaviors>
        <w:guid w:val="{7D628958-ADD9-4E26-813A-52F4EC5EAD55}"/>
      </w:docPartPr>
      <w:docPartBody>
        <w:p w:rsidR="00376CCE" w:rsidRDefault="0082623F">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font>
  <w:font w:name="方正仿宋简体">
    <w:altName w:val="创艺简"/>
    <w:charset w:val="00"/>
    <w:family w:val="auto"/>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F0"/>
    <w:rsid w:val="00203AD2"/>
    <w:rsid w:val="00376CCE"/>
    <w:rsid w:val="003E177B"/>
    <w:rsid w:val="007679AB"/>
    <w:rsid w:val="008140F0"/>
    <w:rsid w:val="0082623F"/>
    <w:rsid w:val="00AF3AC1"/>
    <w:rsid w:val="00B1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basedOn w:val="a"/>
    <w:next w:val="a"/>
    <w:link w:val="10"/>
    <w:uiPriority w:val="9"/>
    <w:qFormat/>
    <w:pPr>
      <w:keepNext/>
      <w:keepLines/>
      <w:spacing w:before="480" w:after="200"/>
      <w:outlineLvl w:val="0"/>
    </w:pPr>
    <w:rPr>
      <w:sz w:val="40"/>
      <w:szCs w:val="40"/>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Arial" w:hAnsi="Arial" w:cs="Arial"/>
      <w:sz w:val="40"/>
      <w:szCs w:val="40"/>
    </w:rPr>
  </w:style>
  <w:style w:type="character" w:customStyle="1" w:styleId="20">
    <w:name w:val="标题 2 字符"/>
    <w:basedOn w:val="a0"/>
    <w:link w:val="2"/>
    <w:uiPriority w:val="9"/>
    <w:rPr>
      <w:rFonts w:ascii="Arial" w:hAnsi="Arial" w:cs="Arial"/>
      <w:sz w:val="34"/>
    </w:rPr>
  </w:style>
  <w:style w:type="character" w:customStyle="1" w:styleId="30">
    <w:name w:val="标题 3 字符"/>
    <w:basedOn w:val="a0"/>
    <w:link w:val="3"/>
    <w:uiPriority w:val="9"/>
    <w:rPr>
      <w:rFonts w:ascii="Arial" w:hAnsi="Arial" w:cs="Arial"/>
      <w:sz w:val="30"/>
      <w:szCs w:val="30"/>
    </w:rPr>
  </w:style>
  <w:style w:type="character" w:customStyle="1" w:styleId="40">
    <w:name w:val="标题 4 字符"/>
    <w:basedOn w:val="a0"/>
    <w:link w:val="4"/>
    <w:uiPriority w:val="9"/>
    <w:rPr>
      <w:rFonts w:ascii="Arial" w:hAnsi="Arial" w:cs="Arial"/>
      <w:b/>
      <w:bCs/>
      <w:sz w:val="26"/>
      <w:szCs w:val="26"/>
    </w:rPr>
  </w:style>
  <w:style w:type="character" w:customStyle="1" w:styleId="50">
    <w:name w:val="标题 5 字符"/>
    <w:basedOn w:val="a0"/>
    <w:link w:val="5"/>
    <w:uiPriority w:val="9"/>
    <w:rPr>
      <w:rFonts w:ascii="Arial" w:hAnsi="Arial" w:cs="Arial"/>
      <w:b/>
      <w:bCs/>
      <w:sz w:val="24"/>
      <w:szCs w:val="24"/>
    </w:rPr>
  </w:style>
  <w:style w:type="character" w:customStyle="1" w:styleId="60">
    <w:name w:val="标题 6 字符"/>
    <w:basedOn w:val="a0"/>
    <w:link w:val="6"/>
    <w:uiPriority w:val="9"/>
    <w:rPr>
      <w:rFonts w:ascii="Arial" w:hAnsi="Arial" w:cs="Arial"/>
      <w:b/>
      <w:bCs/>
      <w:sz w:val="22"/>
      <w:szCs w:val="22"/>
    </w:rPr>
  </w:style>
  <w:style w:type="character" w:customStyle="1" w:styleId="70">
    <w:name w:val="标题 7 字符"/>
    <w:basedOn w:val="a0"/>
    <w:link w:val="7"/>
    <w:uiPriority w:val="9"/>
    <w:rPr>
      <w:rFonts w:ascii="Arial" w:hAnsi="Arial" w:cs="Arial"/>
      <w:b/>
      <w:bCs/>
      <w:i/>
      <w:iCs/>
      <w:sz w:val="22"/>
      <w:szCs w:val="22"/>
    </w:rPr>
  </w:style>
  <w:style w:type="character" w:customStyle="1" w:styleId="80">
    <w:name w:val="标题 8 字符"/>
    <w:basedOn w:val="a0"/>
    <w:link w:val="8"/>
    <w:uiPriority w:val="9"/>
    <w:rPr>
      <w:rFonts w:ascii="Arial" w:hAnsi="Arial" w:cs="Arial"/>
      <w:i/>
      <w:iCs/>
      <w:sz w:val="22"/>
      <w:szCs w:val="22"/>
    </w:rPr>
  </w:style>
  <w:style w:type="character" w:customStyle="1" w:styleId="90">
    <w:name w:val="标题 9 字符"/>
    <w:basedOn w:val="a0"/>
    <w:link w:val="9"/>
    <w:uiPriority w:val="9"/>
    <w:qFormat/>
    <w:rPr>
      <w:rFonts w:ascii="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标题 字符"/>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c">
    <w:name w:val="明显引用 字符"/>
    <w:link w:val="ab"/>
    <w:uiPriority w:val="30"/>
    <w:qFormat/>
    <w:rPr>
      <w:i/>
    </w:rPr>
  </w:style>
  <w:style w:type="paragraph" w:styleId="ad">
    <w:name w:val="header"/>
    <w:basedOn w:val="a"/>
    <w:link w:val="ae"/>
    <w:uiPriority w:val="99"/>
    <w:unhideWhenUsed/>
    <w:pPr>
      <w:tabs>
        <w:tab w:val="center" w:pos="7143"/>
        <w:tab w:val="right" w:pos="14287"/>
      </w:tabs>
    </w:pPr>
  </w:style>
  <w:style w:type="character" w:customStyle="1" w:styleId="ae">
    <w:name w:val="页眉 字符"/>
    <w:basedOn w:val="a0"/>
    <w:link w:val="ad"/>
    <w:uiPriority w:val="99"/>
  </w:style>
  <w:style w:type="paragraph" w:styleId="af">
    <w:name w:val="footer"/>
    <w:basedOn w:val="a"/>
    <w:link w:val="af0"/>
    <w:uiPriority w:val="99"/>
    <w:unhideWhenUsed/>
    <w:pPr>
      <w:tabs>
        <w:tab w:val="center" w:pos="7143"/>
        <w:tab w:val="right" w:pos="14287"/>
      </w:tabs>
    </w:pPr>
  </w:style>
  <w:style w:type="paragraph" w:styleId="af1">
    <w:name w:val="caption"/>
    <w:basedOn w:val="a"/>
    <w:next w:val="a"/>
    <w:uiPriority w:val="35"/>
    <w:semiHidden/>
    <w:unhideWhenUsed/>
    <w:qFormat/>
    <w:pPr>
      <w:spacing w:line="276" w:lineRule="auto"/>
    </w:pPr>
    <w:rPr>
      <w:b/>
      <w:bCs/>
      <w:color w:val="5B9BD5" w:themeColor="accent1"/>
      <w:sz w:val="18"/>
      <w:szCs w:val="18"/>
    </w:rPr>
  </w:style>
  <w:style w:type="character" w:customStyle="1" w:styleId="af0">
    <w:name w:val="页脚 字符"/>
    <w:link w:val="af"/>
    <w:uiPriority w:val="99"/>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3">
    <w:name w:val="Hyperlink"/>
    <w:uiPriority w:val="99"/>
    <w:unhideWhenUsed/>
    <w:rPr>
      <w:color w:val="0563C1"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basedOn w:val="a0"/>
    <w:uiPriority w:val="99"/>
    <w:unhideWhenUsed/>
    <w:rPr>
      <w:vertAlign w:val="superscript"/>
    </w:rPr>
  </w:style>
  <w:style w:type="paragraph" w:styleId="af7">
    <w:name w:val="endnote text"/>
    <w:basedOn w:val="a"/>
    <w:link w:val="af8"/>
    <w:uiPriority w:val="99"/>
    <w:semiHidden/>
    <w:unhideWhenUsed/>
    <w:qFormat/>
    <w:rPr>
      <w:sz w:val="20"/>
    </w:rPr>
  </w:style>
  <w:style w:type="character" w:customStyle="1" w:styleId="af8">
    <w:name w:val="尾注文本 字符"/>
    <w:link w:val="af7"/>
    <w:uiPriority w:val="99"/>
    <w:qFormat/>
    <w:rPr>
      <w:sz w:val="20"/>
    </w:rPr>
  </w:style>
  <w:style w:type="character" w:styleId="af9">
    <w:name w:val="endnote reference"/>
    <w:basedOn w:val="a0"/>
    <w:uiPriority w:val="99"/>
    <w:semiHidden/>
    <w:unhideWhenUsed/>
    <w:qFormat/>
    <w:rPr>
      <w:vertAlign w:val="superscript"/>
    </w:rPr>
  </w:style>
  <w:style w:type="paragraph" w:styleId="11">
    <w:name w:val="toc 1"/>
    <w:basedOn w:val="a"/>
    <w:next w:val="a"/>
    <w:uiPriority w:val="39"/>
    <w:unhideWhenUsed/>
    <w:qFormat/>
    <w:pPr>
      <w:spacing w:after="57"/>
    </w:pPr>
  </w:style>
  <w:style w:type="paragraph" w:styleId="21">
    <w:name w:val="toc 2"/>
    <w:basedOn w:val="a"/>
    <w:next w:val="a"/>
    <w:uiPriority w:val="39"/>
    <w:unhideWhenUsed/>
    <w:qFormat/>
    <w:pPr>
      <w:spacing w:after="57"/>
      <w:ind w:left="283"/>
    </w:pPr>
  </w:style>
  <w:style w:type="paragraph" w:styleId="31">
    <w:name w:val="toc 3"/>
    <w:basedOn w:val="a"/>
    <w:next w:val="a"/>
    <w:uiPriority w:val="39"/>
    <w:unhideWhenUsed/>
    <w:qFormat/>
    <w:pPr>
      <w:spacing w:after="57"/>
      <w:ind w:left="567"/>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able of figures"/>
    <w:basedOn w:val="a"/>
    <w:next w:val="a"/>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4433</Words>
  <Characters>25270</Characters>
  <Application>Microsoft Office Word</Application>
  <DocSecurity>0</DocSecurity>
  <Lines>210</Lines>
  <Paragraphs>59</Paragraphs>
  <ScaleCrop>false</ScaleCrop>
  <Company>E FUND</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张凯</dc:creator>
  <cp:lastModifiedBy>李鸿奡</cp:lastModifiedBy>
  <cp:revision>3</cp:revision>
  <cp:lastPrinted>2026-01-28T03:16:00Z</cp:lastPrinted>
  <dcterms:created xsi:type="dcterms:W3CDTF">2026-02-26T05:35:00Z</dcterms:created>
  <dcterms:modified xsi:type="dcterms:W3CDTF">2026-04-02T09:57:00Z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