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D91859" w14:textId="77777777" w:rsidR="00567D74" w:rsidRDefault="00567D74">
      <w:pPr>
        <w:widowControl w:val="0"/>
        <w:spacing w:line="360" w:lineRule="auto"/>
        <w:jc w:val="center"/>
        <w:rPr>
          <w:rFonts w:eastAsia="Times New Roman"/>
          <w:sz w:val="21"/>
          <w:szCs w:val="21"/>
        </w:rPr>
      </w:pPr>
    </w:p>
    <w:p w14:paraId="188812F5" w14:textId="77777777" w:rsidR="00567D74" w:rsidRDefault="00227C22">
      <w:pPr>
        <w:widowControl w:val="0"/>
        <w:spacing w:line="360" w:lineRule="auto"/>
        <w:rPr>
          <w:rFonts w:eastAsia="Times New Roman"/>
          <w:sz w:val="44"/>
          <w:szCs w:val="44"/>
        </w:rPr>
      </w:pPr>
      <w:r>
        <w:rPr>
          <w:rFonts w:eastAsia="Times New Roman"/>
          <w:sz w:val="44"/>
          <w:szCs w:val="44"/>
        </w:rPr>
        <w:pict w14:anchorId="605741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信纸01" style="width:242.4pt;height:30.6pt">
            <v:imagedata r:id="rId7" o:title=""/>
          </v:shape>
        </w:pict>
      </w:r>
    </w:p>
    <w:p w14:paraId="374C07F6" w14:textId="77777777" w:rsidR="00567D74" w:rsidRDefault="00567D74">
      <w:pPr>
        <w:widowControl w:val="0"/>
        <w:jc w:val="center"/>
        <w:rPr>
          <w:rFonts w:eastAsia="Times New Roman"/>
          <w:sz w:val="21"/>
          <w:szCs w:val="21"/>
        </w:rPr>
      </w:pPr>
    </w:p>
    <w:p w14:paraId="7ADA42BA" w14:textId="77777777" w:rsidR="00567D74" w:rsidRDefault="00567D74">
      <w:pPr>
        <w:widowControl w:val="0"/>
        <w:jc w:val="center"/>
        <w:rPr>
          <w:rFonts w:eastAsia="Times New Roman"/>
          <w:sz w:val="21"/>
          <w:szCs w:val="21"/>
        </w:rPr>
      </w:pPr>
    </w:p>
    <w:p w14:paraId="223EDC06" w14:textId="77777777" w:rsidR="00567D74" w:rsidRDefault="00567D74">
      <w:pPr>
        <w:widowControl w:val="0"/>
        <w:spacing w:before="156" w:after="156"/>
        <w:jc w:val="both"/>
        <w:rPr>
          <w:rFonts w:eastAsia="Times New Roman"/>
          <w:sz w:val="52"/>
          <w:szCs w:val="52"/>
        </w:rPr>
      </w:pPr>
    </w:p>
    <w:p w14:paraId="608B8ECC" w14:textId="77777777" w:rsidR="00567D74" w:rsidRDefault="00567D74">
      <w:pPr>
        <w:widowControl w:val="0"/>
        <w:spacing w:before="156" w:after="156"/>
        <w:jc w:val="both"/>
        <w:rPr>
          <w:rFonts w:eastAsia="Times New Roman"/>
          <w:sz w:val="52"/>
          <w:szCs w:val="52"/>
        </w:rPr>
      </w:pPr>
      <w:r>
        <w:rPr>
          <w:rFonts w:eastAsia="Times New Roman"/>
          <w:sz w:val="52"/>
          <w:szCs w:val="52"/>
        </w:rPr>
        <w:t> </w:t>
      </w:r>
    </w:p>
    <w:p w14:paraId="64F1FFEC" w14:textId="77777777" w:rsidR="00567D74" w:rsidRDefault="00567D74">
      <w:pPr>
        <w:widowControl w:val="0"/>
        <w:spacing w:before="156" w:after="156"/>
        <w:jc w:val="both"/>
        <w:rPr>
          <w:rFonts w:eastAsia="Times New Roman"/>
          <w:sz w:val="52"/>
          <w:szCs w:val="52"/>
        </w:rPr>
      </w:pPr>
      <w:r>
        <w:rPr>
          <w:rFonts w:eastAsia="Times New Roman"/>
          <w:sz w:val="52"/>
          <w:szCs w:val="52"/>
        </w:rPr>
        <w:t> </w:t>
      </w:r>
    </w:p>
    <w:p w14:paraId="32F3FC71" w14:textId="4BCC6D08" w:rsidR="00567D74" w:rsidRDefault="00567D74">
      <w:pPr>
        <w:widowControl w:val="0"/>
        <w:spacing w:before="156" w:after="156" w:line="360" w:lineRule="auto"/>
        <w:jc w:val="center"/>
        <w:rPr>
          <w:rFonts w:eastAsia="Times New Roman"/>
          <w:sz w:val="52"/>
          <w:szCs w:val="52"/>
        </w:rPr>
      </w:pPr>
      <w:r>
        <w:rPr>
          <w:rFonts w:ascii="华文行楷" w:eastAsia="华文行楷" w:hAnsi="华文行楷" w:cs="华文行楷"/>
          <w:sz w:val="52"/>
          <w:szCs w:val="52"/>
        </w:rPr>
        <w:t>鹏</w:t>
      </w:r>
      <w:proofErr w:type="gramStart"/>
      <w:r>
        <w:rPr>
          <w:rFonts w:ascii="华文行楷" w:eastAsia="华文行楷" w:hAnsi="华文行楷" w:cs="华文行楷"/>
          <w:sz w:val="52"/>
          <w:szCs w:val="52"/>
        </w:rPr>
        <w:t>华</w:t>
      </w:r>
      <w:r w:rsidR="00B92AE0" w:rsidRPr="00B92AE0">
        <w:rPr>
          <w:rFonts w:ascii="华文行楷" w:eastAsia="华文行楷" w:hAnsi="华文行楷" w:cs="华文行楷" w:hint="eastAsia"/>
          <w:sz w:val="52"/>
          <w:szCs w:val="52"/>
        </w:rPr>
        <w:t>创新</w:t>
      </w:r>
      <w:proofErr w:type="gramEnd"/>
      <w:r w:rsidR="00B92AE0" w:rsidRPr="00B92AE0">
        <w:rPr>
          <w:rFonts w:ascii="华文行楷" w:eastAsia="华文行楷" w:hAnsi="华文行楷" w:cs="华文行楷" w:hint="eastAsia"/>
          <w:sz w:val="52"/>
          <w:szCs w:val="52"/>
        </w:rPr>
        <w:t>医药</w:t>
      </w:r>
      <w:r>
        <w:rPr>
          <w:rFonts w:ascii="华文行楷" w:eastAsia="华文行楷" w:hAnsi="华文行楷" w:cs="华文行楷"/>
          <w:sz w:val="52"/>
          <w:szCs w:val="52"/>
        </w:rPr>
        <w:t xml:space="preserve">混合型 </w:t>
      </w:r>
      <w:r>
        <w:rPr>
          <w:rFonts w:ascii="华文行楷" w:eastAsia="华文行楷" w:hAnsi="华文行楷" w:cs="华文行楷"/>
          <w:sz w:val="52"/>
          <w:szCs w:val="52"/>
        </w:rPr>
        <w:br/>
        <w:t xml:space="preserve">证券投资基金 </w:t>
      </w:r>
      <w:r>
        <w:rPr>
          <w:rFonts w:ascii="华文行楷" w:eastAsia="华文行楷" w:hAnsi="华文行楷" w:cs="华文行楷"/>
          <w:sz w:val="52"/>
          <w:szCs w:val="52"/>
        </w:rPr>
        <w:br/>
        <w:t xml:space="preserve">基金合同 </w:t>
      </w:r>
      <w:r>
        <w:rPr>
          <w:rFonts w:ascii="华文行楷" w:eastAsia="华文行楷" w:hAnsi="华文行楷" w:cs="华文行楷"/>
          <w:sz w:val="52"/>
          <w:szCs w:val="52"/>
        </w:rPr>
        <w:br/>
      </w:r>
    </w:p>
    <w:p w14:paraId="5528509E" w14:textId="77777777" w:rsidR="00567D74" w:rsidRDefault="00567D74">
      <w:pPr>
        <w:widowControl w:val="0"/>
        <w:spacing w:before="156" w:after="156"/>
        <w:jc w:val="both"/>
        <w:rPr>
          <w:rFonts w:eastAsia="Times New Roman"/>
          <w:sz w:val="52"/>
          <w:szCs w:val="52"/>
        </w:rPr>
      </w:pPr>
    </w:p>
    <w:p w14:paraId="06A9A7E0" w14:textId="77777777" w:rsidR="00567D74" w:rsidRDefault="00567D74">
      <w:pPr>
        <w:widowControl w:val="0"/>
        <w:spacing w:before="156" w:after="156"/>
        <w:jc w:val="both"/>
        <w:rPr>
          <w:rFonts w:eastAsia="Times New Roman"/>
          <w:sz w:val="52"/>
          <w:szCs w:val="52"/>
        </w:rPr>
      </w:pPr>
    </w:p>
    <w:p w14:paraId="3599F41F" w14:textId="77777777" w:rsidR="00567D74" w:rsidRDefault="00567D74">
      <w:pPr>
        <w:widowControl w:val="0"/>
        <w:spacing w:before="156" w:after="156"/>
        <w:jc w:val="both"/>
        <w:rPr>
          <w:rFonts w:eastAsia="Times New Roman"/>
          <w:sz w:val="52"/>
          <w:szCs w:val="52"/>
        </w:rPr>
      </w:pPr>
      <w:r>
        <w:rPr>
          <w:rFonts w:eastAsia="Times New Roman"/>
          <w:sz w:val="52"/>
          <w:szCs w:val="52"/>
        </w:rPr>
        <w:t> </w:t>
      </w:r>
    </w:p>
    <w:p w14:paraId="6E37287E" w14:textId="77777777" w:rsidR="00567D74" w:rsidRDefault="00567D74">
      <w:pPr>
        <w:widowControl w:val="0"/>
        <w:spacing w:after="156" w:line="500" w:lineRule="atLeast"/>
        <w:ind w:firstLine="1076"/>
        <w:jc w:val="both"/>
        <w:rPr>
          <w:rFonts w:eastAsia="Times New Roman"/>
        </w:rPr>
      </w:pPr>
      <w:r>
        <w:rPr>
          <w:rFonts w:ascii="华文行楷" w:eastAsia="华文行楷" w:hAnsi="华文行楷" w:cs="华文行楷"/>
          <w:sz w:val="36"/>
          <w:szCs w:val="36"/>
        </w:rPr>
        <w:t>基金管理人：鹏华基金管理有限公司</w:t>
      </w:r>
    </w:p>
    <w:p w14:paraId="551964CE" w14:textId="77777777" w:rsidR="00567D74" w:rsidRDefault="00567D74">
      <w:pPr>
        <w:widowControl w:val="0"/>
        <w:spacing w:after="156" w:line="500" w:lineRule="atLeast"/>
        <w:ind w:firstLine="1080"/>
        <w:jc w:val="both"/>
        <w:rPr>
          <w:rFonts w:eastAsia="Times New Roman"/>
        </w:rPr>
      </w:pPr>
      <w:r>
        <w:rPr>
          <w:rFonts w:ascii="华文行楷" w:eastAsia="华文行楷" w:hAnsi="华文行楷" w:cs="华文行楷"/>
          <w:sz w:val="36"/>
          <w:szCs w:val="36"/>
        </w:rPr>
        <w:t>基金托管人：中国建设银行股份有限公司</w:t>
      </w:r>
    </w:p>
    <w:p w14:paraId="4A3D1691" w14:textId="77777777" w:rsidR="00567D74" w:rsidRDefault="00567D74">
      <w:pPr>
        <w:widowControl w:val="0"/>
        <w:spacing w:before="156" w:after="156"/>
        <w:jc w:val="center"/>
        <w:rPr>
          <w:rFonts w:eastAsia="Times New Roman"/>
          <w:sz w:val="52"/>
          <w:szCs w:val="52"/>
        </w:rPr>
      </w:pPr>
    </w:p>
    <w:p w14:paraId="5C2E6622" w14:textId="6A9DD0C9" w:rsidR="00567D74" w:rsidRDefault="00272A66">
      <w:pPr>
        <w:widowControl w:val="0"/>
        <w:spacing w:line="360" w:lineRule="auto"/>
        <w:jc w:val="center"/>
        <w:rPr>
          <w:rFonts w:eastAsia="Times New Roman"/>
          <w:sz w:val="28"/>
          <w:szCs w:val="28"/>
        </w:rPr>
      </w:pPr>
      <w:r>
        <w:rPr>
          <w:rFonts w:ascii="华文行楷" w:eastAsia="华文行楷" w:hAnsi="华文行楷" w:cs="华文行楷"/>
          <w:sz w:val="36"/>
          <w:szCs w:val="36"/>
        </w:rPr>
        <w:t>二零二</w:t>
      </w:r>
      <w:r w:rsidR="00287A57">
        <w:rPr>
          <w:rFonts w:ascii="华文行楷" w:eastAsia="华文行楷" w:hAnsi="华文行楷" w:cs="华文行楷"/>
          <w:sz w:val="36"/>
          <w:szCs w:val="36"/>
        </w:rPr>
        <w:t>四</w:t>
      </w:r>
      <w:r>
        <w:rPr>
          <w:rFonts w:ascii="华文行楷" w:eastAsia="华文行楷" w:hAnsi="华文行楷" w:cs="华文行楷"/>
          <w:sz w:val="36"/>
          <w:szCs w:val="36"/>
        </w:rPr>
        <w:t>年</w:t>
      </w:r>
      <w:r w:rsidR="00287A57">
        <w:rPr>
          <w:rFonts w:ascii="华文行楷" w:eastAsia="华文行楷" w:hAnsi="华文行楷" w:cs="华文行楷"/>
          <w:sz w:val="36"/>
          <w:szCs w:val="36"/>
        </w:rPr>
        <w:t>四</w:t>
      </w:r>
      <w:r>
        <w:rPr>
          <w:rFonts w:ascii="华文行楷" w:eastAsia="华文行楷" w:hAnsi="华文行楷" w:cs="华文行楷"/>
          <w:sz w:val="36"/>
          <w:szCs w:val="36"/>
        </w:rPr>
        <w:t>月</w:t>
      </w:r>
    </w:p>
    <w:p w14:paraId="6480D346" w14:textId="77777777" w:rsidR="00567D74" w:rsidRDefault="00567D74">
      <w:pPr>
        <w:spacing w:beforeLines="100" w:before="240" w:afterLines="100" w:after="240"/>
        <w:jc w:val="center"/>
        <w:rPr>
          <w:rFonts w:eastAsia="Times New Roman"/>
        </w:rPr>
      </w:pPr>
      <w:bookmarkStart w:id="0" w:name="__top50D236C180FA4E106C317BE5ECB8734E"/>
      <w:r>
        <w:rPr>
          <w:rFonts w:eastAsia="Times New Roman"/>
        </w:rPr>
        <w:br w:type="page"/>
      </w:r>
      <w:r>
        <w:rPr>
          <w:rFonts w:ascii="宋体" w:hAnsi="宋体" w:cs="宋体"/>
          <w:b/>
        </w:rPr>
        <w:lastRenderedPageBreak/>
        <w:t>目   录</w:t>
      </w:r>
    </w:p>
    <w:p w14:paraId="3D35FDBF" w14:textId="77777777" w:rsidR="00567D74" w:rsidRDefault="00567D74">
      <w:pPr>
        <w:pStyle w:val="10"/>
        <w:tabs>
          <w:tab w:val="right" w:leader="dot" w:pos="8296"/>
        </w:tabs>
        <w:rPr>
          <w:rFonts w:ascii="Calibri" w:hAnsi="Calibri"/>
          <w:noProof/>
          <w:sz w:val="22"/>
        </w:rPr>
      </w:pPr>
      <w:r>
        <w:fldChar w:fldCharType="begin"/>
      </w:r>
      <w:r>
        <w:instrText>TOC \o"1-3"\h\z\u</w:instrText>
      </w:r>
      <w:r>
        <w:fldChar w:fldCharType="separate"/>
      </w:r>
      <w:hyperlink w:anchor="_Toc256000000" w:history="1">
        <w:r>
          <w:rPr>
            <w:rStyle w:val="a3"/>
            <w:kern w:val="36"/>
          </w:rPr>
          <w:t>第一部分 前言</w:t>
        </w:r>
        <w:r>
          <w:tab/>
        </w:r>
        <w:r>
          <w:fldChar w:fldCharType="begin"/>
        </w:r>
        <w:r>
          <w:instrText xml:space="preserve"> PAGEREF _Toc256000000 \h </w:instrText>
        </w:r>
        <w:r>
          <w:fldChar w:fldCharType="separate"/>
        </w:r>
        <w:r w:rsidR="00463294">
          <w:rPr>
            <w:noProof/>
          </w:rPr>
          <w:t>3</w:t>
        </w:r>
        <w:r>
          <w:fldChar w:fldCharType="end"/>
        </w:r>
      </w:hyperlink>
    </w:p>
    <w:p w14:paraId="5B544FA4" w14:textId="77777777" w:rsidR="00567D74" w:rsidRDefault="0080101E">
      <w:pPr>
        <w:pStyle w:val="10"/>
        <w:tabs>
          <w:tab w:val="right" w:leader="dot" w:pos="8296"/>
        </w:tabs>
        <w:rPr>
          <w:rFonts w:ascii="Calibri" w:hAnsi="Calibri"/>
          <w:noProof/>
          <w:sz w:val="22"/>
        </w:rPr>
      </w:pPr>
      <w:hyperlink w:anchor="_Toc256000001" w:history="1">
        <w:r w:rsidR="00567D74">
          <w:rPr>
            <w:rStyle w:val="a3"/>
            <w:kern w:val="36"/>
          </w:rPr>
          <w:t>第二部分 释义</w:t>
        </w:r>
        <w:r w:rsidR="00567D74">
          <w:tab/>
        </w:r>
        <w:r w:rsidR="00567D74">
          <w:fldChar w:fldCharType="begin"/>
        </w:r>
        <w:r w:rsidR="00567D74">
          <w:instrText xml:space="preserve"> PAGEREF _Toc256000001 \h </w:instrText>
        </w:r>
        <w:r w:rsidR="00567D74">
          <w:fldChar w:fldCharType="separate"/>
        </w:r>
        <w:r w:rsidR="00463294">
          <w:rPr>
            <w:noProof/>
          </w:rPr>
          <w:t>5</w:t>
        </w:r>
        <w:r w:rsidR="00567D74">
          <w:fldChar w:fldCharType="end"/>
        </w:r>
      </w:hyperlink>
    </w:p>
    <w:p w14:paraId="4C803CD1" w14:textId="77777777" w:rsidR="00567D74" w:rsidRDefault="0080101E">
      <w:pPr>
        <w:pStyle w:val="10"/>
        <w:tabs>
          <w:tab w:val="right" w:leader="dot" w:pos="8296"/>
        </w:tabs>
        <w:rPr>
          <w:rFonts w:ascii="Calibri" w:hAnsi="Calibri"/>
          <w:noProof/>
          <w:sz w:val="22"/>
        </w:rPr>
      </w:pPr>
      <w:hyperlink w:anchor="_Toc256000002" w:history="1">
        <w:r w:rsidR="00567D74">
          <w:rPr>
            <w:rStyle w:val="a3"/>
            <w:kern w:val="36"/>
          </w:rPr>
          <w:t>第三部分 基金的基本情况</w:t>
        </w:r>
        <w:r w:rsidR="00567D74">
          <w:tab/>
        </w:r>
        <w:r w:rsidR="00567D74">
          <w:fldChar w:fldCharType="begin"/>
        </w:r>
        <w:r w:rsidR="00567D74">
          <w:instrText xml:space="preserve"> PAGEREF _Toc256000002 \h </w:instrText>
        </w:r>
        <w:r w:rsidR="00567D74">
          <w:fldChar w:fldCharType="separate"/>
        </w:r>
        <w:r w:rsidR="00463294">
          <w:rPr>
            <w:noProof/>
          </w:rPr>
          <w:t>9</w:t>
        </w:r>
        <w:r w:rsidR="00567D74">
          <w:fldChar w:fldCharType="end"/>
        </w:r>
      </w:hyperlink>
    </w:p>
    <w:p w14:paraId="6EA9E987" w14:textId="77777777" w:rsidR="00567D74" w:rsidRDefault="0080101E">
      <w:pPr>
        <w:pStyle w:val="10"/>
        <w:tabs>
          <w:tab w:val="right" w:leader="dot" w:pos="8296"/>
        </w:tabs>
        <w:rPr>
          <w:rFonts w:ascii="Calibri" w:hAnsi="Calibri"/>
          <w:noProof/>
          <w:sz w:val="22"/>
        </w:rPr>
      </w:pPr>
      <w:hyperlink w:anchor="_Toc256000003" w:history="1">
        <w:r w:rsidR="00567D74">
          <w:rPr>
            <w:rStyle w:val="a3"/>
            <w:kern w:val="36"/>
          </w:rPr>
          <w:t>第四部分 基金份额的发售</w:t>
        </w:r>
        <w:r w:rsidR="00567D74">
          <w:tab/>
        </w:r>
        <w:r w:rsidR="00567D74">
          <w:fldChar w:fldCharType="begin"/>
        </w:r>
        <w:r w:rsidR="00567D74">
          <w:instrText xml:space="preserve"> PAGEREF _Toc256000003 \h </w:instrText>
        </w:r>
        <w:r w:rsidR="00567D74">
          <w:fldChar w:fldCharType="separate"/>
        </w:r>
        <w:r w:rsidR="00463294">
          <w:rPr>
            <w:noProof/>
          </w:rPr>
          <w:t>10</w:t>
        </w:r>
        <w:r w:rsidR="00567D74">
          <w:fldChar w:fldCharType="end"/>
        </w:r>
      </w:hyperlink>
    </w:p>
    <w:p w14:paraId="0770C473" w14:textId="77777777" w:rsidR="00567D74" w:rsidRDefault="0080101E">
      <w:pPr>
        <w:pStyle w:val="10"/>
        <w:tabs>
          <w:tab w:val="right" w:leader="dot" w:pos="8296"/>
        </w:tabs>
        <w:rPr>
          <w:rFonts w:ascii="Calibri" w:hAnsi="Calibri"/>
          <w:noProof/>
          <w:sz w:val="22"/>
        </w:rPr>
      </w:pPr>
      <w:hyperlink w:anchor="_Toc256000004" w:history="1">
        <w:r w:rsidR="00567D74">
          <w:rPr>
            <w:rStyle w:val="a3"/>
            <w:kern w:val="36"/>
          </w:rPr>
          <w:t>第五部分 基金备案</w:t>
        </w:r>
        <w:r w:rsidR="00567D74">
          <w:tab/>
        </w:r>
        <w:r w:rsidR="00567D74">
          <w:fldChar w:fldCharType="begin"/>
        </w:r>
        <w:r w:rsidR="00567D74">
          <w:instrText xml:space="preserve"> PAGEREF _Toc256000004 \h </w:instrText>
        </w:r>
        <w:r w:rsidR="00567D74">
          <w:fldChar w:fldCharType="separate"/>
        </w:r>
        <w:r w:rsidR="00463294">
          <w:rPr>
            <w:noProof/>
          </w:rPr>
          <w:t>12</w:t>
        </w:r>
        <w:r w:rsidR="00567D74">
          <w:fldChar w:fldCharType="end"/>
        </w:r>
      </w:hyperlink>
    </w:p>
    <w:p w14:paraId="0C2D328B" w14:textId="77777777" w:rsidR="00567D74" w:rsidRDefault="0080101E">
      <w:pPr>
        <w:pStyle w:val="10"/>
        <w:tabs>
          <w:tab w:val="right" w:leader="dot" w:pos="8296"/>
        </w:tabs>
        <w:rPr>
          <w:rFonts w:ascii="Calibri" w:hAnsi="Calibri"/>
          <w:noProof/>
          <w:sz w:val="22"/>
        </w:rPr>
      </w:pPr>
      <w:hyperlink w:anchor="_Toc256000005" w:history="1">
        <w:r w:rsidR="00567D74">
          <w:rPr>
            <w:rStyle w:val="a3"/>
            <w:kern w:val="36"/>
          </w:rPr>
          <w:t>第六部分 基金份额的申购与赎回</w:t>
        </w:r>
        <w:r w:rsidR="00567D74">
          <w:tab/>
        </w:r>
        <w:r w:rsidR="00567D74">
          <w:fldChar w:fldCharType="begin"/>
        </w:r>
        <w:r w:rsidR="00567D74">
          <w:instrText xml:space="preserve"> PAGEREF _Toc256000005 \h </w:instrText>
        </w:r>
        <w:r w:rsidR="00567D74">
          <w:fldChar w:fldCharType="separate"/>
        </w:r>
        <w:r w:rsidR="00463294">
          <w:rPr>
            <w:noProof/>
          </w:rPr>
          <w:t>13</w:t>
        </w:r>
        <w:r w:rsidR="00567D74">
          <w:fldChar w:fldCharType="end"/>
        </w:r>
      </w:hyperlink>
    </w:p>
    <w:p w14:paraId="3CF8ABE7" w14:textId="77777777" w:rsidR="00567D74" w:rsidRDefault="0080101E">
      <w:pPr>
        <w:pStyle w:val="10"/>
        <w:tabs>
          <w:tab w:val="right" w:leader="dot" w:pos="8296"/>
        </w:tabs>
        <w:rPr>
          <w:rFonts w:ascii="Calibri" w:hAnsi="Calibri"/>
          <w:noProof/>
          <w:sz w:val="22"/>
        </w:rPr>
      </w:pPr>
      <w:hyperlink w:anchor="_Toc256000006" w:history="1">
        <w:r w:rsidR="00567D74">
          <w:rPr>
            <w:rStyle w:val="a3"/>
            <w:kern w:val="36"/>
          </w:rPr>
          <w:t>第七部分 基金合同当事人及权利义务</w:t>
        </w:r>
        <w:r w:rsidR="00567D74">
          <w:tab/>
        </w:r>
        <w:r w:rsidR="00567D74">
          <w:fldChar w:fldCharType="begin"/>
        </w:r>
        <w:r w:rsidR="00567D74">
          <w:instrText xml:space="preserve"> PAGEREF _Toc256000006 \h </w:instrText>
        </w:r>
        <w:r w:rsidR="00567D74">
          <w:fldChar w:fldCharType="separate"/>
        </w:r>
        <w:r w:rsidR="00463294">
          <w:rPr>
            <w:noProof/>
          </w:rPr>
          <w:t>20</w:t>
        </w:r>
        <w:r w:rsidR="00567D74">
          <w:fldChar w:fldCharType="end"/>
        </w:r>
      </w:hyperlink>
    </w:p>
    <w:p w14:paraId="2AE7999B" w14:textId="77777777" w:rsidR="00567D74" w:rsidRDefault="0080101E">
      <w:pPr>
        <w:pStyle w:val="10"/>
        <w:tabs>
          <w:tab w:val="right" w:leader="dot" w:pos="8296"/>
        </w:tabs>
        <w:rPr>
          <w:rFonts w:ascii="Calibri" w:hAnsi="Calibri"/>
          <w:noProof/>
          <w:sz w:val="22"/>
        </w:rPr>
      </w:pPr>
      <w:hyperlink w:anchor="_Toc256000007" w:history="1">
        <w:r w:rsidR="00567D74">
          <w:rPr>
            <w:rStyle w:val="a3"/>
            <w:kern w:val="36"/>
          </w:rPr>
          <w:t>第八部分 基金份额持有人大会</w:t>
        </w:r>
        <w:r w:rsidR="00567D74">
          <w:tab/>
        </w:r>
        <w:r w:rsidR="00567D74">
          <w:fldChar w:fldCharType="begin"/>
        </w:r>
        <w:r w:rsidR="00567D74">
          <w:instrText xml:space="preserve"> PAGEREF _Toc256000007 \h </w:instrText>
        </w:r>
        <w:r w:rsidR="00567D74">
          <w:fldChar w:fldCharType="separate"/>
        </w:r>
        <w:r w:rsidR="00463294">
          <w:rPr>
            <w:noProof/>
          </w:rPr>
          <w:t>26</w:t>
        </w:r>
        <w:r w:rsidR="00567D74">
          <w:fldChar w:fldCharType="end"/>
        </w:r>
      </w:hyperlink>
    </w:p>
    <w:p w14:paraId="11FC9D3D" w14:textId="77777777" w:rsidR="00567D74" w:rsidRDefault="0080101E">
      <w:pPr>
        <w:pStyle w:val="10"/>
        <w:tabs>
          <w:tab w:val="right" w:leader="dot" w:pos="8296"/>
        </w:tabs>
        <w:rPr>
          <w:rFonts w:ascii="Calibri" w:hAnsi="Calibri"/>
          <w:noProof/>
          <w:sz w:val="22"/>
        </w:rPr>
      </w:pPr>
      <w:hyperlink w:anchor="_Toc256000008" w:history="1">
        <w:r w:rsidR="00567D74">
          <w:rPr>
            <w:rStyle w:val="a3"/>
            <w:kern w:val="36"/>
          </w:rPr>
          <w:t>第九部分 基金管理人、基金托管人的更换条件和程序</w:t>
        </w:r>
        <w:r w:rsidR="00567D74">
          <w:tab/>
        </w:r>
        <w:r w:rsidR="00567D74">
          <w:fldChar w:fldCharType="begin"/>
        </w:r>
        <w:r w:rsidR="00567D74">
          <w:instrText xml:space="preserve"> PAGEREF _Toc256000008 \h </w:instrText>
        </w:r>
        <w:r w:rsidR="00567D74">
          <w:fldChar w:fldCharType="separate"/>
        </w:r>
        <w:r w:rsidR="00463294">
          <w:rPr>
            <w:noProof/>
          </w:rPr>
          <w:t>33</w:t>
        </w:r>
        <w:r w:rsidR="00567D74">
          <w:fldChar w:fldCharType="end"/>
        </w:r>
      </w:hyperlink>
    </w:p>
    <w:p w14:paraId="2328DD0B" w14:textId="77777777" w:rsidR="00567D74" w:rsidRDefault="0080101E">
      <w:pPr>
        <w:pStyle w:val="10"/>
        <w:tabs>
          <w:tab w:val="right" w:leader="dot" w:pos="8296"/>
        </w:tabs>
        <w:rPr>
          <w:rFonts w:ascii="Calibri" w:hAnsi="Calibri"/>
          <w:noProof/>
          <w:sz w:val="22"/>
        </w:rPr>
      </w:pPr>
      <w:hyperlink w:anchor="_Toc256000009" w:history="1">
        <w:r w:rsidR="00567D74">
          <w:rPr>
            <w:rStyle w:val="a3"/>
            <w:kern w:val="36"/>
          </w:rPr>
          <w:t>第十部分 基金的托管</w:t>
        </w:r>
        <w:r w:rsidR="00567D74">
          <w:tab/>
        </w:r>
        <w:r w:rsidR="00567D74">
          <w:fldChar w:fldCharType="begin"/>
        </w:r>
        <w:r w:rsidR="00567D74">
          <w:instrText xml:space="preserve"> PAGEREF _Toc256000009 \h </w:instrText>
        </w:r>
        <w:r w:rsidR="00567D74">
          <w:fldChar w:fldCharType="separate"/>
        </w:r>
        <w:r w:rsidR="00463294">
          <w:rPr>
            <w:noProof/>
          </w:rPr>
          <w:t>35</w:t>
        </w:r>
        <w:r w:rsidR="00567D74">
          <w:fldChar w:fldCharType="end"/>
        </w:r>
      </w:hyperlink>
    </w:p>
    <w:p w14:paraId="71B4A517" w14:textId="77777777" w:rsidR="00567D74" w:rsidRDefault="0080101E">
      <w:pPr>
        <w:pStyle w:val="10"/>
        <w:tabs>
          <w:tab w:val="right" w:leader="dot" w:pos="8296"/>
        </w:tabs>
        <w:rPr>
          <w:rFonts w:ascii="Calibri" w:hAnsi="Calibri"/>
          <w:noProof/>
          <w:sz w:val="22"/>
        </w:rPr>
      </w:pPr>
      <w:hyperlink w:anchor="_Toc256000010" w:history="1">
        <w:r w:rsidR="00567D74">
          <w:rPr>
            <w:rStyle w:val="a3"/>
            <w:kern w:val="36"/>
          </w:rPr>
          <w:t>第十一部分 基金份额的登记</w:t>
        </w:r>
        <w:r w:rsidR="00567D74">
          <w:tab/>
        </w:r>
        <w:r w:rsidR="00567D74">
          <w:fldChar w:fldCharType="begin"/>
        </w:r>
        <w:r w:rsidR="00567D74">
          <w:instrText xml:space="preserve"> PAGEREF _Toc256000010 \h </w:instrText>
        </w:r>
        <w:r w:rsidR="00567D74">
          <w:fldChar w:fldCharType="separate"/>
        </w:r>
        <w:r w:rsidR="00463294">
          <w:rPr>
            <w:noProof/>
          </w:rPr>
          <w:t>36</w:t>
        </w:r>
        <w:r w:rsidR="00567D74">
          <w:fldChar w:fldCharType="end"/>
        </w:r>
      </w:hyperlink>
    </w:p>
    <w:p w14:paraId="3A2E691A" w14:textId="77777777" w:rsidR="00567D74" w:rsidRDefault="0080101E">
      <w:pPr>
        <w:pStyle w:val="10"/>
        <w:tabs>
          <w:tab w:val="right" w:leader="dot" w:pos="8296"/>
        </w:tabs>
        <w:rPr>
          <w:rFonts w:ascii="Calibri" w:hAnsi="Calibri"/>
          <w:noProof/>
          <w:sz w:val="22"/>
        </w:rPr>
      </w:pPr>
      <w:hyperlink w:anchor="_Toc256000011" w:history="1">
        <w:r w:rsidR="00567D74">
          <w:rPr>
            <w:rStyle w:val="a3"/>
            <w:kern w:val="36"/>
          </w:rPr>
          <w:t>第十二部分 基金的投资</w:t>
        </w:r>
        <w:r w:rsidR="00567D74">
          <w:tab/>
        </w:r>
        <w:r w:rsidR="00567D74">
          <w:fldChar w:fldCharType="begin"/>
        </w:r>
        <w:r w:rsidR="00567D74">
          <w:instrText xml:space="preserve"> PAGEREF _Toc256000011 \h </w:instrText>
        </w:r>
        <w:r w:rsidR="00567D74">
          <w:fldChar w:fldCharType="separate"/>
        </w:r>
        <w:r w:rsidR="00463294">
          <w:rPr>
            <w:noProof/>
          </w:rPr>
          <w:t>37</w:t>
        </w:r>
        <w:r w:rsidR="00567D74">
          <w:fldChar w:fldCharType="end"/>
        </w:r>
      </w:hyperlink>
    </w:p>
    <w:p w14:paraId="2182ED21" w14:textId="77777777" w:rsidR="00567D74" w:rsidRDefault="0080101E">
      <w:pPr>
        <w:pStyle w:val="10"/>
        <w:tabs>
          <w:tab w:val="right" w:leader="dot" w:pos="8296"/>
        </w:tabs>
        <w:rPr>
          <w:rFonts w:ascii="Calibri" w:hAnsi="Calibri"/>
          <w:noProof/>
          <w:sz w:val="22"/>
        </w:rPr>
      </w:pPr>
      <w:hyperlink w:anchor="_Toc256000012" w:history="1">
        <w:r w:rsidR="00567D74">
          <w:rPr>
            <w:rStyle w:val="a3"/>
            <w:kern w:val="36"/>
          </w:rPr>
          <w:t>第十三部分 基金的财产</w:t>
        </w:r>
        <w:r w:rsidR="00567D74">
          <w:tab/>
        </w:r>
        <w:r w:rsidR="00567D74">
          <w:fldChar w:fldCharType="begin"/>
        </w:r>
        <w:r w:rsidR="00567D74">
          <w:instrText xml:space="preserve"> PAGEREF _Toc256000012 \h </w:instrText>
        </w:r>
        <w:r w:rsidR="00567D74">
          <w:fldChar w:fldCharType="separate"/>
        </w:r>
        <w:r w:rsidR="00463294">
          <w:rPr>
            <w:noProof/>
          </w:rPr>
          <w:t>44</w:t>
        </w:r>
        <w:r w:rsidR="00567D74">
          <w:fldChar w:fldCharType="end"/>
        </w:r>
      </w:hyperlink>
    </w:p>
    <w:p w14:paraId="36CFC6EF" w14:textId="77777777" w:rsidR="00567D74" w:rsidRDefault="0080101E">
      <w:pPr>
        <w:pStyle w:val="10"/>
        <w:tabs>
          <w:tab w:val="right" w:leader="dot" w:pos="8296"/>
        </w:tabs>
        <w:rPr>
          <w:rFonts w:ascii="Calibri" w:hAnsi="Calibri"/>
          <w:noProof/>
          <w:sz w:val="22"/>
        </w:rPr>
      </w:pPr>
      <w:hyperlink w:anchor="_Toc256000013" w:history="1">
        <w:r w:rsidR="00567D74">
          <w:rPr>
            <w:rStyle w:val="a3"/>
            <w:kern w:val="36"/>
          </w:rPr>
          <w:t>第十四部分 基金资产估值</w:t>
        </w:r>
        <w:r w:rsidR="00567D74">
          <w:tab/>
        </w:r>
        <w:r w:rsidR="00567D74">
          <w:fldChar w:fldCharType="begin"/>
        </w:r>
        <w:r w:rsidR="00567D74">
          <w:instrText xml:space="preserve"> PAGEREF _Toc256000013 \h </w:instrText>
        </w:r>
        <w:r w:rsidR="00567D74">
          <w:fldChar w:fldCharType="separate"/>
        </w:r>
        <w:r w:rsidR="00463294">
          <w:rPr>
            <w:noProof/>
          </w:rPr>
          <w:t>45</w:t>
        </w:r>
        <w:r w:rsidR="00567D74">
          <w:fldChar w:fldCharType="end"/>
        </w:r>
      </w:hyperlink>
    </w:p>
    <w:p w14:paraId="5C0F7E49" w14:textId="77777777" w:rsidR="00567D74" w:rsidRDefault="0080101E">
      <w:pPr>
        <w:pStyle w:val="10"/>
        <w:tabs>
          <w:tab w:val="right" w:leader="dot" w:pos="8296"/>
        </w:tabs>
        <w:rPr>
          <w:rFonts w:ascii="Calibri" w:hAnsi="Calibri"/>
          <w:noProof/>
          <w:sz w:val="22"/>
        </w:rPr>
      </w:pPr>
      <w:hyperlink w:anchor="_Toc256000014" w:history="1">
        <w:r w:rsidR="00567D74">
          <w:rPr>
            <w:rStyle w:val="a3"/>
            <w:kern w:val="36"/>
          </w:rPr>
          <w:t>第十五部分 基金费用与税收</w:t>
        </w:r>
        <w:r w:rsidR="00567D74">
          <w:tab/>
        </w:r>
        <w:r w:rsidR="00567D74">
          <w:fldChar w:fldCharType="begin"/>
        </w:r>
        <w:r w:rsidR="00567D74">
          <w:instrText xml:space="preserve"> PAGEREF _Toc256000014 \h </w:instrText>
        </w:r>
        <w:r w:rsidR="00567D74">
          <w:fldChar w:fldCharType="separate"/>
        </w:r>
        <w:r w:rsidR="00463294">
          <w:rPr>
            <w:noProof/>
          </w:rPr>
          <w:t>50</w:t>
        </w:r>
        <w:r w:rsidR="00567D74">
          <w:fldChar w:fldCharType="end"/>
        </w:r>
      </w:hyperlink>
    </w:p>
    <w:p w14:paraId="596CB0F3" w14:textId="77777777" w:rsidR="00567D74" w:rsidRDefault="0080101E">
      <w:pPr>
        <w:pStyle w:val="10"/>
        <w:tabs>
          <w:tab w:val="right" w:leader="dot" w:pos="8296"/>
        </w:tabs>
        <w:rPr>
          <w:rFonts w:ascii="Calibri" w:hAnsi="Calibri"/>
          <w:noProof/>
          <w:sz w:val="22"/>
        </w:rPr>
      </w:pPr>
      <w:hyperlink w:anchor="_Toc256000015" w:history="1">
        <w:r w:rsidR="00567D74">
          <w:rPr>
            <w:rStyle w:val="a3"/>
            <w:kern w:val="36"/>
          </w:rPr>
          <w:t>第十六部分 基金的收益与分配</w:t>
        </w:r>
        <w:r w:rsidR="00567D74">
          <w:tab/>
        </w:r>
        <w:r w:rsidR="00567D74">
          <w:fldChar w:fldCharType="begin"/>
        </w:r>
        <w:r w:rsidR="00567D74">
          <w:instrText xml:space="preserve"> PAGEREF _Toc256000015 \h </w:instrText>
        </w:r>
        <w:r w:rsidR="00567D74">
          <w:fldChar w:fldCharType="separate"/>
        </w:r>
        <w:r w:rsidR="00463294">
          <w:rPr>
            <w:noProof/>
          </w:rPr>
          <w:t>52</w:t>
        </w:r>
        <w:r w:rsidR="00567D74">
          <w:fldChar w:fldCharType="end"/>
        </w:r>
      </w:hyperlink>
    </w:p>
    <w:p w14:paraId="39CD52D6" w14:textId="77777777" w:rsidR="00567D74" w:rsidRDefault="0080101E">
      <w:pPr>
        <w:pStyle w:val="10"/>
        <w:tabs>
          <w:tab w:val="right" w:leader="dot" w:pos="8296"/>
        </w:tabs>
        <w:rPr>
          <w:rFonts w:ascii="Calibri" w:hAnsi="Calibri"/>
          <w:noProof/>
          <w:sz w:val="22"/>
        </w:rPr>
      </w:pPr>
      <w:hyperlink w:anchor="_Toc256000016" w:history="1">
        <w:r w:rsidR="00567D74">
          <w:rPr>
            <w:rStyle w:val="a3"/>
            <w:kern w:val="36"/>
          </w:rPr>
          <w:t>第十七部分 基金的会计与审计</w:t>
        </w:r>
        <w:r w:rsidR="00567D74">
          <w:tab/>
        </w:r>
        <w:r w:rsidR="00567D74">
          <w:fldChar w:fldCharType="begin"/>
        </w:r>
        <w:r w:rsidR="00567D74">
          <w:instrText xml:space="preserve"> PAGEREF _Toc256000016 \h </w:instrText>
        </w:r>
        <w:r w:rsidR="00567D74">
          <w:fldChar w:fldCharType="separate"/>
        </w:r>
        <w:r w:rsidR="00463294">
          <w:rPr>
            <w:noProof/>
          </w:rPr>
          <w:t>54</w:t>
        </w:r>
        <w:r w:rsidR="00567D74">
          <w:fldChar w:fldCharType="end"/>
        </w:r>
      </w:hyperlink>
    </w:p>
    <w:p w14:paraId="14EFBF8D" w14:textId="77777777" w:rsidR="00567D74" w:rsidRDefault="0080101E">
      <w:pPr>
        <w:pStyle w:val="10"/>
        <w:tabs>
          <w:tab w:val="right" w:leader="dot" w:pos="8296"/>
        </w:tabs>
        <w:rPr>
          <w:rFonts w:ascii="Calibri" w:hAnsi="Calibri"/>
          <w:noProof/>
          <w:sz w:val="22"/>
        </w:rPr>
      </w:pPr>
      <w:hyperlink w:anchor="_Toc256000017" w:history="1">
        <w:r w:rsidR="00567D74">
          <w:rPr>
            <w:rStyle w:val="a3"/>
            <w:kern w:val="36"/>
          </w:rPr>
          <w:t>第十八部分 基金的信息披露</w:t>
        </w:r>
        <w:r w:rsidR="00567D74">
          <w:tab/>
        </w:r>
        <w:r w:rsidR="00567D74">
          <w:fldChar w:fldCharType="begin"/>
        </w:r>
        <w:r w:rsidR="00567D74">
          <w:instrText xml:space="preserve"> PAGEREF _Toc256000017 \h </w:instrText>
        </w:r>
        <w:r w:rsidR="00567D74">
          <w:fldChar w:fldCharType="separate"/>
        </w:r>
        <w:r w:rsidR="00463294">
          <w:rPr>
            <w:noProof/>
          </w:rPr>
          <w:t>55</w:t>
        </w:r>
        <w:r w:rsidR="00567D74">
          <w:fldChar w:fldCharType="end"/>
        </w:r>
      </w:hyperlink>
    </w:p>
    <w:p w14:paraId="4C94359A" w14:textId="77777777" w:rsidR="00567D74" w:rsidRDefault="0080101E">
      <w:pPr>
        <w:pStyle w:val="10"/>
        <w:tabs>
          <w:tab w:val="right" w:leader="dot" w:pos="8296"/>
        </w:tabs>
        <w:rPr>
          <w:rFonts w:ascii="Calibri" w:hAnsi="Calibri"/>
          <w:noProof/>
          <w:sz w:val="22"/>
        </w:rPr>
      </w:pPr>
      <w:hyperlink w:anchor="_Toc256000018" w:history="1">
        <w:r w:rsidR="00567D74">
          <w:rPr>
            <w:rStyle w:val="a3"/>
            <w:kern w:val="36"/>
          </w:rPr>
          <w:t>第十九部分 基金合同的变更、终止与基金财产的清算</w:t>
        </w:r>
        <w:r w:rsidR="00567D74">
          <w:tab/>
        </w:r>
        <w:r w:rsidR="00567D74">
          <w:fldChar w:fldCharType="begin"/>
        </w:r>
        <w:r w:rsidR="00567D74">
          <w:instrText xml:space="preserve"> PAGEREF _Toc256000018 \h </w:instrText>
        </w:r>
        <w:r w:rsidR="00567D74">
          <w:fldChar w:fldCharType="separate"/>
        </w:r>
        <w:r w:rsidR="00463294">
          <w:rPr>
            <w:noProof/>
          </w:rPr>
          <w:t>61</w:t>
        </w:r>
        <w:r w:rsidR="00567D74">
          <w:fldChar w:fldCharType="end"/>
        </w:r>
      </w:hyperlink>
    </w:p>
    <w:p w14:paraId="6CD92351" w14:textId="77777777" w:rsidR="00567D74" w:rsidRDefault="0080101E">
      <w:pPr>
        <w:pStyle w:val="10"/>
        <w:tabs>
          <w:tab w:val="right" w:leader="dot" w:pos="8296"/>
        </w:tabs>
        <w:rPr>
          <w:rFonts w:ascii="Calibri" w:hAnsi="Calibri"/>
          <w:noProof/>
          <w:sz w:val="22"/>
        </w:rPr>
      </w:pPr>
      <w:hyperlink w:anchor="_Toc256000019" w:history="1">
        <w:r w:rsidR="00567D74">
          <w:rPr>
            <w:rStyle w:val="a3"/>
            <w:kern w:val="36"/>
          </w:rPr>
          <w:t>第二十部分 违约责任</w:t>
        </w:r>
        <w:r w:rsidR="00567D74">
          <w:tab/>
        </w:r>
        <w:r w:rsidR="00567D74">
          <w:fldChar w:fldCharType="begin"/>
        </w:r>
        <w:r w:rsidR="00567D74">
          <w:instrText xml:space="preserve"> PAGEREF _Toc256000019 \h </w:instrText>
        </w:r>
        <w:r w:rsidR="00567D74">
          <w:fldChar w:fldCharType="separate"/>
        </w:r>
        <w:r w:rsidR="00463294">
          <w:rPr>
            <w:noProof/>
          </w:rPr>
          <w:t>63</w:t>
        </w:r>
        <w:r w:rsidR="00567D74">
          <w:fldChar w:fldCharType="end"/>
        </w:r>
      </w:hyperlink>
    </w:p>
    <w:p w14:paraId="612CDA7A" w14:textId="77777777" w:rsidR="00567D74" w:rsidRDefault="0080101E">
      <w:pPr>
        <w:pStyle w:val="10"/>
        <w:tabs>
          <w:tab w:val="right" w:leader="dot" w:pos="8296"/>
        </w:tabs>
        <w:rPr>
          <w:rFonts w:ascii="Calibri" w:hAnsi="Calibri"/>
          <w:noProof/>
          <w:sz w:val="22"/>
        </w:rPr>
      </w:pPr>
      <w:hyperlink w:anchor="_Toc256000020" w:history="1">
        <w:r w:rsidR="00567D74">
          <w:rPr>
            <w:rStyle w:val="a3"/>
            <w:kern w:val="36"/>
          </w:rPr>
          <w:t>第二十一部分 争议的处理和适用的法律</w:t>
        </w:r>
        <w:r w:rsidR="00567D74">
          <w:tab/>
        </w:r>
        <w:r w:rsidR="00567D74">
          <w:fldChar w:fldCharType="begin"/>
        </w:r>
        <w:r w:rsidR="00567D74">
          <w:instrText xml:space="preserve"> PAGEREF _Toc256000020 \h </w:instrText>
        </w:r>
        <w:r w:rsidR="00567D74">
          <w:fldChar w:fldCharType="separate"/>
        </w:r>
        <w:r w:rsidR="00463294">
          <w:rPr>
            <w:noProof/>
          </w:rPr>
          <w:t>64</w:t>
        </w:r>
        <w:r w:rsidR="00567D74">
          <w:fldChar w:fldCharType="end"/>
        </w:r>
      </w:hyperlink>
    </w:p>
    <w:p w14:paraId="10C6647F" w14:textId="77777777" w:rsidR="00567D74" w:rsidRDefault="0080101E">
      <w:pPr>
        <w:pStyle w:val="10"/>
        <w:tabs>
          <w:tab w:val="right" w:leader="dot" w:pos="8296"/>
        </w:tabs>
        <w:rPr>
          <w:rFonts w:ascii="Calibri" w:hAnsi="Calibri"/>
          <w:noProof/>
          <w:sz w:val="22"/>
        </w:rPr>
      </w:pPr>
      <w:hyperlink w:anchor="_Toc256000021" w:history="1">
        <w:r w:rsidR="00567D74">
          <w:rPr>
            <w:rStyle w:val="a3"/>
            <w:kern w:val="36"/>
          </w:rPr>
          <w:t>第二十二部分 基金合同的效力</w:t>
        </w:r>
        <w:r w:rsidR="00567D74">
          <w:tab/>
        </w:r>
        <w:r w:rsidR="00567D74">
          <w:fldChar w:fldCharType="begin"/>
        </w:r>
        <w:r w:rsidR="00567D74">
          <w:instrText xml:space="preserve"> PAGEREF _Toc256000021 \h </w:instrText>
        </w:r>
        <w:r w:rsidR="00567D74">
          <w:fldChar w:fldCharType="separate"/>
        </w:r>
        <w:r w:rsidR="00463294">
          <w:rPr>
            <w:noProof/>
          </w:rPr>
          <w:t>65</w:t>
        </w:r>
        <w:r w:rsidR="00567D74">
          <w:fldChar w:fldCharType="end"/>
        </w:r>
      </w:hyperlink>
    </w:p>
    <w:p w14:paraId="260A1E60" w14:textId="77777777" w:rsidR="00567D74" w:rsidRDefault="0080101E">
      <w:pPr>
        <w:pStyle w:val="10"/>
        <w:tabs>
          <w:tab w:val="right" w:leader="dot" w:pos="8296"/>
        </w:tabs>
        <w:rPr>
          <w:rFonts w:ascii="Calibri" w:hAnsi="Calibri"/>
          <w:noProof/>
          <w:sz w:val="22"/>
        </w:rPr>
      </w:pPr>
      <w:hyperlink w:anchor="_Toc256000022" w:history="1">
        <w:r w:rsidR="00567D74">
          <w:rPr>
            <w:rStyle w:val="a3"/>
            <w:kern w:val="36"/>
          </w:rPr>
          <w:t>第二十三部分 其他事项</w:t>
        </w:r>
        <w:r w:rsidR="00567D74">
          <w:tab/>
        </w:r>
        <w:r w:rsidR="00567D74">
          <w:fldChar w:fldCharType="begin"/>
        </w:r>
        <w:r w:rsidR="00567D74">
          <w:instrText xml:space="preserve"> PAGEREF _Toc256000022 \h </w:instrText>
        </w:r>
        <w:r w:rsidR="00567D74">
          <w:fldChar w:fldCharType="separate"/>
        </w:r>
        <w:r w:rsidR="00463294">
          <w:rPr>
            <w:noProof/>
          </w:rPr>
          <w:t>66</w:t>
        </w:r>
        <w:r w:rsidR="00567D74">
          <w:fldChar w:fldCharType="end"/>
        </w:r>
      </w:hyperlink>
    </w:p>
    <w:p w14:paraId="6D3C123A" w14:textId="77777777" w:rsidR="00567D74" w:rsidRDefault="0080101E">
      <w:pPr>
        <w:pStyle w:val="10"/>
        <w:tabs>
          <w:tab w:val="right" w:leader="dot" w:pos="8296"/>
        </w:tabs>
        <w:rPr>
          <w:rFonts w:ascii="Calibri" w:hAnsi="Calibri"/>
          <w:noProof/>
          <w:sz w:val="22"/>
        </w:rPr>
      </w:pPr>
      <w:hyperlink w:anchor="_Toc256000023" w:history="1">
        <w:r w:rsidR="00567D74">
          <w:rPr>
            <w:rStyle w:val="a3"/>
            <w:kern w:val="36"/>
          </w:rPr>
          <w:t>第二十四部分 基金合同内容摘要</w:t>
        </w:r>
        <w:r w:rsidR="00567D74">
          <w:tab/>
        </w:r>
        <w:r w:rsidR="00567D74">
          <w:fldChar w:fldCharType="begin"/>
        </w:r>
        <w:r w:rsidR="00567D74">
          <w:instrText xml:space="preserve"> PAGEREF _Toc256000023 \h </w:instrText>
        </w:r>
        <w:r w:rsidR="00567D74">
          <w:fldChar w:fldCharType="separate"/>
        </w:r>
        <w:r w:rsidR="00463294">
          <w:rPr>
            <w:noProof/>
          </w:rPr>
          <w:t>67</w:t>
        </w:r>
        <w:r w:rsidR="00567D74">
          <w:fldChar w:fldCharType="end"/>
        </w:r>
      </w:hyperlink>
    </w:p>
    <w:p w14:paraId="3494349B" w14:textId="77777777" w:rsidR="00567D74" w:rsidRDefault="00567D74">
      <w:pPr>
        <w:spacing w:beforeLines="100" w:before="240" w:afterLines="100" w:after="240"/>
        <w:jc w:val="center"/>
        <w:rPr>
          <w:rFonts w:ascii="宋体" w:hAnsi="宋体" w:cs="宋体"/>
          <w:b/>
        </w:rPr>
      </w:pPr>
      <w:r>
        <w:rPr>
          <w:rFonts w:ascii="宋体" w:hAnsi="宋体" w:cs="宋体"/>
          <w:b/>
        </w:rPr>
        <w:fldChar w:fldCharType="end"/>
      </w:r>
      <w:bookmarkEnd w:id="0"/>
      <w:r>
        <w:rPr>
          <w:rFonts w:eastAsia="Times New Roman"/>
        </w:rPr>
        <w:t xml:space="preserve">  </w:t>
      </w:r>
    </w:p>
    <w:p w14:paraId="34B2E9C3" w14:textId="77777777" w:rsidR="00567D74" w:rsidRDefault="00567D74">
      <w:pPr>
        <w:pStyle w:val="1"/>
        <w:keepLines/>
        <w:pageBreakBefore/>
        <w:widowControl w:val="0"/>
        <w:spacing w:before="0" w:after="0" w:line="360" w:lineRule="auto"/>
        <w:jc w:val="center"/>
        <w:rPr>
          <w:rFonts w:ascii="Times New Roman" w:eastAsia="Times New Roman" w:hAnsi="Times New Roman" w:cs="Times New Roman"/>
        </w:rPr>
      </w:pPr>
      <w:bookmarkStart w:id="1" w:name="_Toc256000000"/>
      <w:r>
        <w:rPr>
          <w:rFonts w:ascii="宋体" w:hAnsi="宋体" w:cs="宋体"/>
          <w:kern w:val="36"/>
          <w:sz w:val="24"/>
          <w:szCs w:val="24"/>
        </w:rPr>
        <w:lastRenderedPageBreak/>
        <w:t>第一部分 前言</w:t>
      </w:r>
      <w:bookmarkEnd w:id="1"/>
    </w:p>
    <w:p w14:paraId="4EBEB44E" w14:textId="77777777" w:rsidR="00567D74" w:rsidRDefault="00567D74">
      <w:pPr>
        <w:widowControl w:val="0"/>
        <w:spacing w:line="360" w:lineRule="auto"/>
        <w:jc w:val="both"/>
        <w:rPr>
          <w:rFonts w:ascii="宋体" w:hAnsi="宋体" w:cs="宋体"/>
          <w:sz w:val="21"/>
          <w:szCs w:val="21"/>
        </w:rPr>
      </w:pPr>
    </w:p>
    <w:p w14:paraId="051805B5"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一、订立本基金合同的目的、依据和原则</w:t>
      </w:r>
    </w:p>
    <w:p w14:paraId="059F9D6A"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1、订立本基金合同的目的是保护投资人合法权益，明确基金合同当事人的权利义务，规范基金运作。</w:t>
      </w:r>
    </w:p>
    <w:p w14:paraId="5766A8DF"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2、订立本基金合同的依据是《中华人民共和国民法典》、《中华人民共和国证券投资基金法》（以下简称“《基金法》”）、《公开募集证券投资基金运作管理办法》（以下简称“《运作办法》”）、《公开募集证券投资基金销售机构监督管理办法》（以下简称“《销售办法》”）、《公开募集证券投资基金信息披露管理办法》（以下简称“《信息披露办法》”）、《公开募集开放式证券投资基金流动性风险管理规定》（以下简称“《流动性风险管理规定》”）和其他有关法律法规。</w:t>
      </w:r>
    </w:p>
    <w:p w14:paraId="18696A27"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3、订立本基金合同的原则是平等自愿、诚实信用、充分保护投资人合法权益。</w:t>
      </w:r>
    </w:p>
    <w:p w14:paraId="1F1A064E"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二、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4470914A"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2D828B24" w14:textId="109DC149"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三、鹏</w:t>
      </w:r>
      <w:proofErr w:type="gramStart"/>
      <w:r>
        <w:rPr>
          <w:rFonts w:ascii="宋体" w:hAnsi="宋体" w:cs="宋体"/>
          <w:sz w:val="21"/>
          <w:szCs w:val="21"/>
        </w:rPr>
        <w:t>华</w:t>
      </w:r>
      <w:r w:rsidR="00B92AE0" w:rsidRPr="00B92AE0">
        <w:rPr>
          <w:rFonts w:ascii="宋体" w:hAnsi="宋体" w:cs="宋体" w:hint="eastAsia"/>
          <w:sz w:val="21"/>
          <w:szCs w:val="21"/>
        </w:rPr>
        <w:t>创新</w:t>
      </w:r>
      <w:proofErr w:type="gramEnd"/>
      <w:r w:rsidR="00B92AE0" w:rsidRPr="00B92AE0">
        <w:rPr>
          <w:rFonts w:ascii="宋体" w:hAnsi="宋体" w:cs="宋体" w:hint="eastAsia"/>
          <w:sz w:val="21"/>
          <w:szCs w:val="21"/>
        </w:rPr>
        <w:t>医药</w:t>
      </w:r>
      <w:r>
        <w:rPr>
          <w:rFonts w:ascii="宋体" w:hAnsi="宋体" w:cs="宋体"/>
          <w:sz w:val="21"/>
          <w:szCs w:val="21"/>
        </w:rPr>
        <w:t>混合型证券投资基金由基金管理人依照《基金法》、基金合同及其他有关规定募集，并经中国证券监督管理委员会（以下简称“中国证监会”）注册。</w:t>
      </w:r>
    </w:p>
    <w:p w14:paraId="0420B3F5"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中国证监会对本基金募集的注册，并不表明其对本基金的投资价值和市场前景做出实质性判断或保证，也不表明投资于本基金没有风险。</w:t>
      </w:r>
    </w:p>
    <w:p w14:paraId="75A4633E"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基金管理人依照恪尽职守、诚实信用、谨慎勤勉的原则管理和运用基金财产，但不保证投资于本基金一定盈利，也不保证最低收益。</w:t>
      </w:r>
    </w:p>
    <w:p w14:paraId="3E8025EE"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投资者应当认真阅读基金招募说明书、基金合同、基金产品资料概要等信息披露文件，自主判断基金的投资价值，自主做出投资决策，自行承担投资风险。</w:t>
      </w:r>
    </w:p>
    <w:p w14:paraId="553BDE39"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四、基金管理人、基金托管人在本基金合同之外披露涉及本基金的信息，其内容涉及界定基金合同当事人之间权利义务关系的，如与基金合同有冲突，以基金合同为准。</w:t>
      </w:r>
    </w:p>
    <w:p w14:paraId="74C90479"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五、本基金按照中国法律法规成立并运作，若基金合同的内容与届时有效的法律法规的强制性规定不一致，应当以届时有效的法律法规的规定为准。</w:t>
      </w:r>
    </w:p>
    <w:p w14:paraId="5EBD9901" w14:textId="77777777" w:rsidR="00567D74" w:rsidRDefault="00D723F6">
      <w:pPr>
        <w:widowControl w:val="0"/>
        <w:spacing w:line="360" w:lineRule="auto"/>
        <w:ind w:firstLine="420"/>
        <w:jc w:val="both"/>
        <w:rPr>
          <w:rFonts w:ascii="宋体" w:hAnsi="宋体" w:cs="宋体"/>
          <w:sz w:val="21"/>
          <w:szCs w:val="21"/>
        </w:rPr>
      </w:pPr>
      <w:r>
        <w:rPr>
          <w:rFonts w:ascii="宋体" w:hAnsi="宋体" w:cs="宋体" w:hint="eastAsia"/>
          <w:sz w:val="21"/>
          <w:szCs w:val="21"/>
        </w:rPr>
        <w:t>六</w:t>
      </w:r>
      <w:r w:rsidR="00567D74">
        <w:rPr>
          <w:rFonts w:ascii="宋体" w:hAnsi="宋体" w:cs="宋体"/>
          <w:sz w:val="21"/>
          <w:szCs w:val="21"/>
        </w:rPr>
        <w:t>、本基金可通过内地与香港股票市场交易互联互通机制买卖规定范围内的香港联合交易所上市的股票（以下简称“港股通标的股票”），基金资产若投资于港股通标的股票，会面临港股通机制下因投资环境、投资标的、市场制度以及交易规则等差异带来的特有风</w:t>
      </w:r>
      <w:r w:rsidR="00567D74">
        <w:rPr>
          <w:rFonts w:ascii="宋体" w:hAnsi="宋体" w:cs="宋体"/>
          <w:sz w:val="21"/>
          <w:szCs w:val="21"/>
        </w:rPr>
        <w:lastRenderedPageBreak/>
        <w:t>险，包括港股市场股价波动较大的风险（港股市场实行T+0回转交易，且对个股不设涨跌幅限制，港股股价可能表现出比A股更为剧烈的股价波动）、汇率风险（汇率波动可能对基金的投资收益造成损失）、港股通机制下交易日不连贯可能带来的风险（在内地开市香港休市的情形下，港股通不能正常交易，港股通标的股票不能及时卖出，可能带来一定的流动性风险）等。</w:t>
      </w:r>
    </w:p>
    <w:p w14:paraId="2AA3AFBB" w14:textId="77777777" w:rsidR="00D723F6" w:rsidRDefault="00D723F6" w:rsidP="00D723F6">
      <w:pPr>
        <w:widowControl w:val="0"/>
        <w:spacing w:line="360" w:lineRule="auto"/>
        <w:ind w:firstLine="420"/>
        <w:jc w:val="both"/>
        <w:rPr>
          <w:rFonts w:ascii="宋体" w:hAnsi="宋体" w:cs="宋体"/>
          <w:sz w:val="21"/>
          <w:szCs w:val="21"/>
        </w:rPr>
      </w:pPr>
      <w:r>
        <w:rPr>
          <w:rFonts w:ascii="宋体" w:hAnsi="宋体" w:cs="宋体" w:hint="eastAsia"/>
          <w:sz w:val="21"/>
          <w:szCs w:val="21"/>
        </w:rPr>
        <w:t>七</w:t>
      </w:r>
      <w:r>
        <w:rPr>
          <w:rFonts w:ascii="宋体" w:hAnsi="宋体" w:cs="宋体"/>
          <w:sz w:val="21"/>
          <w:szCs w:val="21"/>
        </w:rPr>
        <w:t>、基金可根据投资策略需要或不同配置地市场环境的变化，选择将部分基金资产投资于港股或选择不将基金资产投资于港股，基金资产并非必然投资港股。</w:t>
      </w:r>
    </w:p>
    <w:p w14:paraId="64994FC7"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八、本基金的投资范围包括存托凭证，除与其他仅投资于股票的基金所面临的共同风险外，若本基金投资存托凭证的，还将面临中国存托凭证价格大幅波动甚至出现较大亏损的风险，以及与中国存托凭证发行机制相关的风险。</w:t>
      </w:r>
    </w:p>
    <w:p w14:paraId="689683FF" w14:textId="77777777" w:rsidR="00567D74" w:rsidRDefault="00567D74">
      <w:pPr>
        <w:widowControl w:val="0"/>
        <w:spacing w:line="360" w:lineRule="auto"/>
        <w:ind w:firstLine="420"/>
        <w:jc w:val="both"/>
        <w:rPr>
          <w:rFonts w:ascii="宋体" w:hAnsi="宋体" w:cs="宋体"/>
          <w:sz w:val="21"/>
          <w:szCs w:val="21"/>
        </w:rPr>
      </w:pPr>
    </w:p>
    <w:p w14:paraId="7152AD64" w14:textId="77777777" w:rsidR="00567D74" w:rsidRDefault="00567D74">
      <w:pPr>
        <w:pStyle w:val="1"/>
        <w:keepLines/>
        <w:pageBreakBefore/>
        <w:widowControl w:val="0"/>
        <w:spacing w:before="0" w:after="0" w:line="360" w:lineRule="auto"/>
        <w:jc w:val="center"/>
        <w:rPr>
          <w:rFonts w:ascii="Times New Roman" w:eastAsia="Times New Roman" w:hAnsi="Times New Roman" w:cs="Times New Roman"/>
        </w:rPr>
      </w:pPr>
      <w:bookmarkStart w:id="2" w:name="_Toc256000001"/>
      <w:r>
        <w:rPr>
          <w:rFonts w:ascii="宋体" w:hAnsi="宋体" w:cs="宋体"/>
          <w:kern w:val="36"/>
          <w:sz w:val="24"/>
          <w:szCs w:val="24"/>
        </w:rPr>
        <w:lastRenderedPageBreak/>
        <w:t>第二部分 释义</w:t>
      </w:r>
      <w:bookmarkEnd w:id="2"/>
    </w:p>
    <w:p w14:paraId="0BD2DAC7" w14:textId="77777777" w:rsidR="00567D74" w:rsidRDefault="00567D74">
      <w:pPr>
        <w:widowControl w:val="0"/>
        <w:spacing w:line="360" w:lineRule="auto"/>
        <w:jc w:val="both"/>
        <w:rPr>
          <w:rFonts w:ascii="宋体" w:hAnsi="宋体" w:cs="宋体"/>
          <w:sz w:val="21"/>
          <w:szCs w:val="21"/>
        </w:rPr>
      </w:pPr>
    </w:p>
    <w:p w14:paraId="331FCB1A"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在本基金合同中，除非文意另有所指，下列词语或简称具有如下含义：</w:t>
      </w:r>
    </w:p>
    <w:p w14:paraId="65BF70DF" w14:textId="0F0CCE56"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1、基金或本基金：指鹏华</w:t>
      </w:r>
      <w:r w:rsidR="00B92AE0" w:rsidRPr="00B92AE0">
        <w:rPr>
          <w:rFonts w:ascii="宋体" w:hAnsi="宋体" w:cs="宋体" w:hint="eastAsia"/>
          <w:sz w:val="21"/>
          <w:szCs w:val="21"/>
        </w:rPr>
        <w:t>创新医药</w:t>
      </w:r>
      <w:r>
        <w:rPr>
          <w:rFonts w:ascii="宋体" w:hAnsi="宋体" w:cs="宋体"/>
          <w:sz w:val="21"/>
          <w:szCs w:val="21"/>
        </w:rPr>
        <w:t>混合型证券投资基金</w:t>
      </w:r>
    </w:p>
    <w:p w14:paraId="7C59FF56"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2、基金管理人：指鹏华基金管理有限公司</w:t>
      </w:r>
    </w:p>
    <w:p w14:paraId="23A58EC3"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3、基金托管人：指中国建设银行股份有限公司</w:t>
      </w:r>
    </w:p>
    <w:p w14:paraId="2162A6E2" w14:textId="79547149"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4、基金合同或本基金合同：指《鹏华</w:t>
      </w:r>
      <w:r w:rsidR="00B92AE0" w:rsidRPr="00B92AE0">
        <w:rPr>
          <w:rFonts w:ascii="宋体" w:hAnsi="宋体" w:cs="宋体" w:hint="eastAsia"/>
          <w:sz w:val="21"/>
          <w:szCs w:val="21"/>
        </w:rPr>
        <w:t>创新医药</w:t>
      </w:r>
      <w:r>
        <w:rPr>
          <w:rFonts w:ascii="宋体" w:hAnsi="宋体" w:cs="宋体"/>
          <w:sz w:val="21"/>
          <w:szCs w:val="21"/>
        </w:rPr>
        <w:t>混合型证券投资基金基金合同》及对本基金合同的任何有效修订和补充</w:t>
      </w:r>
    </w:p>
    <w:p w14:paraId="60A8EFFC" w14:textId="6970FCBF"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5、托管协议：指基金管理人与基金托管人就本基金签订之《鹏华</w:t>
      </w:r>
      <w:r w:rsidR="00B92AE0" w:rsidRPr="00B92AE0">
        <w:rPr>
          <w:rFonts w:ascii="宋体" w:hAnsi="宋体" w:cs="宋体" w:hint="eastAsia"/>
          <w:sz w:val="21"/>
          <w:szCs w:val="21"/>
        </w:rPr>
        <w:t>创新医药</w:t>
      </w:r>
      <w:r>
        <w:rPr>
          <w:rFonts w:ascii="宋体" w:hAnsi="宋体" w:cs="宋体"/>
          <w:sz w:val="21"/>
          <w:szCs w:val="21"/>
        </w:rPr>
        <w:t>混合型证券投资基金托管协议》及对该托管协议的任何有效修订和补充</w:t>
      </w:r>
    </w:p>
    <w:p w14:paraId="4C0B861D" w14:textId="2E9D176F"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6、招募说明书：指《鹏华</w:t>
      </w:r>
      <w:r w:rsidR="00B92AE0" w:rsidRPr="00B92AE0">
        <w:rPr>
          <w:rFonts w:ascii="宋体" w:hAnsi="宋体" w:cs="宋体" w:hint="eastAsia"/>
          <w:sz w:val="21"/>
          <w:szCs w:val="21"/>
        </w:rPr>
        <w:t>创新医药</w:t>
      </w:r>
      <w:r>
        <w:rPr>
          <w:rFonts w:ascii="宋体" w:hAnsi="宋体" w:cs="宋体"/>
          <w:sz w:val="21"/>
          <w:szCs w:val="21"/>
        </w:rPr>
        <w:t>混合型证券投资基金招募说明书》及其更新</w:t>
      </w:r>
    </w:p>
    <w:p w14:paraId="7124F221" w14:textId="5B98D451"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7、基金产品资料概要：指《鹏华</w:t>
      </w:r>
      <w:r w:rsidR="00B92AE0" w:rsidRPr="00B92AE0">
        <w:rPr>
          <w:rFonts w:ascii="宋体" w:hAnsi="宋体" w:cs="宋体" w:hint="eastAsia"/>
          <w:sz w:val="21"/>
          <w:szCs w:val="21"/>
        </w:rPr>
        <w:t>创新医药</w:t>
      </w:r>
      <w:r>
        <w:rPr>
          <w:rFonts w:ascii="宋体" w:hAnsi="宋体" w:cs="宋体"/>
          <w:sz w:val="21"/>
          <w:szCs w:val="21"/>
        </w:rPr>
        <w:t>混合型证券投资基金基金产品资料概要》及其更新</w:t>
      </w:r>
    </w:p>
    <w:p w14:paraId="3169D5E6" w14:textId="1115FCD9"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8、基金份额发售公告：指《鹏华</w:t>
      </w:r>
      <w:r w:rsidR="00B92AE0" w:rsidRPr="00B92AE0">
        <w:rPr>
          <w:rFonts w:ascii="宋体" w:hAnsi="宋体" w:cs="宋体" w:hint="eastAsia"/>
          <w:sz w:val="21"/>
          <w:szCs w:val="21"/>
        </w:rPr>
        <w:t>创新医药</w:t>
      </w:r>
      <w:r>
        <w:rPr>
          <w:rFonts w:ascii="宋体" w:hAnsi="宋体" w:cs="宋体"/>
          <w:sz w:val="21"/>
          <w:szCs w:val="21"/>
        </w:rPr>
        <w:t>混合型证券投资基金基金份额发售公告》</w:t>
      </w:r>
    </w:p>
    <w:p w14:paraId="443FA069"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9、法律法规：指中国现行有效并公布实施的法律、行政法规、规范性文件、司法解释、行政规章以及其他对基金合同当事人有约束力的决定、决议、通知等</w:t>
      </w:r>
    </w:p>
    <w:p w14:paraId="57F9BD66"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10、《基金法》：指2003年10月28日经第十届全国人民代表大会常务委员会第五次会议通过，经2012年12月28日第十一届全国人民代表大会常务委员会第三十次会议修订，自2013年6月1日起实施，并经2015年4月24日第十二届全国人民代表大会常务委员会第十四次会议《全国人民代表大会常务委员会关于修改&lt;中华人民共和国港口法&gt;等七部法律的决定》修正的《中华人民共和国证券投资基金法》及颁布机关对其不时做出的修订</w:t>
      </w:r>
    </w:p>
    <w:p w14:paraId="22E3E96B"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11、《销售办法》：指中国证监会2020年8月28日颁布、同年10月1日实施的《公开募集证券投资基金销售机构监督管理办法》及颁布机关对其不时做出的修订</w:t>
      </w:r>
    </w:p>
    <w:p w14:paraId="1C7E6EE9"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12、《信息披露办法》：指中国证监会2019年7月26日颁布、同年9月1日实施的，并经2020年3月20日中国证监会《关于修改部分证券期货规章的决定》修正的《公开募集证券投资基金信息披露管理办法》及颁布机关对其不时做出的修订</w:t>
      </w:r>
    </w:p>
    <w:p w14:paraId="3971AD99"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13、《运作办法》：指中国证监会2014年7月7日颁布、同年8月8日实施的《公开募集证券投资基金运作管理办法》及颁布机关对其不时做出的修订</w:t>
      </w:r>
    </w:p>
    <w:p w14:paraId="591D8EF6"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14、《流动性风险管理规定》：指中国证监会2017年8月31日颁布、同年10月1日实施的《公开募集开放式证券投资基金流动性风险管理规定》及颁布机关对其不时做出的修订</w:t>
      </w:r>
    </w:p>
    <w:p w14:paraId="5E025F0A"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15、港股通标的股票：指内地投资者委托内地证券公司，经由境内证券交易所设立的证券交易服务公司，向香港联合交易所进行申报（买卖盘传递），买卖规定范围内的香港</w:t>
      </w:r>
      <w:r>
        <w:rPr>
          <w:rFonts w:ascii="宋体" w:hAnsi="宋体" w:cs="宋体"/>
          <w:sz w:val="21"/>
          <w:szCs w:val="21"/>
        </w:rPr>
        <w:lastRenderedPageBreak/>
        <w:t>联合交易所上市的股票</w:t>
      </w:r>
    </w:p>
    <w:p w14:paraId="1C04DD26"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16、中国证监会：指中国证券监督管理委员会</w:t>
      </w:r>
    </w:p>
    <w:p w14:paraId="01A4BE78"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17、银行业监督管理机构：指中国人民银行和/或中国银行保险监督管理委员会</w:t>
      </w:r>
    </w:p>
    <w:p w14:paraId="282BB5E5"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18、基金合同当事人：指受基金合同约束，根据基金合同享有权利并承担义务的法律主体，包括基金管理人、基金托管人和基金份额持有人</w:t>
      </w:r>
    </w:p>
    <w:p w14:paraId="2FEDE3CA"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19、个人投资者：指依据有关法律法规规定可投资于证券投资基金的自然人</w:t>
      </w:r>
    </w:p>
    <w:p w14:paraId="54489A4E"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20、机构投资者：指依法可以投资证券投资基金的、在中华人民共和国境内合法登记并存续或经有关政府部门批准设立并存续的企业法人、事业法人、社会团体或其他组织</w:t>
      </w:r>
    </w:p>
    <w:p w14:paraId="00548356"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21、合格境外投资者：指符合《合格境外机构投资者和人民币合格境外机构投资者境内证券期货投资管理办法》（包括其不时修订）及相关法律法规规定，使用来自境外的资金进行境内证券期货投资的境外机构投资者，包括合格境外机构投资者和人民币合格境外机构投资者</w:t>
      </w:r>
    </w:p>
    <w:p w14:paraId="453F1FB5"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22、投资人、投资者：指个人投资者、机构投资者、合格境外投资者以及法律法规或中国证监会允许购买证券投资基金的其他投资人的合称</w:t>
      </w:r>
    </w:p>
    <w:p w14:paraId="21B035B4"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23、基金份额持有人：指依基金合同和招募说明书合法取得基金份额的投资人</w:t>
      </w:r>
    </w:p>
    <w:p w14:paraId="0008FF2E"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24、基金销售业务：指基金管理人或销售机构宣传推介基金，发售基金份额，办理基金份额的申购、赎回、转换、转托管及定期定额投资等业务</w:t>
      </w:r>
    </w:p>
    <w:p w14:paraId="74323171"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25、销售机构：指鹏华基金管理有限公司以及符合《销售办法》和中国证监会规定的其他条件，取得基金销售业务资格并与基金管理人签订了基金销售服务协议，办理基金销售业务的机构</w:t>
      </w:r>
    </w:p>
    <w:p w14:paraId="449FC2EC"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26、登记业务：指基金登记、存管、过户、清算和结算业务，具体内容包括投资人基金账户的建立和管理、基金份额登记、基金销售业务的确认、清算和结算、代理发放红利、建立并保管基金份额持有人名册和办理非交易过户等</w:t>
      </w:r>
    </w:p>
    <w:p w14:paraId="4005BD90"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27、登记机构：指办理登记业务的机构。基金的登记机构为鹏华基金管理有限公司或接受鹏华基金管理有限公司委托代为办理登记业务的机构</w:t>
      </w:r>
    </w:p>
    <w:p w14:paraId="37461162"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28、基金账户：指登记机构为投资人开立的、记录其持有的、基金管理人所管理的基金份额余额及其变动情况的账户</w:t>
      </w:r>
    </w:p>
    <w:p w14:paraId="1615AECD"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29、基金交易账户：指销售机构为投资人开立的、记录投资人通过该销售机构办理认购、申购、赎回、转换、转托管及定期定额投资等业务而引起的基金份额变动及结余情况的账户</w:t>
      </w:r>
    </w:p>
    <w:p w14:paraId="58DFABEA"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30、基金合同生效日：指基金募集达到法律法规规定及基金合同规定的条件，基金管理人向中国证监会办理基金备案手续完毕，并获得中国证监会书面确认的日期</w:t>
      </w:r>
    </w:p>
    <w:p w14:paraId="17D307C0"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31、基金合同终止日：指基金合同规定的基金合同终止事由出现后，基金财产清算完毕，清算结果报中国证监会备案并予以公告的日期</w:t>
      </w:r>
    </w:p>
    <w:p w14:paraId="15DD1F21"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lastRenderedPageBreak/>
        <w:t>32、基金募集期：指自基金份额发售之日起至发售结束之日止的期间，最长不得超过3个月</w:t>
      </w:r>
    </w:p>
    <w:p w14:paraId="5EFFE850"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33、存续期：指基金合同生效至终止之间的不定期期限</w:t>
      </w:r>
    </w:p>
    <w:p w14:paraId="1A802F2A"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34、工作日：指上海证券交易所、深圳证券交易所的正常交易日</w:t>
      </w:r>
    </w:p>
    <w:p w14:paraId="429E1987"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35、T日：指销售机构在规定时间受理投资人申购、赎回或其他业务申请的开放日</w:t>
      </w:r>
    </w:p>
    <w:p w14:paraId="46461D85"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36、T+n日：指自T日起第n个工作日（不包含T日）</w:t>
      </w:r>
    </w:p>
    <w:p w14:paraId="0AE74A1E"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37、开放日：指为投资人办理基金份额申购、赎回或其他业务的工作日（若本基金参与港股通交易且该工作日为非港股通交易日时，则基金管理人可根据实际情况决定本基金是否开放申购、赎回及转换业务，具体以届时发布的公告为准）</w:t>
      </w:r>
    </w:p>
    <w:p w14:paraId="6613095C"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38、开放时间：指开放日基金接受申购、赎回或其他交易的时间段</w:t>
      </w:r>
    </w:p>
    <w:p w14:paraId="035AEB90"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39、《业务规则》：指《鹏华基金管理有限公司开放式基金业务规则》，是规范基金管理人所管理的开放式证券投资基金登记方面的业务规则，由基金管理人和投资人共同遵守</w:t>
      </w:r>
    </w:p>
    <w:p w14:paraId="520B9E52"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40、认购：指在基金募集期内，投资人申请购买基金份额的行为</w:t>
      </w:r>
    </w:p>
    <w:p w14:paraId="22C593AC"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41、申购：指基金合同生效后，投资人根据基金合同和招募说明书的规定申请购买基金份额的行为</w:t>
      </w:r>
    </w:p>
    <w:p w14:paraId="10BEE5D5"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42、赎回：指基金合同生效后，基金份额持有人按基金合同和招募说明书规定的条件要求将基金份额兑换为现金的行为</w:t>
      </w:r>
    </w:p>
    <w:p w14:paraId="0683E6A3"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43、基金转换：指基金份额持有人按照本基金合同和基金管理人届时有效公告规定的条件，申请将其持有基金管理人管理的、某一基金的基金份额转换为基金管理人管理的其他基金基金份额的行为</w:t>
      </w:r>
    </w:p>
    <w:p w14:paraId="0D33AEEB"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44、转托管：指基金份额持有人在本基金的不同销售机构之间实施的变更所持基金份额销售机构的操作</w:t>
      </w:r>
    </w:p>
    <w:p w14:paraId="12CA2D96"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45、定期定额投资计划：指投资人通过有关销售机构提出申请，约定每期申购日、扣款金额及扣款方式，由销售机构于每期约定扣款日在投资人指定银行账户内自动完成扣款及受理基金申购申请的一种投资方式</w:t>
      </w:r>
    </w:p>
    <w:p w14:paraId="7143A084"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46、巨额赎回：指本基金单个开放日，基金净赎回申请（赎回申请份额总数加上基金转换中转出申请份额总数后扣除申购申请份额总数及基金转换中转入申请份额总数后的余额）超过上一开放日基金总份额的10%</w:t>
      </w:r>
    </w:p>
    <w:p w14:paraId="4A71DDAA"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47、元：指人民币元</w:t>
      </w:r>
    </w:p>
    <w:p w14:paraId="0D51AA63"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48、基金收益：指基金投资所得红利、股息、债券利息、买卖证券价差、银行存款利息、已实现的其他合法收入及因运用基金财产带来的成本和费用的节约</w:t>
      </w:r>
    </w:p>
    <w:p w14:paraId="11025376"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49、基金资产总值：指基金拥有的各类有价证券、银行存款本息、基金应收申购款及其他资产的价值总和</w:t>
      </w:r>
    </w:p>
    <w:p w14:paraId="214891E3"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lastRenderedPageBreak/>
        <w:t>50、基金资产净值：指基金资产总值减去基金负债后的价值</w:t>
      </w:r>
    </w:p>
    <w:p w14:paraId="781177E5"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51、基金份额净值：指计算日基金资产净值除以计算日基金份额总数</w:t>
      </w:r>
    </w:p>
    <w:p w14:paraId="51318281"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52、基金资产估值：指计算评估基金资产和负债的价值，以确定基金资产净值和基金份额净值的过程</w:t>
      </w:r>
    </w:p>
    <w:p w14:paraId="73686182"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53、规定媒介：指符合中国证监会规定条件的用以进行信息披露的全国性报刊及《信息披露办法》规定的互联网网站（包括基金管理人网站、基金托管人网站、中国证监会基金电子披露网站）等媒介</w:t>
      </w:r>
    </w:p>
    <w:p w14:paraId="06719F7B"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54、销售服务费：指从基金财产中计提的，用于本基金市场推广、销售以及基金份额持有人服务的费用</w:t>
      </w:r>
    </w:p>
    <w:p w14:paraId="4FFFF0D9"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55、基金份额分类：本基金根据销售服务费及认购、申购费用收取方式的不同，将基金份额分为不同的类别。在投资人认购、申购基金时收取认购、申购费用，并不再从本类别基金资产中计提销售服务费的基金份额，称为A类基金份额；从本类别基金资产中计提销售服务费，并不收取认购、申购费用的基金份额，称为C类基金份额。两类基金份额分设不同的基金代码，并分别公布基金份额净值</w:t>
      </w:r>
    </w:p>
    <w:p w14:paraId="28C79365"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56、流动性受限资产：指由于法律法规、监管、合同或操作障碍等原因无法以合理价格予以变现的资产，包括但不限于到期日在10个交易日以上的逆回购与银行定期存款（含协议约定有条件提前支取的银行存款）、停牌股票、流通受限的新股及非公开发行股票、资产支持证券、因发行人债务违约无法进行转让或交易的债券等</w:t>
      </w:r>
    </w:p>
    <w:p w14:paraId="0B6E4603"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57、摆动定价机制：指当开放式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14:paraId="20809D09"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58、侧袋机制：指将基金投资组合中的特定资产从原有账户分离至一个专门账户进行处置清算，目的在于有效隔离并化解风险，确保投资者得到公平对待，属于流动性风险管理工具。侧袋机制实施期间，原有账户称为主袋账户，专门账户称为侧袋账户</w:t>
      </w:r>
    </w:p>
    <w:p w14:paraId="011521BD"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59、特定资产：包括：（1）无可参考的活跃市场价格且采用估值技术仍导致公允价值存在重大不确定性的资产；（2）按摊余成本计量且计提资产减值准备仍导致资产价值存在重大不确定性的资产；（3）其他资产价值存在重大不确定性的资产</w:t>
      </w:r>
    </w:p>
    <w:p w14:paraId="22BBFD5E"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60、不可抗力：指本基金合同当事人不能预见、不能避免且不能克服的客观事件</w:t>
      </w:r>
    </w:p>
    <w:p w14:paraId="20F3D159" w14:textId="77777777" w:rsidR="00567D74" w:rsidRDefault="00567D74">
      <w:pPr>
        <w:pStyle w:val="1"/>
        <w:keepLines/>
        <w:pageBreakBefore/>
        <w:widowControl w:val="0"/>
        <w:spacing w:before="210" w:after="0" w:line="360" w:lineRule="auto"/>
        <w:jc w:val="center"/>
        <w:rPr>
          <w:rFonts w:ascii="Times New Roman" w:eastAsia="Times New Roman" w:hAnsi="Times New Roman" w:cs="Times New Roman"/>
        </w:rPr>
      </w:pPr>
      <w:bookmarkStart w:id="3" w:name="_Toc256000002"/>
      <w:r>
        <w:rPr>
          <w:rFonts w:ascii="宋体" w:hAnsi="宋体" w:cs="宋体"/>
          <w:kern w:val="36"/>
          <w:sz w:val="24"/>
          <w:szCs w:val="24"/>
        </w:rPr>
        <w:lastRenderedPageBreak/>
        <w:t>第三部分 基金的基本情况</w:t>
      </w:r>
      <w:bookmarkEnd w:id="3"/>
    </w:p>
    <w:p w14:paraId="44B30C46" w14:textId="77777777" w:rsidR="00567D74" w:rsidRDefault="00567D74">
      <w:pPr>
        <w:widowControl w:val="0"/>
        <w:spacing w:line="360" w:lineRule="auto"/>
        <w:jc w:val="both"/>
        <w:rPr>
          <w:rFonts w:ascii="宋体" w:hAnsi="宋体" w:cs="宋体"/>
          <w:sz w:val="21"/>
          <w:szCs w:val="21"/>
        </w:rPr>
      </w:pPr>
    </w:p>
    <w:p w14:paraId="23EABFD2"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一、基金名称</w:t>
      </w:r>
    </w:p>
    <w:p w14:paraId="188AA321"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鹏华</w:t>
      </w:r>
      <w:r w:rsidR="00B92AE0" w:rsidRPr="00B92AE0">
        <w:rPr>
          <w:rFonts w:ascii="宋体" w:hAnsi="宋体" w:cs="宋体" w:hint="eastAsia"/>
          <w:sz w:val="21"/>
          <w:szCs w:val="21"/>
        </w:rPr>
        <w:t>创新医药</w:t>
      </w:r>
      <w:r>
        <w:rPr>
          <w:rFonts w:ascii="宋体" w:hAnsi="宋体" w:cs="宋体"/>
          <w:sz w:val="21"/>
          <w:szCs w:val="21"/>
        </w:rPr>
        <w:t>混合型证券投资基金</w:t>
      </w:r>
    </w:p>
    <w:p w14:paraId="1003F7AD"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二、基金的类别</w:t>
      </w:r>
    </w:p>
    <w:p w14:paraId="034152EF"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混合型证券投资基金</w:t>
      </w:r>
    </w:p>
    <w:p w14:paraId="7C175F4E"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三、基金的运作方式</w:t>
      </w:r>
    </w:p>
    <w:p w14:paraId="27B0344B"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契约型开放式</w:t>
      </w:r>
    </w:p>
    <w:p w14:paraId="2DD2DC84"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四、基金的投资目标</w:t>
      </w:r>
    </w:p>
    <w:p w14:paraId="0D62816F" w14:textId="5A8C57B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本基金主要投资</w:t>
      </w:r>
      <w:r w:rsidR="00B92AE0" w:rsidRPr="00B92AE0">
        <w:rPr>
          <w:rFonts w:ascii="宋体" w:hAnsi="宋体" w:cs="宋体" w:hint="eastAsia"/>
          <w:sz w:val="21"/>
          <w:szCs w:val="21"/>
        </w:rPr>
        <w:t>创新医药</w:t>
      </w:r>
      <w:r>
        <w:rPr>
          <w:rFonts w:ascii="宋体" w:hAnsi="宋体" w:cs="宋体"/>
          <w:sz w:val="21"/>
          <w:szCs w:val="21"/>
        </w:rPr>
        <w:t>相关的上市公司股票，采用积极主动的投资策略，在有效控制投资组合风险的前提下，力争获取超越业绩比较基准的投资回报，实现基金资产的长期稳健增值。</w:t>
      </w:r>
    </w:p>
    <w:p w14:paraId="170C2BC2"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五、基金的最低募集份额总额</w:t>
      </w:r>
    </w:p>
    <w:p w14:paraId="48F7804D"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本基金的最低募集份额总额为2亿份。</w:t>
      </w:r>
    </w:p>
    <w:p w14:paraId="5A01E71B"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六、基金份额面值和认购费用</w:t>
      </w:r>
    </w:p>
    <w:p w14:paraId="160BEE8C"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本基金基金份额发售面值为人民币1.00元。</w:t>
      </w:r>
    </w:p>
    <w:p w14:paraId="62CB2E60"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本基金A类基金份额具体认购费率按招募说明书及基金产品资料概要的规定执行。本基金C类基金份额不收取认购费。</w:t>
      </w:r>
    </w:p>
    <w:p w14:paraId="27BEF796"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七、基金存续期限</w:t>
      </w:r>
    </w:p>
    <w:p w14:paraId="642CFFBF"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不定期</w:t>
      </w:r>
    </w:p>
    <w:p w14:paraId="2D5C1C74"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八、基金份额类别</w:t>
      </w:r>
    </w:p>
    <w:p w14:paraId="41BC4E5B"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本基金根据销售服务费及认购、申购费用收取方式的不同，将基金份额分为不同的类别。</w:t>
      </w:r>
    </w:p>
    <w:p w14:paraId="7016C615"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在投资者认购、申购时收取认购、申购费用，但不从本类别基金资产中计提销售服务费的基金份额，称为A类基金份额；在投资者认购、申购时不收取认购、申购费用，但从本类别基金资产中计提销售服务费的基金份额，称为C类基金份额。</w:t>
      </w:r>
    </w:p>
    <w:p w14:paraId="34BA0958"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本基金A类基金份额和C类基金份额分别设置代码。本基金A类基金份额和C类基金份额将分别计算基金份额净值，计算公式为计算日各类别基金资产净值除以计算日销售在外的该类别基金份额总数。</w:t>
      </w:r>
    </w:p>
    <w:p w14:paraId="6005363B"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投资者可自行选择认购、申购的基金份额类别。</w:t>
      </w:r>
    </w:p>
    <w:p w14:paraId="42FE574A"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在对基金份额持有人利益无实质性不利影响的情况下，根据基金实际运作情况，在履行适当程序后，基金管理人经与基金托管人协商一致，可以增加本基金新的基金份额类别、调整现有基金份额类别的费率水平或者停止现有基金份额类别的销售等，此项调整无需召开基金份额持有人大会。</w:t>
      </w:r>
    </w:p>
    <w:p w14:paraId="32679444" w14:textId="77777777" w:rsidR="00567D74" w:rsidRDefault="00567D74">
      <w:pPr>
        <w:pStyle w:val="1"/>
        <w:keepLines/>
        <w:pageBreakBefore/>
        <w:widowControl w:val="0"/>
        <w:spacing w:before="210" w:after="0" w:line="360" w:lineRule="auto"/>
        <w:jc w:val="center"/>
        <w:rPr>
          <w:rFonts w:ascii="Times New Roman" w:eastAsia="Times New Roman" w:hAnsi="Times New Roman" w:cs="Times New Roman"/>
        </w:rPr>
      </w:pPr>
      <w:bookmarkStart w:id="4" w:name="_Toc256000003"/>
      <w:r>
        <w:rPr>
          <w:rFonts w:ascii="宋体" w:hAnsi="宋体" w:cs="宋体"/>
          <w:kern w:val="36"/>
          <w:sz w:val="24"/>
          <w:szCs w:val="24"/>
        </w:rPr>
        <w:lastRenderedPageBreak/>
        <w:t>第四部分 基金份额的发售</w:t>
      </w:r>
      <w:bookmarkEnd w:id="4"/>
    </w:p>
    <w:p w14:paraId="4AAFBB23" w14:textId="77777777" w:rsidR="00567D74" w:rsidRDefault="00567D74">
      <w:pPr>
        <w:widowControl w:val="0"/>
        <w:spacing w:line="360" w:lineRule="auto"/>
        <w:jc w:val="both"/>
        <w:rPr>
          <w:rFonts w:ascii="宋体" w:hAnsi="宋体" w:cs="宋体"/>
          <w:sz w:val="21"/>
          <w:szCs w:val="21"/>
        </w:rPr>
      </w:pPr>
    </w:p>
    <w:p w14:paraId="52AAFDAA"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一、基金份额的发售时间、发售方式、发售对象</w:t>
      </w:r>
    </w:p>
    <w:p w14:paraId="04D23555"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1、发售时间</w:t>
      </w:r>
    </w:p>
    <w:p w14:paraId="0F54B7CD"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自基金份额发售之日起最长不得超过3个月，具体发售时间见基金份额发售公告。</w:t>
      </w:r>
    </w:p>
    <w:p w14:paraId="401BF69C"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2、发售方式</w:t>
      </w:r>
    </w:p>
    <w:p w14:paraId="0BD08EEC"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通过各销售机构的基金销售网点公开发售，各销售机构的具体名单见基金管理人披露的销售机构名录。</w:t>
      </w:r>
    </w:p>
    <w:p w14:paraId="5B07BBD0"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3、发售对象</w:t>
      </w:r>
    </w:p>
    <w:p w14:paraId="52BD10B9"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符合法律法规规定的可投资于证券投资基金的个人投资者、机构投资者、合格境外投资者以及法律法规或中国证监会允许购买证券投资基金的其他投资人。</w:t>
      </w:r>
    </w:p>
    <w:p w14:paraId="3A377435"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二、基金份额的认购</w:t>
      </w:r>
    </w:p>
    <w:p w14:paraId="7C71D76A"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1、认购费用</w:t>
      </w:r>
    </w:p>
    <w:p w14:paraId="3661E642"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本基金A类基金份额的认购费率由基金管理人决定，并在招募说明书及基金产品资料概要中列示。本基金C类基金份额不收取认购费。</w:t>
      </w:r>
      <w:r w:rsidR="001F1697">
        <w:rPr>
          <w:rFonts w:ascii="宋体" w:hAnsi="宋体" w:cs="宋体"/>
          <w:sz w:val="21"/>
          <w:szCs w:val="21"/>
        </w:rPr>
        <w:t>本基金</w:t>
      </w:r>
      <w:r w:rsidR="001F1697">
        <w:rPr>
          <w:rFonts w:ascii="宋体" w:hAnsi="宋体" w:cs="宋体" w:hint="eastAsia"/>
          <w:sz w:val="21"/>
          <w:szCs w:val="21"/>
        </w:rPr>
        <w:t>A类基金份额的</w:t>
      </w:r>
      <w:r>
        <w:rPr>
          <w:rFonts w:ascii="宋体" w:hAnsi="宋体" w:cs="宋体"/>
          <w:sz w:val="21"/>
          <w:szCs w:val="21"/>
        </w:rPr>
        <w:t>认购费用不列入基金财产。</w:t>
      </w:r>
    </w:p>
    <w:p w14:paraId="64CB496A"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2、募集期利息的处理方式</w:t>
      </w:r>
    </w:p>
    <w:p w14:paraId="65CC66BC"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有效认购款项在募集期间产生的利息将折算为基金份额归基金份额持有人所有，其中利息转份额以登记机构的记录为准。</w:t>
      </w:r>
    </w:p>
    <w:p w14:paraId="6D8E2478"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3、基金认购份额的计算</w:t>
      </w:r>
    </w:p>
    <w:p w14:paraId="0119F833"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基金认购份额具体的计算方法在招募说明书中列示。</w:t>
      </w:r>
    </w:p>
    <w:p w14:paraId="5C535F84"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4、认购份额余额的处理方式</w:t>
      </w:r>
    </w:p>
    <w:p w14:paraId="0584447E"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认购份额的计算保留到小数点后2位，小数点2位以后的部分四舍五入，由此误差产生的收益或损失由基金财产承担。</w:t>
      </w:r>
    </w:p>
    <w:p w14:paraId="3E44462D"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5、认购申请的确认</w:t>
      </w:r>
    </w:p>
    <w:p w14:paraId="5C451339"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销售机构对认购申请的受理并不代表该申请一定成功，而仅代表销售机构确实接收到认购申请。认购的确认以登记机构或基金管理人的确认结果为准。对于认购申请及认购份额的确认情况，投资人可及时查询并妥善行使合法权利。</w:t>
      </w:r>
    </w:p>
    <w:p w14:paraId="60FF5A9B"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三、基金份额认购数量的限制</w:t>
      </w:r>
    </w:p>
    <w:p w14:paraId="3F43D189"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1、投资人认购时，需按销售机构规定的方式全额缴款。</w:t>
      </w:r>
    </w:p>
    <w:p w14:paraId="27CA5DD2"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2、基金管理人可以对每个基金交易账户的单笔最低认购金额进行限制，具体限制请参看招募说明书或相关公告。</w:t>
      </w:r>
    </w:p>
    <w:p w14:paraId="197E0E18"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3、基金管理人可以对募集期间的单个投资人的累计认购金额进行限制，具体限制和处理方法请参看招募说明书或相关公告。</w:t>
      </w:r>
    </w:p>
    <w:p w14:paraId="13EF692A"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lastRenderedPageBreak/>
        <w:t>4、投资人在募集期内可以多次认购基金份额，但已受理的认购申请不允许撤销。</w:t>
      </w:r>
    </w:p>
    <w:p w14:paraId="62A23DCF"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5、如果募集期限届满，单一投资者认购基金份额比例达到或者超过50%，基金管理人有权全部或部分拒绝该投资者的认购申请，以确保其持有基金份额比例低于50%，并于10个工作日内返还相应款项。</w:t>
      </w:r>
    </w:p>
    <w:p w14:paraId="052A07F8" w14:textId="77777777" w:rsidR="00567D74" w:rsidRDefault="00567D74">
      <w:pPr>
        <w:pStyle w:val="1"/>
        <w:keepLines/>
        <w:pageBreakBefore/>
        <w:widowControl w:val="0"/>
        <w:spacing w:before="0" w:after="0" w:line="360" w:lineRule="auto"/>
        <w:jc w:val="center"/>
        <w:rPr>
          <w:rFonts w:ascii="Times New Roman" w:eastAsia="Times New Roman" w:hAnsi="Times New Roman" w:cs="Times New Roman"/>
        </w:rPr>
      </w:pPr>
      <w:bookmarkStart w:id="5" w:name="_Toc256000004"/>
      <w:r>
        <w:rPr>
          <w:rFonts w:ascii="宋体" w:hAnsi="宋体" w:cs="宋体"/>
          <w:kern w:val="36"/>
          <w:sz w:val="24"/>
          <w:szCs w:val="24"/>
        </w:rPr>
        <w:lastRenderedPageBreak/>
        <w:t>第五部分 基金备案</w:t>
      </w:r>
      <w:bookmarkEnd w:id="5"/>
    </w:p>
    <w:p w14:paraId="3880596F" w14:textId="77777777" w:rsidR="00567D74" w:rsidRDefault="00567D74">
      <w:pPr>
        <w:widowControl w:val="0"/>
        <w:spacing w:line="360" w:lineRule="auto"/>
        <w:jc w:val="both"/>
        <w:rPr>
          <w:rFonts w:ascii="宋体" w:hAnsi="宋体" w:cs="宋体"/>
          <w:sz w:val="21"/>
          <w:szCs w:val="21"/>
        </w:rPr>
      </w:pPr>
    </w:p>
    <w:p w14:paraId="2EF3D4D6"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一、基金备案的条件</w:t>
      </w:r>
    </w:p>
    <w:p w14:paraId="5B38E397"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本基金自基金份额发售之日起3个月内，在基金募集份额总额不少于2亿份，基金募集金额不少于2亿元人民币且基金认购人数不少于200人的条件下，基金募集期届满或基金管理人依据法律法规及招募说明书可以决定停止基金发售，并在10日内聘请法定验资机构验资，自收到验资报告之日起10日内，向中国证监会办理基金备案手续。</w:t>
      </w:r>
    </w:p>
    <w:p w14:paraId="30800D7F"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3B927B5B"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二、基金合同不能生效时募集资金的处理方式</w:t>
      </w:r>
    </w:p>
    <w:p w14:paraId="7D933110"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如果募集期限届满，未满足基金备案条件，基金管理人应当承担下列责任：</w:t>
      </w:r>
    </w:p>
    <w:p w14:paraId="12CE3F4E"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1、以其固有财产承担因募集行为而产生的债务和费用；</w:t>
      </w:r>
    </w:p>
    <w:p w14:paraId="0D5F5CFE"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2、在基金募集期限届满后30日内返还投资者已交纳的款项，并加计银行同期活期存款利息；</w:t>
      </w:r>
    </w:p>
    <w:p w14:paraId="1E7F44F5"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3、如基金募集失败，基金管理人、基金托管人及销售机构不得请求报酬。基金管理人、基金托管人和销售机构为基金募集支付之一切费用应由各方各自承担。</w:t>
      </w:r>
    </w:p>
    <w:p w14:paraId="138525D3"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三、基金存续期内的基金份额持有人数量和资产规模</w:t>
      </w:r>
    </w:p>
    <w:p w14:paraId="7608D9AE"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基金合同》生效后，连续20个工作日出现基金份额持有人数量不满200人或者基金资产净值低于5000万元情形的，基金管理人应当在定期报告中予以披露；连续50个工作日出现前述情形的，基金管理人应当终止基金合同，无需召开基金份额持有人大会审议。</w:t>
      </w:r>
    </w:p>
    <w:p w14:paraId="4C93D3BC"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法律法规或中国证监会另有规定时，从其规定。</w:t>
      </w:r>
    </w:p>
    <w:p w14:paraId="5E2E9FF2" w14:textId="77777777" w:rsidR="00567D74" w:rsidRDefault="00567D74">
      <w:pPr>
        <w:pStyle w:val="1"/>
        <w:keepLines/>
        <w:pageBreakBefore/>
        <w:widowControl w:val="0"/>
        <w:spacing w:before="210" w:after="0" w:line="360" w:lineRule="auto"/>
        <w:jc w:val="center"/>
        <w:rPr>
          <w:rFonts w:ascii="Times New Roman" w:eastAsia="Times New Roman" w:hAnsi="Times New Roman" w:cs="Times New Roman"/>
        </w:rPr>
      </w:pPr>
      <w:bookmarkStart w:id="6" w:name="_Toc256000005"/>
      <w:r>
        <w:rPr>
          <w:rFonts w:ascii="宋体" w:hAnsi="宋体" w:cs="宋体"/>
          <w:kern w:val="36"/>
          <w:sz w:val="24"/>
          <w:szCs w:val="24"/>
        </w:rPr>
        <w:lastRenderedPageBreak/>
        <w:t>第六部分 基金份额的申购与赎回</w:t>
      </w:r>
      <w:bookmarkEnd w:id="6"/>
    </w:p>
    <w:p w14:paraId="3DBB0026" w14:textId="77777777" w:rsidR="00567D74" w:rsidRDefault="00567D74">
      <w:pPr>
        <w:widowControl w:val="0"/>
        <w:spacing w:line="360" w:lineRule="auto"/>
        <w:jc w:val="both"/>
        <w:rPr>
          <w:rFonts w:ascii="宋体" w:hAnsi="宋体" w:cs="宋体"/>
          <w:sz w:val="21"/>
          <w:szCs w:val="21"/>
        </w:rPr>
      </w:pPr>
    </w:p>
    <w:p w14:paraId="4A018799"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一、申购和赎回场所</w:t>
      </w:r>
    </w:p>
    <w:p w14:paraId="37BBD199"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本基金的申购与赎回将通过销售机构进行。具体的销售机构将由基金管理人在招募说明书或其他相关公示中列明。基金管理人可根据情况变更或增减销售机构，并在基金管理人网站公示。基金投资者应当在销售机构办理基金销售业务的营业场所或按销售机构提供的其他方式办理基金份额的申购与赎回。</w:t>
      </w:r>
    </w:p>
    <w:p w14:paraId="3B64AC54"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二、申购和赎回的开放日及时间</w:t>
      </w:r>
    </w:p>
    <w:p w14:paraId="2033F2E0"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1、开放日及开放时间</w:t>
      </w:r>
    </w:p>
    <w:p w14:paraId="03F9457C"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投资人在开放日办理基金份额的申购和赎回，具体办理时间为上海证券交易所、深圳证券交易所的正常交易日的交易时间（若本基金参与港股通交易且该工作日为非港股通交易日时，则基金管理人可根据实际情况决定本基金是否开放申购、赎回及转换业务，具体以届时发布的公告为准），但基金管理人根据法律法规、中国证监会的要求或本基金合同的规定公告暂停申购、赎回时除外。</w:t>
      </w:r>
    </w:p>
    <w:p w14:paraId="0CEB4BD0"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基金合同生效后，若出现新的证券/期货交易市场、证券/期货交易所交易时间变更或其他特殊情况，基金管理人将视情况对前述开放日及开放时间进行相应的调整，但应在实施日前依照《信息披露办法》的有关规定在规定媒介上公告。</w:t>
      </w:r>
    </w:p>
    <w:p w14:paraId="39C83305"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2、申购、赎回开始日及业务办理时间</w:t>
      </w:r>
    </w:p>
    <w:p w14:paraId="505A1318"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基金管理人可以根据实际情况依法决定本基金开始办理申购的具体日期，具体业务办理时间在相关公告中规定。</w:t>
      </w:r>
    </w:p>
    <w:p w14:paraId="2A9B561D"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基金管理人自基金合同生效之日起不超过3个月开始办理赎回，具体业务办理时间在相关公告中规定。</w:t>
      </w:r>
    </w:p>
    <w:p w14:paraId="24435A92"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在确定申购开始与赎回开始时间后，基金管理人应依照《信息披露办法》的有关规定在规定媒介上公告申购与赎回的开始时间。</w:t>
      </w:r>
    </w:p>
    <w:p w14:paraId="46F66A2E"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基金管理人不得在基金合同约定之外的日期或者时间办理基金份额的申购、赎回或者转换。投资人在基金合同约定之外的日期和时间提出申购、赎回或转换申请且登记机构确认接受的，其基金份额申购、赎回价格为下一开放日该类基金份额申购、赎回的价格。</w:t>
      </w:r>
    </w:p>
    <w:p w14:paraId="76544A10"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三、申购与赎回的原则</w:t>
      </w:r>
    </w:p>
    <w:p w14:paraId="1AAA4279"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1、“未知价”原则，即申购、赎回价格以申请当日收市后计算的各类基金份额净值为基准进行计算；</w:t>
      </w:r>
    </w:p>
    <w:p w14:paraId="10C4DCC6"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2、“金额申购、份额赎回”原则，即申购以金额申请，赎回以份额申请；</w:t>
      </w:r>
    </w:p>
    <w:p w14:paraId="6B564FF9"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3、当日的申购与赎回申请可以在基金管理人规定的时间以内撤销；</w:t>
      </w:r>
    </w:p>
    <w:p w14:paraId="6946FE90"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4、赎回遵循“先进先出”原则，即按照投资人认购、申购的先后次序进行顺序赎回；</w:t>
      </w:r>
    </w:p>
    <w:p w14:paraId="63A0C4EF"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5、办理申购、赎回业务时，应当遵循基金份额持有人利益优先原则，确保投资者的合</w:t>
      </w:r>
      <w:r>
        <w:rPr>
          <w:rFonts w:ascii="宋体" w:hAnsi="宋体" w:cs="宋体"/>
          <w:sz w:val="21"/>
          <w:szCs w:val="21"/>
        </w:rPr>
        <w:lastRenderedPageBreak/>
        <w:t>法权益不受损害并得到公平对待。</w:t>
      </w:r>
    </w:p>
    <w:p w14:paraId="29AFF0DF"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基金管理人可在法律法规允许的情况下，对上述原则进行调整。基金管理人必须在新规则开始实施前依照《信息披露办法》的有关规定在规定媒介上公告。</w:t>
      </w:r>
    </w:p>
    <w:p w14:paraId="5DB87201"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四、申购与赎回的程序</w:t>
      </w:r>
    </w:p>
    <w:p w14:paraId="07FA65C9"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1、申购和赎回的申请方式</w:t>
      </w:r>
    </w:p>
    <w:p w14:paraId="2C1F8632"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投资人必须根据销售机构规定的程序，在开放日的具体业务办理时间内提出申购或赎回的申请。</w:t>
      </w:r>
    </w:p>
    <w:p w14:paraId="506BEC27"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2、申购和赎回的款项支付</w:t>
      </w:r>
    </w:p>
    <w:p w14:paraId="574F72A7"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投资人申购基金份额时，必须全额交付申购款项，投资人交付申购款项，申购成立；基金份额登记机构确认基金份额时，申购生效。若资金在规定时间内未全额到账则申购不成立，申购款项将退回投资人账户，基金管理人不承担由此产生的利息损失。</w:t>
      </w:r>
    </w:p>
    <w:p w14:paraId="1DEE4C62"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基金份额持有人递交赎回申请，赎回成立；基金份额登记机构确认赎回时，赎回生效。投资者赎回申请生效后，基金管理人将在T＋7日（包括该日）内支付赎回款项。在发生巨额赎回、本基金合同载明的暂停赎回或其他延缓支付赎回款项的情形时，款项的支付办法参照本基金合同有关条款处理。</w:t>
      </w:r>
    </w:p>
    <w:p w14:paraId="59F50BAA"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3、申购和赎回申请的确认</w:t>
      </w:r>
    </w:p>
    <w:p w14:paraId="28CD5E36"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基金管理人应以交易时间结束前受理有效申购和赎回申请的当天作为申购或赎回申请日（T日），在正常情况下，本基金登记机构在T+1日内对该交易的有效性进行确认。T日提交的有效申请，投资人可在T+2日后（包括该日）到销售网点柜台或以销售机构规定的其他方式查询申请的确认情况。若申购不成功，则申购款项退还给投资人。</w:t>
      </w:r>
    </w:p>
    <w:p w14:paraId="69A41535"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基金销售机构对申购、赎回申请的受理并不代表申请一定成功，而仅代表销售机构确实接收到申请。申购、赎回申请的确认以登记机构的确认结果为准。对于申请的确认情况，投资人应及时查询并妥善行使合法权利。</w:t>
      </w:r>
    </w:p>
    <w:p w14:paraId="56CE790E"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基金管理人在不违反法律法规的前提下，可对上述程序规则进行调整。基金管理人应依照《信息披露办法》的有关规定在规定媒介上公告。</w:t>
      </w:r>
    </w:p>
    <w:p w14:paraId="4A06F004"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五、申购和赎回的数量限制</w:t>
      </w:r>
    </w:p>
    <w:p w14:paraId="0732B2CE"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1、基金管理人可以规定投资人首次申购和每次申购的最低金额、最高金额以及每次赎回的最低份额，具体规定请参见招募说明书或相关公告。</w:t>
      </w:r>
    </w:p>
    <w:p w14:paraId="3F024B26"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2、基金管理人可以规定投资人每个基金交易账户的最低基金份额余额，具体规定请参见招募说明书或相关公告。</w:t>
      </w:r>
    </w:p>
    <w:p w14:paraId="5609C120"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3、基金管理人可以规定单个投资人累计持有的基金份额上限，具体规定请参见招募说明书或相关公告。</w:t>
      </w:r>
    </w:p>
    <w:p w14:paraId="4F42DE09"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4、当接受申购申请对存量基金份额持有人利益构成潜在重大不利影响时，基金管理人应当采取设定单一投资者申购金额上限或基金单日净申购比例上限、拒绝大额申购、暂停</w:t>
      </w:r>
      <w:r>
        <w:rPr>
          <w:rFonts w:ascii="宋体" w:hAnsi="宋体" w:cs="宋体"/>
          <w:sz w:val="21"/>
          <w:szCs w:val="21"/>
        </w:rPr>
        <w:lastRenderedPageBreak/>
        <w:t>基金申购等措施，切实保护存量基金份额持有人的合法权益。基金管理人基于投资运作与风险控制的需要，可采取上述措施对基金规模予以控制。具体见基金管理人相关公告。</w:t>
      </w:r>
    </w:p>
    <w:p w14:paraId="534CF14F"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5、基金管理人可以根据市场情况，在法律法规允许的情况下，调整上述规定申购金额和赎回份额的数量限制。基金管理人必须依照《信息披露办法》的有关规定在规定媒介上公告。</w:t>
      </w:r>
    </w:p>
    <w:p w14:paraId="49D24F12"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六、申购和赎回的价格、费用及其用途</w:t>
      </w:r>
    </w:p>
    <w:p w14:paraId="24304A8B"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1、本基金各类基金份额净值的计算，均保留到小数点后4位，小数点后第5位四舍五入，由此产生的收益或损失由基金财产承担。T日的各类基金份额净值在当天收市后计算，并在T+1日内公告。遇特殊情况，经履行适当程序，可以适当延迟计算或公告。</w:t>
      </w:r>
    </w:p>
    <w:p w14:paraId="6BA88AA3"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2、申购份额的计算及余额的处理方式：本基金申购份额的计算详见《招募说明书》。本基金A类基金份额的申购费率由基金管理人决定，并在招募说明书及基金产品资料概要中列示。本基金C类基金份额不收取申购费。申购的有效份额为净申购金额除以当日的该类基金份额净值，有效份额单位为份，上述计算结果均按四舍五入方法，保留到小数点后2位，由此产生的收益或损失由基金财产承担。</w:t>
      </w:r>
    </w:p>
    <w:p w14:paraId="3BDB8EBE"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3、赎回金额的计算及处理方式：本基金赎回金额的计算详见《招募说明书》。本基金的赎回费率由基金管理人决定，并在招募说明书及基金产品资料概要中列示。赎回金额为按实际确认的有效赎回份额乘以当日该类基金份额净值并扣除相应的费用，赎回金额单位为元。上述计算结果均按四舍五入方法，保留到小数点后2位，由此产生的收益或损失由基金财产承担。</w:t>
      </w:r>
    </w:p>
    <w:p w14:paraId="70FFEEDB"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4、申购费用由申购A类基金份额的投资人承担，不列入基金财产。本基金C类基金份额不收取申购费。</w:t>
      </w:r>
    </w:p>
    <w:p w14:paraId="257B2D9D"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5、赎回费用由赎回基金份额的基金份额持有人承担，在基金份额持有人赎回基金份额时收取。赎回费用归入基金财产的比例依照相关法律法规设定，具体见招募说明书的规定，未归入基金财产的部分用于支付登记费和其他必要的手续费。其中，对持续持有期少于7日的投资者收取不低于1.5%的赎回费，并全额计入基金财产。</w:t>
      </w:r>
    </w:p>
    <w:p w14:paraId="0191A2CD"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6、本基金</w:t>
      </w:r>
      <w:r w:rsidR="001F1697">
        <w:rPr>
          <w:rFonts w:ascii="宋体" w:hAnsi="宋体" w:cs="宋体" w:hint="eastAsia"/>
          <w:sz w:val="21"/>
          <w:szCs w:val="21"/>
        </w:rPr>
        <w:t>A类基金份额</w:t>
      </w:r>
      <w:r>
        <w:rPr>
          <w:rFonts w:ascii="宋体" w:hAnsi="宋体" w:cs="宋体"/>
          <w:sz w:val="21"/>
          <w:szCs w:val="21"/>
        </w:rPr>
        <w:t>的申购费率、</w:t>
      </w:r>
      <w:r w:rsidR="00A63D63">
        <w:rPr>
          <w:rFonts w:ascii="宋体" w:hAnsi="宋体" w:cs="宋体" w:hint="eastAsia"/>
          <w:sz w:val="21"/>
          <w:szCs w:val="21"/>
        </w:rPr>
        <w:t>各类基金份额的</w:t>
      </w:r>
      <w:r>
        <w:rPr>
          <w:rFonts w:ascii="宋体" w:hAnsi="宋体" w:cs="宋体"/>
          <w:sz w:val="21"/>
          <w:szCs w:val="21"/>
        </w:rPr>
        <w:t>申购份额具体的计算方法、赎回费率、赎回金额具体的计算方法和收费方式由基金管理人根据基金合同的规定确定，并在招募说明书中列示。基金管理人可以在基金合同约定的范围内调整费率或收费方式，并依照《信息披露办法》的有关规定在规定媒介上公告。</w:t>
      </w:r>
    </w:p>
    <w:p w14:paraId="4B1F3FE1"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7、基金管理人可以在不违反法律法规规定及基金合同约定的情形下且对基金份额持有人利益无实质性不利影响的前提下，根据市场情况制定基金促销计划，针对以特定交易方式（如网上交易、电话交易等）等进行基金交易的投资人定期或不定期地开展基金促销活动。在基金促销活动期间，基金管理人可以适当调低基金申购费率、基金赎回费率和基金销售服务费率。</w:t>
      </w:r>
    </w:p>
    <w:p w14:paraId="08E2776E"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lastRenderedPageBreak/>
        <w:t>8、当本基金发生大额申购或赎回情形时，基金管理人可以采用摆动定价机制，以确保基金估值的公平性。具体处理原则与操作规范遵循相关法律法规以及监管部门、自律规则的规定。</w:t>
      </w:r>
    </w:p>
    <w:p w14:paraId="730C69FC"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七、拒绝或暂停申购的情形</w:t>
      </w:r>
    </w:p>
    <w:p w14:paraId="3E4ADD23"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发生下列情况时，基金管理人可拒绝或暂停接受投资人的申购申请：</w:t>
      </w:r>
    </w:p>
    <w:p w14:paraId="59125377"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1、因不可抗力导致基金无法正常运作。</w:t>
      </w:r>
    </w:p>
    <w:p w14:paraId="2F18EE93"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2、发生基金合同规定的暂停基金资产估值情况时，基金管理人可暂停接受投资人的申购申请。</w:t>
      </w:r>
    </w:p>
    <w:p w14:paraId="6A8537EB"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3、证券/期货交易所交易时间非正常停市或港股通临时暂停，导致基金管理人无法计算当日基金资产净值或无法进行证券交易。</w:t>
      </w:r>
    </w:p>
    <w:p w14:paraId="13BF2D42"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4、接受某笔或某些申购申请可能会影响或损害现有基金份额持有人利益时。</w:t>
      </w:r>
    </w:p>
    <w:p w14:paraId="2837EC42"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5、基金资产规模过大，使基金管理人无法找到合适的投资品种，或其他可能对基金业绩产生负面影响，或发生其他损害现有基金份额持有人利益的情形。</w:t>
      </w:r>
    </w:p>
    <w:p w14:paraId="046F6B0F"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6、当前一估值日基金资产净值50%以上的资产出现无可参考的活跃市场价格且采用估值技术仍导致公允价值存在重大不确定性时，经与基金托管人协商确认后，基金管理人应当暂停接受基金申购申请。</w:t>
      </w:r>
    </w:p>
    <w:p w14:paraId="416AD213"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7、基金管理人接受某笔或者某些申购申请有可能导致单一投资者持有基金份额的比例达到或者超过50%，或者变相规避50%集中度的情形。</w:t>
      </w:r>
    </w:p>
    <w:p w14:paraId="3A0A0283"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8、基金参与港股通交易且港股通交易每日额度不足。</w:t>
      </w:r>
    </w:p>
    <w:p w14:paraId="2D0F2CBD"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9、法律法规规定或中国证监会认定的其他情形。</w:t>
      </w:r>
    </w:p>
    <w:p w14:paraId="3A341DA3"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发生上述第1、2、3、5、6、8、9项暂停申购情形之一且基金管理人决定暂停接受投资人申购申请时，基金管理人应当根据有关规定在规定媒介上刊登暂停申购公告。如果投资人的申购申请被全部或部分拒绝的，被拒绝的申购款项将退还给投资人。在暂停申购的情况消除时，基金管理人应及时恢复申购业务的办理。</w:t>
      </w:r>
    </w:p>
    <w:p w14:paraId="7C61BAEC"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八、暂停赎回或延缓支付赎回款项的情形</w:t>
      </w:r>
    </w:p>
    <w:p w14:paraId="4C4CDF3A"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发生下列情形时，基金管理人可暂停接受投资人的赎回申请或延缓支付赎回款项：</w:t>
      </w:r>
    </w:p>
    <w:p w14:paraId="3C1C98B3"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1、因不可抗力导致基金管理人不能支付赎回款项。</w:t>
      </w:r>
    </w:p>
    <w:p w14:paraId="301AE2B2"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2、发生基金合同规定的暂停基金资产估值情况时，基金管理人可暂停接受投资人的赎回申请或延缓支付赎回款项。</w:t>
      </w:r>
    </w:p>
    <w:p w14:paraId="12778E13"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3、证券/期货交易所交易时间非正常停市或港股通临时暂停，导致基金管理人无法计算当日基金资产净值或无法进行证券交易。</w:t>
      </w:r>
    </w:p>
    <w:p w14:paraId="0F92265A"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4、连续两个或两个以上开放日发生巨额赎回。</w:t>
      </w:r>
    </w:p>
    <w:p w14:paraId="74D60E0E"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5、发生继续接受赎回申请将损害现有基金份额持有人利益的情形时，基金管理人可暂停接受基金份额持有人的赎回申请。</w:t>
      </w:r>
    </w:p>
    <w:p w14:paraId="52E6143D"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lastRenderedPageBreak/>
        <w:t>6、当前一估值日基金资产净值50%以上的资产出现无可参考的活跃市场价格且采用估值技术仍导致公允价值存在重大不确定性时，经与基金托管人协商确认后，基金管理人应当延缓支付赎回款项或暂停接受基金赎回申请。</w:t>
      </w:r>
    </w:p>
    <w:p w14:paraId="5FA34A64"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7、法律法规规定或中国证监会认定的其他情形。</w:t>
      </w:r>
    </w:p>
    <w:p w14:paraId="1669BD31"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发生上述情形之一且基金管理人决定暂停赎回或延缓支付赎回款项时，基金管理人应在当日报中国证监会备案，已确认的赎回申请，基金管理人应足额支付；如暂时不能足额支付，应将可支付部分按单个账户申请量占申请总量的比例分配给赎回申请人，未支付部分可延期支付。若出现上述第4项所述情形，按基金合同的相关条款处理。基金份额持有人在申请赎回时可事先选择将当日可能未获受理部分予以撤销。在暂停赎回的情况消除时，基金管理人应及时恢复赎回业务的办理并公告。</w:t>
      </w:r>
    </w:p>
    <w:p w14:paraId="718BB2A0"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九、巨额赎回的情形及处理方式</w:t>
      </w:r>
    </w:p>
    <w:p w14:paraId="17509C50"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1、巨额赎回的认定</w:t>
      </w:r>
    </w:p>
    <w:p w14:paraId="0A896A07"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若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w:t>
      </w:r>
    </w:p>
    <w:p w14:paraId="54B55486"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2、巨额赎回的处理方式</w:t>
      </w:r>
    </w:p>
    <w:p w14:paraId="4B788B8B"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当基金出现巨额赎回时，基金管理人可以根据基金当时的资产组合状况决定全额赎回或部分延期赎回。</w:t>
      </w:r>
    </w:p>
    <w:p w14:paraId="6A8E3ECB"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（1）全额赎回：当基金管理人认为有能力支付投资人的全部赎回申请时，按正常赎回程序执行。</w:t>
      </w:r>
    </w:p>
    <w:p w14:paraId="6E0BCFC7"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2）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10%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该类基金份额净值为基础计算赎回金额，以此类推，直到全部赎回为止。如投资人在提交赎回申请时未作明确选择，投资人未能赎回部分作自动延期赎回处理。</w:t>
      </w:r>
    </w:p>
    <w:p w14:paraId="562F03EC"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3）若基金发生巨额赎回，在当日存在单个基金份额持有人超过上一开放日基金总份额10%以上的赎回申请（“大额赎回申请人”）的情形下，基金管理人可以延期办理大额赎回申请人的赎回申请。对其他赎回申请人（“小额赎回申请人”）和大额赎回申请人10%以内的赎回申请在当日根据前述“（1）全额赎回”或“（2）部分延期赎回”的约定方式</w:t>
      </w:r>
      <w:r>
        <w:rPr>
          <w:rFonts w:ascii="宋体" w:hAnsi="宋体" w:cs="宋体"/>
          <w:sz w:val="21"/>
          <w:szCs w:val="21"/>
        </w:rPr>
        <w:lastRenderedPageBreak/>
        <w:t>办理，在仍可接受赎回申请的范围内对大额赎回申请人超过10%的赎回申请按比例确认。对当日未予确认的赎回申请进行延期办理。对于未能赎回部分，基金份额持有人在提交赎回申请时可以选择延期赎回或取消赎回。选择取消赎回的，当日未获受理的部分赎回申请将被撤销；选择延期赎回的，当日未获受理的赎回申请将与下一开放日赎回申请一并处理，无优先权并以下一开放日的该类基金份额净值为基础计算赎回金额，以此类推。如基金份额持有人在提交赎回申请时未作明确选择，基金份额持有人未能赎回部分作自动延期赎回处理。</w:t>
      </w:r>
    </w:p>
    <w:p w14:paraId="64B64DAC"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4）暂停赎回：连续2个开放日以上（含本数）发生巨额赎回，如基金管理人认为有必要，可暂停接受基金的赎回申请；已经接受的赎回申请可以延缓支付赎回款项，但不得超过20个工作日，并应当在规定媒介上进行公告。</w:t>
      </w:r>
    </w:p>
    <w:p w14:paraId="40CEB0A0"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3、巨额赎回的公告</w:t>
      </w:r>
    </w:p>
    <w:p w14:paraId="545ACE9A"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当发生上述巨额赎回并延期办理时，基金管理人应当通过邮寄、传真或者招募说明书规定的其他方式在3个交易日内通知基金份额持有人，说明有关处理方法，并在2日内在规定媒介上刊登公告。</w:t>
      </w:r>
    </w:p>
    <w:p w14:paraId="3AB4DA0A"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十、暂停申购或赎回的公告和重新开放申购或赎回的公告</w:t>
      </w:r>
    </w:p>
    <w:p w14:paraId="471D8148"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1、发生上述暂停申购或赎回情况的，基金管理人应在规定期限内在规定媒介上刊登暂停公告。</w:t>
      </w:r>
    </w:p>
    <w:p w14:paraId="51F58437"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2、上述暂停申购或赎回情况消除的，基金管理人应于重新开放日公布最近1个开放日的各类基金份额净值。</w:t>
      </w:r>
    </w:p>
    <w:p w14:paraId="52DE22BF"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3、基金管理人可以根据暂停申购或赎回的时间，依照《信息披露办法》的有关规定，最迟于重新开放日在规定媒介上刊登基金重新开放申购或赎回公告；也可以根据实际情况在暂停公告中明确重新开放申购或赎回的时间，届时不再另行发布重新开放的公告。</w:t>
      </w:r>
    </w:p>
    <w:p w14:paraId="2EE7E163"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十一、基金转换</w:t>
      </w:r>
    </w:p>
    <w:p w14:paraId="10BE714E"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14:paraId="750D64BF"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十二、基金的非交易过户</w:t>
      </w:r>
    </w:p>
    <w:p w14:paraId="1DDEE20F"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基金的非交易过户是指基金登记机构受理继承、捐赠和司法强制执行等情形而产生的非交易过户以及登记机构认可、符合法律法规的其它非交易过户。无论在上述何种情况下，接受划转的主体必须是依法可以持有本基金基金份额的投资人。</w:t>
      </w:r>
    </w:p>
    <w:p w14:paraId="0A9317DE"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w:t>
      </w:r>
      <w:r>
        <w:rPr>
          <w:rFonts w:ascii="宋体" w:hAnsi="宋体" w:cs="宋体"/>
          <w:sz w:val="21"/>
          <w:szCs w:val="21"/>
        </w:rPr>
        <w:lastRenderedPageBreak/>
        <w:t>人、法人或其他组织。办理非交易过户必须提供基金登记机构要求提供的相关资料，对于符合条件的非交易过户申请按基金登记机构的规定办理，并按基金登记机构规定的标准收费。</w:t>
      </w:r>
    </w:p>
    <w:p w14:paraId="48075EE3"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十三、基金的转托管</w:t>
      </w:r>
    </w:p>
    <w:p w14:paraId="5DD00FFE"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基金份额持有人可办理已持有基金份额在不同销售机构之间的转托管，基金销售机构可以按照规定的标准收取转托管费。</w:t>
      </w:r>
    </w:p>
    <w:p w14:paraId="120261D6"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十四、定期定额投资计划</w:t>
      </w:r>
    </w:p>
    <w:p w14:paraId="00700B10"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656520C1"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十五、基金份额的冻结和解冻</w:t>
      </w:r>
    </w:p>
    <w:p w14:paraId="73A671F0"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基金登记机构只受理国家有权机关依法要求的基金份额的冻结与解冻，以及登记机构认可、符合法律法规的其他情况下的冻结与解冻。</w:t>
      </w:r>
    </w:p>
    <w:p w14:paraId="536E0A15"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十六、基金份额的转让</w:t>
      </w:r>
    </w:p>
    <w:p w14:paraId="3F85B83F"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进行公告，基金份额持有人应根据基金管理人公告的业务规则办理基金份额转让业务。</w:t>
      </w:r>
    </w:p>
    <w:p w14:paraId="07FA22F4"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十七、实施侧袋机制期间本基金的申购与赎回</w:t>
      </w:r>
    </w:p>
    <w:p w14:paraId="221BAADB"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本基金实施侧袋机制的，本基金的申购和赎回安排详见招募说明书或相关公告。</w:t>
      </w:r>
    </w:p>
    <w:p w14:paraId="1A766096"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十八、其他业务</w:t>
      </w:r>
    </w:p>
    <w:p w14:paraId="4A6429D7"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在不违反法律法规及中国证监会规定的前提下，基金管理人可在对基金份额持有人利益无实质性不利影响的情形下办理基金份额的质押业务或其他基金业务，基金管理人可制定相应的业务规则，并依照《信息披露办法》的有关规定进行公告。</w:t>
      </w:r>
    </w:p>
    <w:p w14:paraId="7FA604A7" w14:textId="77777777" w:rsidR="00567D74" w:rsidRDefault="00567D74">
      <w:pPr>
        <w:pStyle w:val="1"/>
        <w:keepLines/>
        <w:pageBreakBefore/>
        <w:widowControl w:val="0"/>
        <w:spacing w:before="210" w:after="0" w:line="360" w:lineRule="auto"/>
        <w:jc w:val="center"/>
        <w:rPr>
          <w:rFonts w:ascii="Times New Roman" w:eastAsia="Times New Roman" w:hAnsi="Times New Roman" w:cs="Times New Roman"/>
        </w:rPr>
      </w:pPr>
      <w:bookmarkStart w:id="7" w:name="_Toc256000006"/>
      <w:r>
        <w:rPr>
          <w:rFonts w:ascii="宋体" w:hAnsi="宋体" w:cs="宋体"/>
          <w:kern w:val="36"/>
          <w:sz w:val="24"/>
          <w:szCs w:val="24"/>
        </w:rPr>
        <w:lastRenderedPageBreak/>
        <w:t>第七部分 基金合同当事人及权利义务</w:t>
      </w:r>
      <w:bookmarkEnd w:id="7"/>
    </w:p>
    <w:p w14:paraId="1F0D7BEC" w14:textId="77777777" w:rsidR="00567D74" w:rsidRDefault="00567D74">
      <w:pPr>
        <w:widowControl w:val="0"/>
        <w:spacing w:line="360" w:lineRule="auto"/>
        <w:jc w:val="both"/>
        <w:rPr>
          <w:rFonts w:ascii="宋体" w:hAnsi="宋体" w:cs="宋体"/>
          <w:sz w:val="21"/>
          <w:szCs w:val="21"/>
        </w:rPr>
      </w:pPr>
    </w:p>
    <w:p w14:paraId="6357CCF2"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一、基金管理人</w:t>
      </w:r>
    </w:p>
    <w:p w14:paraId="3A5E534E"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（一）基金管理人简况</w:t>
      </w:r>
    </w:p>
    <w:p w14:paraId="4FAEA6AF"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名称：鹏华基金管理有限公司</w:t>
      </w:r>
    </w:p>
    <w:p w14:paraId="7A3D6F1F"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住所：深圳市福田区福华三路168号深圳国际商会中心43层</w:t>
      </w:r>
    </w:p>
    <w:p w14:paraId="21DCF984" w14:textId="21D1CB68"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法定代表人</w:t>
      </w:r>
      <w:bookmarkStart w:id="8" w:name="_GoBack"/>
      <w:r>
        <w:rPr>
          <w:rFonts w:ascii="宋体" w:hAnsi="宋体" w:cs="宋体"/>
          <w:sz w:val="21"/>
          <w:szCs w:val="21"/>
        </w:rPr>
        <w:t>：</w:t>
      </w:r>
      <w:r w:rsidR="00F765BF" w:rsidRPr="00227C22">
        <w:rPr>
          <w:rFonts w:ascii="宋体" w:hAnsi="宋体" w:cs="宋体"/>
          <w:sz w:val="21"/>
          <w:szCs w:val="21"/>
        </w:rPr>
        <w:t>张纳沙</w:t>
      </w:r>
    </w:p>
    <w:bookmarkEnd w:id="8"/>
    <w:p w14:paraId="355CFD2B"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设立日期：1998年12月22日</w:t>
      </w:r>
    </w:p>
    <w:p w14:paraId="4B6927A6"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批准设立机关及批准设立文号：中国证券监督管理委员会〔1998〕31号文</w:t>
      </w:r>
    </w:p>
    <w:p w14:paraId="1C22DAA8"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组织形式：有限责任公司</w:t>
      </w:r>
    </w:p>
    <w:p w14:paraId="002B2039"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注册资本：1.5亿元</w:t>
      </w:r>
    </w:p>
    <w:p w14:paraId="117FDF3C"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存续期限：持续经营</w:t>
      </w:r>
    </w:p>
    <w:p w14:paraId="71A3C0EF"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联系电话：0755-82021233</w:t>
      </w:r>
    </w:p>
    <w:p w14:paraId="322D8B9D"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（二）基金管理人的权利与义务</w:t>
      </w:r>
    </w:p>
    <w:p w14:paraId="1851DC95"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1、根据《基金法》、《运作办法》及其他有关规定，基金管理人的权利包括但不限于：</w:t>
      </w:r>
    </w:p>
    <w:p w14:paraId="1787EBBD"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（1）依法募集资金；</w:t>
      </w:r>
    </w:p>
    <w:p w14:paraId="546B808F"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（2）自《基金合同》生效之日起，根据法律法规和《基金合同》独立运用并管理基金财产；</w:t>
      </w:r>
    </w:p>
    <w:p w14:paraId="3B2FD20E"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（3）依照《基金合同》收取基金管理费以及法律法规规定或中国证监会批准的其他费用；</w:t>
      </w:r>
    </w:p>
    <w:p w14:paraId="349A3057"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（4）销售基金份额；</w:t>
      </w:r>
    </w:p>
    <w:p w14:paraId="1A3D3780"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（5）按照规定召集基金份额持有人大会；</w:t>
      </w:r>
    </w:p>
    <w:p w14:paraId="3986DE53"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（6）依据《基金合同》及有关法律规定监督基金托管人，如认为基金托管人违反了《基金合同》及国家有关法律规定，应呈报中国证监会和其他监管部门，并采取必要措施保护基金投资者的利益；</w:t>
      </w:r>
    </w:p>
    <w:p w14:paraId="060BF22B"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（7）在基金托管人更换时，提名新的基金托管人；</w:t>
      </w:r>
    </w:p>
    <w:p w14:paraId="13561133"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（8）选择、更换基金销售机构，对基金销售机构的相关行为进行监督和处理；</w:t>
      </w:r>
    </w:p>
    <w:p w14:paraId="67DE8021"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（9）担任或委托其他符合条件的机构担任基金登记机构办理基金登记业务并获得《基金合同》规定的费用；</w:t>
      </w:r>
    </w:p>
    <w:p w14:paraId="5DE67171"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（10）依据《基金合同》及有关法律规定决定基金收益的分配方案；</w:t>
      </w:r>
    </w:p>
    <w:p w14:paraId="6C9AD4C3"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（11）在《基金合同》约定的范围内，拒绝或暂停受理申购、赎回或转换申请；</w:t>
      </w:r>
    </w:p>
    <w:p w14:paraId="0AE13F72"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（12）依照法律法规为基金的利益对被投资公司行使股东权利，为基金的利益行使因基金财产投资所产生的权利；</w:t>
      </w:r>
    </w:p>
    <w:p w14:paraId="7E4B9C9A"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（13）在法律法规允许的前提下，为基金的利益依法为基金进行融资、融券及转融通</w:t>
      </w:r>
      <w:r>
        <w:rPr>
          <w:rFonts w:ascii="宋体" w:hAnsi="宋体" w:cs="宋体"/>
          <w:sz w:val="21"/>
          <w:szCs w:val="21"/>
        </w:rPr>
        <w:lastRenderedPageBreak/>
        <w:t>证券出借业务；</w:t>
      </w:r>
    </w:p>
    <w:p w14:paraId="35C3B5E2"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（14）以基金管理人的名义，代表基金份额持有人的利益行使诉讼权利或者实施其他法律行为；</w:t>
      </w:r>
    </w:p>
    <w:p w14:paraId="30257558"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（15）选择、更换律师事务所、会计师事务所、证券/期货经纪商或其他为基金提供服务的外部机构；</w:t>
      </w:r>
    </w:p>
    <w:p w14:paraId="28138D6F"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（16）在符合有关法律、法规的前提下，制订和调整有关基金认购、申购、赎回、转换</w:t>
      </w:r>
      <w:r w:rsidR="001F1697">
        <w:rPr>
          <w:rFonts w:ascii="宋体" w:hAnsi="宋体" w:cs="宋体"/>
          <w:sz w:val="21"/>
          <w:szCs w:val="21"/>
        </w:rPr>
        <w:t>、转托管、定期定额投资</w:t>
      </w:r>
      <w:r>
        <w:rPr>
          <w:rFonts w:ascii="宋体" w:hAnsi="宋体" w:cs="宋体"/>
          <w:sz w:val="21"/>
          <w:szCs w:val="21"/>
        </w:rPr>
        <w:t>和非交易过户等业务规则；</w:t>
      </w:r>
    </w:p>
    <w:p w14:paraId="11259459"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（17）法律法规及中国证监会规定的和《基金合同》约定的其他权利。</w:t>
      </w:r>
    </w:p>
    <w:p w14:paraId="69B8D692"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2、根据《基金法》、《运作办法》及其他有关规定，基金管理人的义务包括但不限于：</w:t>
      </w:r>
    </w:p>
    <w:p w14:paraId="730CA0BD"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（1）依法募集资金，办理或者委托经中国证监会认定的其他机构办理基金份额的发售、申购、赎回和登记事宜；</w:t>
      </w:r>
    </w:p>
    <w:p w14:paraId="467F5C9C"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（2）办理基金备案手续；</w:t>
      </w:r>
    </w:p>
    <w:p w14:paraId="1F10A085"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（3）自《基金合同》生效之日起，以诚实信用、谨慎勤勉的原则管理和运用基金财产；</w:t>
      </w:r>
    </w:p>
    <w:p w14:paraId="5BEACB9B"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（4）配备足够的具有专业资格的人员进行基金投资分析、决策，以专业化的经营方式管理和运作基金财产；</w:t>
      </w:r>
    </w:p>
    <w:p w14:paraId="5991E97A"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（5）建立健全内部风险控制、监察与稽核、财务管理及人事管理等制度，保证所管理的基金财产和基金管理人的财产相互独立，对所管理的不同基金分别管理，分别记账，进行证券投资；</w:t>
      </w:r>
    </w:p>
    <w:p w14:paraId="4DB6C3F0"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（6）除依据《基金法》、《基金合同》及其他有关规定外，不得利用基金财产为自己及任何第三人谋取利益，不得委托第三人运作基金财产；</w:t>
      </w:r>
    </w:p>
    <w:p w14:paraId="7787A720"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（7）依法接受基金托管人的监督；</w:t>
      </w:r>
    </w:p>
    <w:p w14:paraId="2A2367C5"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（8）采取适当合理的措施使计算基金份额认购、申购、赎回和注销价格的方法符合《基金合同》等法律文件的规定，按有关规定计算并公告基金净值信息，确定基金份额申购、赎回的价格；</w:t>
      </w:r>
    </w:p>
    <w:p w14:paraId="2B50AED5"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（9）进行基金会计核算并编制基金财务会计报告；</w:t>
      </w:r>
    </w:p>
    <w:p w14:paraId="514FF90B"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（10）编制季度报告、中期报告和年度报告；</w:t>
      </w:r>
    </w:p>
    <w:p w14:paraId="041208C5"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（11）严格按照《基金法》、《基金合同》及其他有关规定，履行信息披露及报告义务；</w:t>
      </w:r>
    </w:p>
    <w:p w14:paraId="42E72503"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（12）保守基金商业秘密，不泄露基金投资计划、投资意向等。除《基金法》、《基金合同》及其他有关规定另有规定外，在基金信息公开披露前应予保密，不向他人泄露</w:t>
      </w:r>
      <w:r w:rsidR="001F1697" w:rsidRPr="001F1697">
        <w:rPr>
          <w:rFonts w:ascii="宋体" w:hAnsi="宋体" w:cs="宋体" w:hint="eastAsia"/>
          <w:sz w:val="21"/>
          <w:szCs w:val="21"/>
        </w:rPr>
        <w:t>，向监管机构、司法机关等有权机关，以及审计、法律等外部专业顾问提供的情况除外</w:t>
      </w:r>
      <w:r>
        <w:rPr>
          <w:rFonts w:ascii="宋体" w:hAnsi="宋体" w:cs="宋体"/>
          <w:sz w:val="21"/>
          <w:szCs w:val="21"/>
        </w:rPr>
        <w:t>；</w:t>
      </w:r>
    </w:p>
    <w:p w14:paraId="3883CDD0"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（13）按《基金合同》的约定确定基金收益分配方案，及时向基金份额持有人分配基金收益；</w:t>
      </w:r>
    </w:p>
    <w:p w14:paraId="337B89B7"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（14）按规定受理申购与赎回申请，及时、足额支付赎回款项；</w:t>
      </w:r>
    </w:p>
    <w:p w14:paraId="255F1390"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lastRenderedPageBreak/>
        <w:t>（15）依据《基金法》、《基金合同》及其他有关规定召集基金份额持有人大会或配合基金托管人、基金份额持有人依法召集基金份额持有人大会；</w:t>
      </w:r>
    </w:p>
    <w:p w14:paraId="4B7E4C3C"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（16）按规定保存基金财产管理业务活动的会计账册、报表、记录和其他相关资料，保存期限不低于法定最低期限；</w:t>
      </w:r>
    </w:p>
    <w:p w14:paraId="473F7A3B"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6940FA81"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（18）组织并参加基金财产清算小组，参与基金财产的保管、清理、估价、变现和分配；</w:t>
      </w:r>
    </w:p>
    <w:p w14:paraId="7CD7153B"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（19）面临解散、依法被撤销或者被依法宣告破产时，及时报告中国证监会并通知基金托管人；</w:t>
      </w:r>
    </w:p>
    <w:p w14:paraId="625667A0"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（20）因违反《基金合同》导致基金财产的损失或损害基金份额持有人合法权益时，应当承担赔偿责任，其赔偿责任不因其退任而免除；</w:t>
      </w:r>
    </w:p>
    <w:p w14:paraId="27D2543F"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（21）监督基金托管人按法律法规和《基金合同》规定履行自己的义务，基金托管人违反《基金合同》造成基金财产损失时，基金管理人应为基金份额持有人利益向基金托管人追偿；</w:t>
      </w:r>
    </w:p>
    <w:p w14:paraId="4AF6B6AC"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（22）当基金管理人将其义务委托第三方处理时，应当对第三方处理有关基金事务的行为承担责任；</w:t>
      </w:r>
    </w:p>
    <w:p w14:paraId="75CAD0C1"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（23）以基金管理人名义，代表基金份额持有人利益行使诉讼权利或实施其他法律行为；</w:t>
      </w:r>
    </w:p>
    <w:p w14:paraId="00B76804"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（24）基金管理人在募集期间未能达到基金的备案条件，《基金合同》不能生效，基金管理人承担全部募集费用，将已募集资金并加计银行同期活期存款利息在基金募集期结束后30日内退还基金认购人；</w:t>
      </w:r>
    </w:p>
    <w:p w14:paraId="171E0426"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（25）执行生效的基金份额持有人大会的决议；</w:t>
      </w:r>
    </w:p>
    <w:p w14:paraId="7591DD1A"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（26）建立并保存基金份额持有人名册；</w:t>
      </w:r>
    </w:p>
    <w:p w14:paraId="77DC15BB"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（27）法律法规及中国证监会规定的和《基金合同》约定的其他义务。</w:t>
      </w:r>
    </w:p>
    <w:p w14:paraId="513AA317"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二、基金托管人</w:t>
      </w:r>
    </w:p>
    <w:p w14:paraId="518F8272"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（一）基金托管人简况</w:t>
      </w:r>
    </w:p>
    <w:p w14:paraId="098C2822"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名称：中国建设银行股份有限公司</w:t>
      </w:r>
    </w:p>
    <w:p w14:paraId="60EC5639"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住所：北京市西城区金融大街25号</w:t>
      </w:r>
    </w:p>
    <w:p w14:paraId="65B4B98C"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法定代表人：田国立</w:t>
      </w:r>
    </w:p>
    <w:p w14:paraId="613F1ED4"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成立时间：2004年09月17日</w:t>
      </w:r>
    </w:p>
    <w:p w14:paraId="4D8E853B"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组织形式：股份有限公司</w:t>
      </w:r>
    </w:p>
    <w:p w14:paraId="6F99F695"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注册资本：贰仟伍佰亿壹仟零玖拾柒万柒仟肆佰捌拾陆元整</w:t>
      </w:r>
    </w:p>
    <w:p w14:paraId="00959D48"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lastRenderedPageBreak/>
        <w:t>存续期间：持续经营</w:t>
      </w:r>
    </w:p>
    <w:p w14:paraId="06BF7D0C"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基金托管资格批文及文号：证监基字【1998】12号</w:t>
      </w:r>
    </w:p>
    <w:p w14:paraId="7B2CD713"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（二）基金托管人的权利与义务</w:t>
      </w:r>
    </w:p>
    <w:p w14:paraId="0243F592"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1、根据《基金法》、《运作办法》及其他有关规定，基金托管人的权利包括但不限于：</w:t>
      </w:r>
    </w:p>
    <w:p w14:paraId="04308F13"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（1）自《基金合同》生效之日起，依法律法规和《基金合同》的规定安全保管基金财产；</w:t>
      </w:r>
    </w:p>
    <w:p w14:paraId="55ED85C0"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（2）依《基金合同》约定获得基金托管费以及法律法规规定或监管部门批准的其他费用；</w:t>
      </w:r>
    </w:p>
    <w:p w14:paraId="1430E9EA"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3）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338A7207"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（4）根据相关市场规则，为基金开设资金账户、证券账户等投资所需账户，为基金办理证券交易资金清算；</w:t>
      </w:r>
    </w:p>
    <w:p w14:paraId="61453CF9"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（5）提议召开或召集基金份额持有人大会；</w:t>
      </w:r>
    </w:p>
    <w:p w14:paraId="384112C5"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（6）在基金管理人更换时，提名新的基金管理人；</w:t>
      </w:r>
    </w:p>
    <w:p w14:paraId="3379E223"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（7）法律法规及中国证监会规定的和《基金合同》约定的其他权利。</w:t>
      </w:r>
    </w:p>
    <w:p w14:paraId="65E538FF"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2、根据《基金法》、《运作办法》及其他有关规定，基金托管人的义务包括但不限于：</w:t>
      </w:r>
    </w:p>
    <w:p w14:paraId="25C87823"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（1）以诚实信用、勤勉尽责的原则持有并安全保管基金财产；</w:t>
      </w:r>
    </w:p>
    <w:p w14:paraId="16B5A6F7"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（2）设立专门的基金托管部门，具有符合要求的营业场所，配备足够的、合格的熟悉基金托管业务的专职人员，负责基金财产托管事宜；</w:t>
      </w:r>
    </w:p>
    <w:p w14:paraId="51D319D0"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2A92105D"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（4）除依据《基金法》、《基金合同》及其他有关规定外，不得利用基金财产为自己及任何第三人谋取利益，不得委托第三人托管基金财产；</w:t>
      </w:r>
    </w:p>
    <w:p w14:paraId="408A846B"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（5）保管由基金管理人代表基金签订的与基金有关的重大合同及有关凭证；</w:t>
      </w:r>
    </w:p>
    <w:p w14:paraId="1D06E566"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（6）按规定开设基金财产的资金账户和证券账户等投资所需账户，按照《基金合同》的约定，根据基金管理人的投资指令，及时办理清算、交割事宜；</w:t>
      </w:r>
    </w:p>
    <w:p w14:paraId="2C9B3C71"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（7）保守基金商业秘密，除《基金法》、《基金合同》及其他有关规定另有规定外，在基金信息公开披露前予以保密，不得向他人泄露</w:t>
      </w:r>
      <w:r w:rsidR="001F1697" w:rsidRPr="001F1697">
        <w:rPr>
          <w:rFonts w:ascii="宋体" w:hAnsi="宋体" w:cs="宋体" w:hint="eastAsia"/>
          <w:sz w:val="21"/>
          <w:szCs w:val="21"/>
        </w:rPr>
        <w:t>，向监管机构、司法机关等有权机关，以及审计、法律等外部专业顾问提供的情况除外</w:t>
      </w:r>
      <w:r>
        <w:rPr>
          <w:rFonts w:ascii="宋体" w:hAnsi="宋体" w:cs="宋体"/>
          <w:sz w:val="21"/>
          <w:szCs w:val="21"/>
        </w:rPr>
        <w:t>；</w:t>
      </w:r>
    </w:p>
    <w:p w14:paraId="5A6A9257"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（8）复核、审查基金管理人计算的基金资产净值、各类基金份额净值、基金份额申购、赎回价格；</w:t>
      </w:r>
    </w:p>
    <w:p w14:paraId="457D04E6"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lastRenderedPageBreak/>
        <w:t>（9）办理与基金托管业务活动有关的信息披露事项；</w:t>
      </w:r>
    </w:p>
    <w:p w14:paraId="6831B79B"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10）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14:paraId="565D9D28"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（11）保存基金托管业务活动的记录、账册、报表和其他相关资料，保存期限不低于法定最低期限；</w:t>
      </w:r>
    </w:p>
    <w:p w14:paraId="6062FE4A"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（12）从基金管理人或其委托的登记机构处接收并保存基金份额持有人名册；</w:t>
      </w:r>
    </w:p>
    <w:p w14:paraId="50C25943"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（13）按规定制作相关账册并与基金管理人核对；</w:t>
      </w:r>
    </w:p>
    <w:p w14:paraId="4AE74D42"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（14）依据基金管理人的指令或有关规定向基金份额持有人支付基金收益和赎回款项；</w:t>
      </w:r>
    </w:p>
    <w:p w14:paraId="268BC8BA"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（15）依据《基金法》、《基金合同》及其他有关规定，召集基金份额持有人大会或配合基金管理人、基金份额持有人依法召集基金份额持有人大会；</w:t>
      </w:r>
    </w:p>
    <w:p w14:paraId="5BA042B0"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（16）按照法律法规和《基金合同》的规定监督基金管理人的投资运作；</w:t>
      </w:r>
    </w:p>
    <w:p w14:paraId="2E2B3FD7"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（17）参加基金财产清算小组，参与基金财产的保管、清理、估价、变现和分配；</w:t>
      </w:r>
    </w:p>
    <w:p w14:paraId="4C3CF625"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（18）面临解散、依法被撤销或者被依法宣告破产时，及时报告中国证监会和银行业监督管理机构，并通知基金管理人；</w:t>
      </w:r>
    </w:p>
    <w:p w14:paraId="59BBB784"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（19）因违反《基金合同》导致基金财产损失时，应承担赔偿责任，其赔偿责任不因其退任而免除；</w:t>
      </w:r>
    </w:p>
    <w:p w14:paraId="117C2723"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（20）按规定监督基金管理人按法律法规和《基金合同》规定履行自己的义务，基金管理人因违反《基金合同》造成基金财产损失时，应为基金份额持有人利益向基金管理人追偿；</w:t>
      </w:r>
    </w:p>
    <w:p w14:paraId="62F61792"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（21）执行生效的基金份额持有人大会的决议；</w:t>
      </w:r>
    </w:p>
    <w:p w14:paraId="15F31C2D"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（22）法律法规及中国证监会规定的和《基金合同》约定的其他义务。</w:t>
      </w:r>
    </w:p>
    <w:p w14:paraId="2A8C9F8C"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三、基金份额持有人</w:t>
      </w:r>
    </w:p>
    <w:p w14:paraId="6FD19659"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基金投资者持有本基金基金份额的行为即视为对《基金合同》的承认和接受，基金投资者自依据《基金合同》取得基金份额，即成为本基金基金份额持有人和《基金合同》的当事人，直至其不再持有本基金的基金份额。基金份额持有人作为《基金合同》当事人并不以在《基金合同》上书面签章或签字为必要条件。</w:t>
      </w:r>
    </w:p>
    <w:p w14:paraId="5681C207"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同一类别每份基金份额具有同等的合法权益。</w:t>
      </w:r>
    </w:p>
    <w:p w14:paraId="4AFD5D62"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1、根据《基金法》、《运作办法》及其他有关规定，基金份额持有人的权利包括但不限于：</w:t>
      </w:r>
    </w:p>
    <w:p w14:paraId="74F46672"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（1）分享基金财产收益；</w:t>
      </w:r>
    </w:p>
    <w:p w14:paraId="5F0B0831"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（2）参与分配清算后的剩余基金财产；</w:t>
      </w:r>
    </w:p>
    <w:p w14:paraId="4546257A"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（3）依法转让或者申请赎回其持有的基金份额；</w:t>
      </w:r>
    </w:p>
    <w:p w14:paraId="2F18A5D1"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（4）按照规定要求召开基金份额持有人大会或者召集基金份额持有人大会；</w:t>
      </w:r>
    </w:p>
    <w:p w14:paraId="5F9E1D5D"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lastRenderedPageBreak/>
        <w:t>（5）出席或者委派代表出席基金份额持有人大会，对基金份额持有人大会审议事项行使表决权；</w:t>
      </w:r>
    </w:p>
    <w:p w14:paraId="4FD95BD7"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（6）查阅或者复制公开披露的基金信息资料；</w:t>
      </w:r>
    </w:p>
    <w:p w14:paraId="60A525E3"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（7）监督基金管理人的投资运作；</w:t>
      </w:r>
    </w:p>
    <w:p w14:paraId="3AAB6D0D"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（8）对基金管理人、基金托管人、基金服务机构损害其合法权益的行为依法提起诉讼或仲裁；</w:t>
      </w:r>
    </w:p>
    <w:p w14:paraId="5D8361AA"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（9）法律法规及中国证监会规定的和《基金合同》约定的其他权利。</w:t>
      </w:r>
    </w:p>
    <w:p w14:paraId="14469DB6"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2、根据《基金法》、《运作办法》及其他有关规定，基金份额持有人的义务包括但不限于：</w:t>
      </w:r>
    </w:p>
    <w:p w14:paraId="741D189E"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（1）认真阅读并遵守《基金合同》、招募说明书等信息披露文件；</w:t>
      </w:r>
    </w:p>
    <w:p w14:paraId="1B466CDF"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（2）了解所投资基金产品，了解自身风险承受能力，自主判断基金的投资价值，自主做出投资决策，自行承担投资风险；</w:t>
      </w:r>
    </w:p>
    <w:p w14:paraId="77CB6A12"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（3）关注基金信息披露，及时行使权利和履行义务；</w:t>
      </w:r>
    </w:p>
    <w:p w14:paraId="51B1242E"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（4）交纳基金认购、申购款项及法律法规和《基金合同》所规定的费用；</w:t>
      </w:r>
    </w:p>
    <w:p w14:paraId="13C5EB6E"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（5）在其持有的基金份额范围内，承担基金亏损或者《基金合同》终止的有限责任；</w:t>
      </w:r>
    </w:p>
    <w:p w14:paraId="2AE591F6"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（6）不从事任何有损基金及其他《基金合同》当事人合法权益的活动；</w:t>
      </w:r>
    </w:p>
    <w:p w14:paraId="441D4A48"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（7）执行生效的基金份额持有人大会的决议；</w:t>
      </w:r>
    </w:p>
    <w:p w14:paraId="32B783AC"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（8）返还在基金交易过程中因任何原因获得的不当得利；</w:t>
      </w:r>
    </w:p>
    <w:p w14:paraId="45433D51"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（9）法律法规及中国证监会规定的和《基金合同》约定的其他义务。</w:t>
      </w:r>
    </w:p>
    <w:p w14:paraId="3F94327A" w14:textId="77777777" w:rsidR="00567D74" w:rsidRDefault="00567D74">
      <w:pPr>
        <w:pStyle w:val="1"/>
        <w:keepLines/>
        <w:pageBreakBefore/>
        <w:widowControl w:val="0"/>
        <w:spacing w:before="0" w:after="0" w:line="360" w:lineRule="auto"/>
        <w:jc w:val="center"/>
        <w:rPr>
          <w:rFonts w:ascii="Times New Roman" w:eastAsia="Times New Roman" w:hAnsi="Times New Roman" w:cs="Times New Roman"/>
        </w:rPr>
      </w:pPr>
      <w:bookmarkStart w:id="9" w:name="_Toc256000007"/>
      <w:r>
        <w:rPr>
          <w:rFonts w:ascii="宋体" w:hAnsi="宋体" w:cs="宋体"/>
          <w:kern w:val="36"/>
          <w:sz w:val="24"/>
          <w:szCs w:val="24"/>
        </w:rPr>
        <w:lastRenderedPageBreak/>
        <w:t>第八部分 基金份额持有人大会</w:t>
      </w:r>
      <w:bookmarkEnd w:id="9"/>
    </w:p>
    <w:p w14:paraId="33615B4C" w14:textId="77777777" w:rsidR="00567D74" w:rsidRDefault="00567D74">
      <w:pPr>
        <w:widowControl w:val="0"/>
        <w:spacing w:line="360" w:lineRule="auto"/>
        <w:jc w:val="both"/>
        <w:rPr>
          <w:rFonts w:ascii="宋体" w:hAnsi="宋体" w:cs="宋体"/>
          <w:sz w:val="21"/>
          <w:szCs w:val="21"/>
        </w:rPr>
      </w:pPr>
    </w:p>
    <w:p w14:paraId="38F83871"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基金份额持有人大会由基金份额持有人组成，基金份额持有人的合法授权代表有权代表基金份额持有人出席会议并表决。基金份额持有人持有的每一基金份额拥有平等的投票权。本基金暂不设置日常机构，日常机构的设置和相关规则按照法律法规的有关规定进行。</w:t>
      </w:r>
    </w:p>
    <w:p w14:paraId="259A2BFB"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一、召开事由</w:t>
      </w:r>
    </w:p>
    <w:p w14:paraId="2696095D"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1、当出现或需要决定下列事由之一的，应当召开基金份额持有人大会，法律法规、中国证监会另有规定或基金合同另有约定的除外：</w:t>
      </w:r>
    </w:p>
    <w:p w14:paraId="64F1EBB5"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（1）终止《基金合同》；</w:t>
      </w:r>
    </w:p>
    <w:p w14:paraId="2FEC5E10"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（2）更换基金管理人；</w:t>
      </w:r>
    </w:p>
    <w:p w14:paraId="19E16774"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（3）更换基金托管人；</w:t>
      </w:r>
    </w:p>
    <w:p w14:paraId="774A863C"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（4）转换基金运作方式；</w:t>
      </w:r>
    </w:p>
    <w:p w14:paraId="010C9560"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（5）调整基金管理人、基金托管人的报酬标准或提高销售服务费；</w:t>
      </w:r>
    </w:p>
    <w:p w14:paraId="5ACB34CD"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（6）变更基金类别；</w:t>
      </w:r>
    </w:p>
    <w:p w14:paraId="40B58DC4"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（7）本基金与其他基金的合并；</w:t>
      </w:r>
    </w:p>
    <w:p w14:paraId="100C6FB9"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（8）变更基金投资目标、范围或策略；</w:t>
      </w:r>
    </w:p>
    <w:p w14:paraId="4826C5AD"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（9）变更基金份额持有人大会程序；</w:t>
      </w:r>
    </w:p>
    <w:p w14:paraId="127A63E7"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（10）基金管理人或基金托管人要求召开基金份额持有人大会；</w:t>
      </w:r>
    </w:p>
    <w:p w14:paraId="7C575787"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（11）单独或合计持有本基金总份额10%以上（含10%）基金份额的基金份额持有人（以基金管理人收到提议当日的基金份额计算，下同）就同一事项书面要求召开基金份额持有人大会；</w:t>
      </w:r>
    </w:p>
    <w:p w14:paraId="3DC5C23D"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（12）对基金合同当事人权利和义务产生重大影响的其他事项；</w:t>
      </w:r>
    </w:p>
    <w:p w14:paraId="66B98316"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（13）法律法规、《基金合同》或中国证监会规定的其他应当召开基金份额持有人大会的事项。</w:t>
      </w:r>
    </w:p>
    <w:p w14:paraId="75E6D687"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2、在法律法规规定和《基金合同》约定的范围内且对基金份额持有人利益无实质性不利影响的前提下，以下情况可由基金管理人和基金托管人协商后修改，不需召开基金份额持有人大会：</w:t>
      </w:r>
    </w:p>
    <w:p w14:paraId="33C0FCB1"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（1）法律法规要求增加的基金费用的收取；</w:t>
      </w:r>
    </w:p>
    <w:p w14:paraId="0DAAF1B0"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（2）调整本基金的申购费率、调低赎回费率、调低销售服务费或变更收费方式；</w:t>
      </w:r>
    </w:p>
    <w:p w14:paraId="7206A92D"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（3）增加、减少、调整基金份额类别设置；</w:t>
      </w:r>
    </w:p>
    <w:p w14:paraId="0495250D"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（4）基金管理人、登记机构、基金销售机构调整有关认购、申购、赎回、转换、非交易过户、转托管等业务规则；</w:t>
      </w:r>
    </w:p>
    <w:p w14:paraId="68BB2761"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（5）基金推出新业务或服务；</w:t>
      </w:r>
    </w:p>
    <w:p w14:paraId="6EE2B543"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（6）因相应的法律法规发生变动而应当对《基金合同》进行修改；</w:t>
      </w:r>
    </w:p>
    <w:p w14:paraId="0A50C34E"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lastRenderedPageBreak/>
        <w:t>（7）对《基金合同》的修改对基金份额持有人利益无实质性不利影响或修改不涉及《基金合同》当事人权利义务关系发生重大变化；</w:t>
      </w:r>
    </w:p>
    <w:p w14:paraId="57613378"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（8）按照法律法规和《基金合同》规定不需召开基金份额持有人大会的其他情形。</w:t>
      </w:r>
    </w:p>
    <w:p w14:paraId="47005BE8"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二、会议召集人及召集方式</w:t>
      </w:r>
    </w:p>
    <w:p w14:paraId="73D2C0E6"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1、除法律法规规定或《基金合同》另有约定外，基金份额持有人大会由基金管理人召集。</w:t>
      </w:r>
    </w:p>
    <w:p w14:paraId="773F2DCA"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2、基金管理人未按规定召集或不能召集时，由基金托管人召集。</w:t>
      </w:r>
    </w:p>
    <w:p w14:paraId="4DCC9080"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由基金托管人自行召集，并自出具书面决定之日起60日内召开并告知基金管理人，基金管理人应当配合。</w:t>
      </w:r>
    </w:p>
    <w:p w14:paraId="3BD04A8E"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4、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代表基金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并告知基金管理人，基金管理人应当配合。</w:t>
      </w:r>
    </w:p>
    <w:p w14:paraId="40C8EB13"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5、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14:paraId="76EF084C"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6、基金份额持有人会议的召集人负责选择确定开会时间、地点、方式和权益登记日。</w:t>
      </w:r>
    </w:p>
    <w:p w14:paraId="4B1E47FD"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三、召开基金份额持有人大会的通知时间、通知内容、通知方式</w:t>
      </w:r>
    </w:p>
    <w:p w14:paraId="63BCA2D4"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1、召开基金份额持有人大会，召集人应于会议召开前30日，在规定媒介公告。基金份额持有人大会通知应至少载明以下内容：</w:t>
      </w:r>
    </w:p>
    <w:p w14:paraId="56BF8AC3"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（1）会议召开的时间、地点和会议形式；</w:t>
      </w:r>
    </w:p>
    <w:p w14:paraId="0D3B3C53"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（2）会议拟审议的事项、议事程序和表决方式；</w:t>
      </w:r>
    </w:p>
    <w:p w14:paraId="3485FBB1"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（3）有权出席基金份额持有人大会的基金份额持有人的权益登记日；</w:t>
      </w:r>
    </w:p>
    <w:p w14:paraId="13159057"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（4）授权委托证明的内容要求（包括但不限于代理人身份，代理权限和代理有效期限等）、送达时间和地点；</w:t>
      </w:r>
    </w:p>
    <w:p w14:paraId="3D4F27AE"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lastRenderedPageBreak/>
        <w:t>（5）会务常设联系人姓名及联系电话；</w:t>
      </w:r>
    </w:p>
    <w:p w14:paraId="20B22264"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（6）出席会议者必须准备的文件和必须履行的手续；</w:t>
      </w:r>
    </w:p>
    <w:p w14:paraId="6CDE2A8C"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（7）召集人需要通知的其他事项。</w:t>
      </w:r>
    </w:p>
    <w:p w14:paraId="22131CFF"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2、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14:paraId="524C17E9"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书面表决意见的计票进行监督的，不影响表决意见的计票效力。</w:t>
      </w:r>
    </w:p>
    <w:p w14:paraId="4C3E251A"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四、基金份额持有人出席会议的方式</w:t>
      </w:r>
    </w:p>
    <w:p w14:paraId="07224006"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基金份额持有人大会可通过现场开会方式、通讯开会方式或法律法规、监管机构允许的其他方式召开，会议的召开方式由会议召集人确定。</w:t>
      </w:r>
    </w:p>
    <w:p w14:paraId="47FED708"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1、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168C383B"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1C55FF9C"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2）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的基金份额应不少于本基金在权益登记日基金总份额的三分之一（含三分之一）。</w:t>
      </w:r>
    </w:p>
    <w:p w14:paraId="2A3BC4C9"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2、通讯开会。通讯开会系指基金份额持有人将其对表决事项的投票以书面形式或基金合同约定的其他方式在表决截止日以前送达至召集人指定的地址。通讯开会应以书面方式或基金合同约定的其他方式进行表决。</w:t>
      </w:r>
    </w:p>
    <w:p w14:paraId="51F926F0"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在同时符合以下条件时，通讯开会的方式视为有效：</w:t>
      </w:r>
    </w:p>
    <w:p w14:paraId="5E57AFCF"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（1）会议召集人按《基金合同》约定公布会议通知后，在2个工作日内连续公布相关提示性公告。</w:t>
      </w:r>
    </w:p>
    <w:p w14:paraId="6500843E"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（2）召集人按基金合同约定通知基金托管人（如果基金托管人为召集人，则为基金管</w:t>
      </w:r>
      <w:r>
        <w:rPr>
          <w:rFonts w:ascii="宋体" w:hAnsi="宋体" w:cs="宋体"/>
          <w:sz w:val="21"/>
          <w:szCs w:val="21"/>
        </w:rPr>
        <w:lastRenderedPageBreak/>
        <w:t>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14:paraId="5FDE3BE0"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3）本人直接出具书面意见或授权他人代表出具书面意见的，基金份额持有人所持有的基金份额不小于在权益登记日基金总份额的二分之一（含二分之一）；若本人直接出具书面意见或授权他人代表出具书面意见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三分之一以上（含三分之一）基金份额的持有人直接出具书面意见或授权他人代表出具书面意见。</w:t>
      </w:r>
    </w:p>
    <w:p w14:paraId="6BABFC27"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4）上述第（3）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p>
    <w:p w14:paraId="3FF56711"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3、在法律法规和监管机关允许的情况下，本基金的基金份额持有人亦可采用其他非书面方式授权其代理人出席基金份额持有人大会；在会议召开方式上，本基金亦可采用其他非现场方式或者以现场方式与非现场方式相结合的方式召开基金份额持有人大会，会议程序比照现场开会和通讯方式开会的程序进行。基金份额持有人亦可以采用书面、网络、电话、短信或其他方式进行表决，具体方式由会议召集人确定并在会议通知中列明。</w:t>
      </w:r>
    </w:p>
    <w:p w14:paraId="447FDD9A"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五、议事内容与程序</w:t>
      </w:r>
    </w:p>
    <w:p w14:paraId="78654265"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1、议事内容及提案权</w:t>
      </w:r>
    </w:p>
    <w:p w14:paraId="5FB11AA5"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285812D2"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基金份额持有人大会的召集人发出召集会议的通知后，对原有提案的修改应当在基金份额持有人大会召开前及时公告。</w:t>
      </w:r>
    </w:p>
    <w:p w14:paraId="55D6C4D3"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基金份额持有人大会不得对未事先公告的议事内容进行表决。</w:t>
      </w:r>
    </w:p>
    <w:p w14:paraId="2B49B7E2"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2、议事程序</w:t>
      </w:r>
    </w:p>
    <w:p w14:paraId="46201BCA"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（1）现场开会</w:t>
      </w:r>
    </w:p>
    <w:p w14:paraId="58D6E12F"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w:t>
      </w:r>
      <w:r>
        <w:rPr>
          <w:rFonts w:ascii="宋体" w:hAnsi="宋体" w:cs="宋体"/>
          <w:sz w:val="21"/>
          <w:szCs w:val="21"/>
        </w:rPr>
        <w:lastRenderedPageBreak/>
        <w:t>授权其出席会议的代表主持；如果基金管理人授权代表和基金托管人授权代表均未能主持大会，则由出席大会的基金份额持有人和代理人所持表决权的50%以上（含50%）选举产生一名基金份额持有人作为该次基金份额持有人大会的主持人。基金管理人和基金托管人拒不出席或主持基金份额持有人大会，不影响基金份额持有人大会作出的决议的效力。</w:t>
      </w:r>
    </w:p>
    <w:p w14:paraId="4689A8E2"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会议召集人应当制作出席会议人员的签名册。签名册载明参加会议人员姓名（或单位名称）、身份证明文件号码、持有或代表有表决权的基金份额、委托人姓名（或单位名称）和联系方式等事项。</w:t>
      </w:r>
    </w:p>
    <w:p w14:paraId="2A20B3A7"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（2）通讯开会</w:t>
      </w:r>
    </w:p>
    <w:p w14:paraId="4398E76F"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在通讯开会的情况下，首先由召集人提前30日公布提案，在所通知的表决截止日期后2个工作日内在公证机关监督下由召集人统计全部有效表决，在公证机关监督下形成决议。</w:t>
      </w:r>
    </w:p>
    <w:p w14:paraId="5BF35807"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六、表决</w:t>
      </w:r>
    </w:p>
    <w:p w14:paraId="2184E20E"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基金份额持有人所持每份基金份额有一票表决权。</w:t>
      </w:r>
    </w:p>
    <w:p w14:paraId="01E100F1"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基金份额持有人大会决议分为一般决议和特别决议：</w:t>
      </w:r>
    </w:p>
    <w:p w14:paraId="2FEDC677"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1、一般决议，一般决议须经参加大会的基金份额持有人或其代理人所持表决权的二分之一以上（含二分之一）通过方为有效；除下列第2项所规定的须以特别决议通过事项以外的其他事项均以一般决议的方式通过。</w:t>
      </w:r>
    </w:p>
    <w:p w14:paraId="4FE37D74"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2、特别决议，特别决议应当经参加大会的基金份额持有人或其代理人所持表决权的三分之二以上（含三分之二）通过方可做出。除法律法规另有规定或本基金合同另有约定的，转换基金运作方式、更换基金管理人或者基金托管人、终止《基金合同》、本基金与其他基金合并以特别决议通过方为有效。</w:t>
      </w:r>
    </w:p>
    <w:p w14:paraId="65509ACA"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基金份额持有人大会采取记名方式进行投票表决。</w:t>
      </w:r>
    </w:p>
    <w:p w14:paraId="604F1471"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14:paraId="54D023D1"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基金份额持有人大会的各项提案或同一项提案内并列的各项议题应当分开审议、逐项表决。</w:t>
      </w:r>
    </w:p>
    <w:p w14:paraId="4FFAF0ED"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七、计票</w:t>
      </w:r>
    </w:p>
    <w:p w14:paraId="68F9926E"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1、现场开会</w:t>
      </w:r>
    </w:p>
    <w:p w14:paraId="49737A19"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w:t>
      </w:r>
      <w:r>
        <w:rPr>
          <w:rFonts w:ascii="宋体" w:hAnsi="宋体" w:cs="宋体"/>
          <w:sz w:val="21"/>
          <w:szCs w:val="21"/>
        </w:rPr>
        <w:lastRenderedPageBreak/>
        <w:t>金份额持有人代表担任监票人。基金管理人或基金托管人不出席大会的，不影响计票的效力。</w:t>
      </w:r>
    </w:p>
    <w:p w14:paraId="6E1FFFC0"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（2）监票人应当在基金份额持有人表决后立即进行清点并由大会主持人当场公布计票结果。</w:t>
      </w:r>
    </w:p>
    <w:p w14:paraId="5CA34D74"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7FDF39C6"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（4）计票过程应由公证机关予以公证，基金管理人或基金托管人拒不出席大会的，不影响计票的效力。</w:t>
      </w:r>
    </w:p>
    <w:p w14:paraId="31B84A94"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2、通讯开会</w:t>
      </w:r>
    </w:p>
    <w:p w14:paraId="0611EE1B"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书面表决意见的计票进行监督的，不影响计票和表决结果。</w:t>
      </w:r>
    </w:p>
    <w:p w14:paraId="78E82938"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八、生效与公告</w:t>
      </w:r>
    </w:p>
    <w:p w14:paraId="7D823802"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基金份额持有人大会的决议，召集人应当自通过之日起5日内报中国证监会备案。</w:t>
      </w:r>
    </w:p>
    <w:p w14:paraId="07ABAFDF"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基金份额持有人大会的决议自表决通过之日起生效。</w:t>
      </w:r>
    </w:p>
    <w:p w14:paraId="6086BD53"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基金份额持有人大会决议自生效之日起2日内在规定媒介上公告。</w:t>
      </w:r>
    </w:p>
    <w:p w14:paraId="2C1A05A6"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基金管理人、基金托管人和基金份额持有人应当执行生效的基金份额持有人大会的决议。生效的基金份额持有人大会决议对全体基金份额持有人、基金管理人、基金托管人均有约束力。</w:t>
      </w:r>
    </w:p>
    <w:p w14:paraId="7D578BBD"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九、实施侧袋机制期间基金份额持有人大会的特殊约定</w:t>
      </w:r>
    </w:p>
    <w:p w14:paraId="2298DB15"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14:paraId="5D196D33"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1、基金份额持有人行使提议权、召集权、提名权所需单独或合计代表相关基金份额10%以上（含10%）；</w:t>
      </w:r>
    </w:p>
    <w:p w14:paraId="337F1CB0"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2、现场开会的到会者在权益登记日代表的基金份额不少于本基金在权益登记日相关基金份额的二分之一（含二分之一）；</w:t>
      </w:r>
    </w:p>
    <w:p w14:paraId="2E7C59A4"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3、通讯开会的直接出具书面意见或授权他人代表出具书面意见的基金份额持有人所持有的基金份额不小于在权益登记日相关基金份额的二分之一（含二分之一）；</w:t>
      </w:r>
    </w:p>
    <w:p w14:paraId="7387A9EA"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4、在参与基金份额持有人大会投票的基金份额持有人所持有的基金份额小于在权益登记日相关基金份额的二分之一、召集人在原公告的基金份额持有人大会召开时间的3个月</w:t>
      </w:r>
      <w:r>
        <w:rPr>
          <w:rFonts w:ascii="宋体" w:hAnsi="宋体" w:cs="宋体"/>
          <w:sz w:val="21"/>
          <w:szCs w:val="21"/>
        </w:rPr>
        <w:lastRenderedPageBreak/>
        <w:t>以后、6个月以内就原定审议事项重新召集的基金份额持有人大会应当有代表三分之一以上（含三分之一）相关基金份额的持有人参与或授权他人参与基金份额持有人大会投票；</w:t>
      </w:r>
    </w:p>
    <w:p w14:paraId="368E5ED5"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5、现场开会由出席大会的基金份额持有人和代理人所持表决权的50%以上（含50%）选举产生一名基金份额持有人作为该次基金份额持有人大会的主持人；</w:t>
      </w:r>
    </w:p>
    <w:p w14:paraId="0ED8EFB8"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6、一般决议须经参加大会的基金份额持有人或其代理人所持表决权的二分之一以上（含二分之一）通过；</w:t>
      </w:r>
    </w:p>
    <w:p w14:paraId="33710D42"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7、特别决议应当经参加大会的基金份额持有人或其代理人所持表决权的三分之二以上（含三分之二）通过。</w:t>
      </w:r>
    </w:p>
    <w:p w14:paraId="13166549"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同一主侧袋账户内的每份基金份额具有平等的表决权。</w:t>
      </w:r>
    </w:p>
    <w:p w14:paraId="5D385FDC"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十、本部分关于基金份额持有人大会召开事由、召开条件、议事程序、表决条件等规定，凡是直接引用法律法规或监管规则的部分，如将来法律法规或监管规则修改导致相关内容被取消或变更的，基金管理人按照《信息披露办法》的规定公告后，可直接对本部分内容进行修改和调整，无需召开基金份额持有人大会审议。</w:t>
      </w:r>
    </w:p>
    <w:p w14:paraId="56C2598E" w14:textId="77777777" w:rsidR="00567D74" w:rsidRDefault="00567D74">
      <w:pPr>
        <w:pStyle w:val="1"/>
        <w:keepLines/>
        <w:pageBreakBefore/>
        <w:widowControl w:val="0"/>
        <w:spacing w:before="210" w:after="0" w:line="360" w:lineRule="auto"/>
        <w:jc w:val="center"/>
        <w:rPr>
          <w:rFonts w:ascii="Times New Roman" w:eastAsia="Times New Roman" w:hAnsi="Times New Roman" w:cs="Times New Roman"/>
        </w:rPr>
      </w:pPr>
      <w:bookmarkStart w:id="10" w:name="_Toc256000008"/>
      <w:r>
        <w:rPr>
          <w:rFonts w:ascii="宋体" w:hAnsi="宋体" w:cs="宋体"/>
          <w:kern w:val="36"/>
          <w:sz w:val="24"/>
          <w:szCs w:val="24"/>
        </w:rPr>
        <w:lastRenderedPageBreak/>
        <w:t>第九部分 基金管理人、基金托管人的更换条件和程序</w:t>
      </w:r>
      <w:bookmarkEnd w:id="10"/>
    </w:p>
    <w:p w14:paraId="78F2863B" w14:textId="77777777" w:rsidR="00567D74" w:rsidRDefault="00567D74">
      <w:pPr>
        <w:widowControl w:val="0"/>
        <w:spacing w:line="360" w:lineRule="auto"/>
        <w:jc w:val="both"/>
        <w:rPr>
          <w:rFonts w:ascii="宋体" w:hAnsi="宋体" w:cs="宋体"/>
          <w:sz w:val="21"/>
          <w:szCs w:val="21"/>
        </w:rPr>
      </w:pPr>
    </w:p>
    <w:p w14:paraId="0B1489FC"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一、基金管理人和基金托管人职责终止的情形</w:t>
      </w:r>
    </w:p>
    <w:p w14:paraId="2DFE4876"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（一）基金管理人职责终止的情形</w:t>
      </w:r>
    </w:p>
    <w:p w14:paraId="0F2EAE63"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有下列情形之一的，基金管理人职责终止：</w:t>
      </w:r>
    </w:p>
    <w:p w14:paraId="0CE4C570"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1、被依法取消基金管理资格；</w:t>
      </w:r>
    </w:p>
    <w:p w14:paraId="3F771960"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2、被基金份额持有人大会解任；</w:t>
      </w:r>
    </w:p>
    <w:p w14:paraId="571560D9"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3、依法解散、被依法撤销或被依法宣告破产；</w:t>
      </w:r>
    </w:p>
    <w:p w14:paraId="6A315107"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4、法律法规及中国证监会规定的和《基金合同》约定的其他情形。</w:t>
      </w:r>
    </w:p>
    <w:p w14:paraId="00FE5E7A"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（二）基金托管人职责终止的情形</w:t>
      </w:r>
    </w:p>
    <w:p w14:paraId="397B1522"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有下列情形之一的，基金托管人职责终止：</w:t>
      </w:r>
    </w:p>
    <w:p w14:paraId="41E696A3"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1、被依法取消基金托管资格；</w:t>
      </w:r>
    </w:p>
    <w:p w14:paraId="462DD5FD"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2、被基金份额持有人大会解任；</w:t>
      </w:r>
    </w:p>
    <w:p w14:paraId="67771E87"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3、依法解散、被依法撤销或被依法宣告破产；</w:t>
      </w:r>
    </w:p>
    <w:p w14:paraId="5FDB1627"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4、法律法规及中国证监会规定的和《基金合同》约定的其他情形。</w:t>
      </w:r>
    </w:p>
    <w:p w14:paraId="72EDD2B2"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二、基金管理人和基金托管人的更换程序</w:t>
      </w:r>
    </w:p>
    <w:p w14:paraId="28B8F286"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（一）基金管理人的更换程序</w:t>
      </w:r>
    </w:p>
    <w:p w14:paraId="5A3CBBE5"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1、提名：新任基金管理人由基金托管人或由单独或合计持有10%以上（含10%）基金份额的基金份额持有人提名；</w:t>
      </w:r>
    </w:p>
    <w:p w14:paraId="67012963"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2、决议：基金份额持有人大会在基金管理人职责终止后6个月内对被提名的基金管理人形成决议，该决议需经参加大会的基金份额持有人所持表决权的三分之二以上（含三分之二）表决通过，决议自表决通过之日起生效；</w:t>
      </w:r>
    </w:p>
    <w:p w14:paraId="329DBC11"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3、临时基金管理人：新任基金管理人产生之前，由中国证监会指定临时基金管理人；</w:t>
      </w:r>
    </w:p>
    <w:p w14:paraId="6844B0BD"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4、备案：基金份额持有人大会更换基金管理人的决议须报中国证监会备案；</w:t>
      </w:r>
    </w:p>
    <w:p w14:paraId="2E3D3753"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5、公告：基金管理人更换后，由基金托管人在更换基金管理人的基金份额持有人大会决议生效后2日内在规定媒介公告；</w:t>
      </w:r>
    </w:p>
    <w:p w14:paraId="7D803DDF"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6、交接：基金管理人职责终止的，基金管理人应妥善保管基金管理业务资料，及时向临时基金管理人或新任基金管理人办理基金管理业务的移交手续，临时基金管理人或新任基金管理人应及时接收。临时基金管理人或新任基金管理人应与基金托管人核对基金资产总值和基金资产净值；</w:t>
      </w:r>
    </w:p>
    <w:p w14:paraId="3BD2823B"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7、审计：基金管理人职责终止的，应当按照法律法规规定聘请会计师事务所对基金财产进行审计，并将审计结果予以公告，同时报中国证监会备案，审计费用从基金财产中列支；</w:t>
      </w:r>
    </w:p>
    <w:p w14:paraId="15DAF2C5"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8、基金名称变更：基金管理人更换后，如果原任或新任基金管理人要求，应按其要求</w:t>
      </w:r>
      <w:r>
        <w:rPr>
          <w:rFonts w:ascii="宋体" w:hAnsi="宋体" w:cs="宋体"/>
          <w:sz w:val="21"/>
          <w:szCs w:val="21"/>
        </w:rPr>
        <w:lastRenderedPageBreak/>
        <w:t>替换或删除基金名称中与原</w:t>
      </w:r>
      <w:r w:rsidR="00FF7877">
        <w:rPr>
          <w:rFonts w:ascii="宋体" w:hAnsi="宋体" w:cs="宋体"/>
          <w:sz w:val="21"/>
          <w:szCs w:val="21"/>
        </w:rPr>
        <w:t>任</w:t>
      </w:r>
      <w:r>
        <w:rPr>
          <w:rFonts w:ascii="宋体" w:hAnsi="宋体" w:cs="宋体"/>
          <w:sz w:val="21"/>
          <w:szCs w:val="21"/>
        </w:rPr>
        <w:t>基金管理人有关的名称字样。</w:t>
      </w:r>
    </w:p>
    <w:p w14:paraId="0BA0212C"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（二）基金托管人的更换程序</w:t>
      </w:r>
    </w:p>
    <w:p w14:paraId="192551E7"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1、提名：新任基金托管人由基金管理人或由单独或合计持有10%以上（含10%）基金份额的基金份额持有人提名；</w:t>
      </w:r>
    </w:p>
    <w:p w14:paraId="47C3D83E"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2、决议：基金份额持有人大会在基金托管人职责终止后6个月内对被提名的基金托管人形成决议，该决议需经参加大会的基金份额持有人所持表决权的三分之二以上（含三分之二）表决通过，决议自表决通过之日起生效；</w:t>
      </w:r>
    </w:p>
    <w:p w14:paraId="3F4BADBF"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3、临时基金托管人：新任基金托管人产生之前，由中国证监会指定临时基金托管人；</w:t>
      </w:r>
    </w:p>
    <w:p w14:paraId="55554F74"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4、备案：基金份额持有人大会更换基金托管人的决议须报中国证监会备案；</w:t>
      </w:r>
    </w:p>
    <w:p w14:paraId="44D5F187"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5、公告：基金托管人更换后，由基金管理人在更换基金托管人的基金份额持有人大会决议生效后2日内在规定媒介公告；</w:t>
      </w:r>
    </w:p>
    <w:p w14:paraId="5E9FA075"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6、交接：基金托管人职责终止的，应当妥善保管基金财产和基金托管业务资料，及时办理基金财产和基金托管业务的移交手续，临时基金托管人或者新任基金托管人应当及时接收。临时基金托管人或者新任基金托管人与基金管理人核对基金资产总值和基金资产净值；</w:t>
      </w:r>
    </w:p>
    <w:p w14:paraId="2CDB8F3B"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7、审计：基金托管人职责终止的，应当按照法律法规规定聘请会计师事务所对基金财产进行审计，并将审计结果予以公告，同时报中国证监会备案，审计费用从基金财产中列支。</w:t>
      </w:r>
    </w:p>
    <w:p w14:paraId="7E12A565"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（三）基金管理人与基金托管人同时更换的条件和程序</w:t>
      </w:r>
    </w:p>
    <w:p w14:paraId="2C60012A"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1、提名：如果基金管理人和基金托管人同时更换，由单独或合计持有基金总份额10%以上（含10%）的基金份额持有人提名新的基金管理人和基金托管人；</w:t>
      </w:r>
    </w:p>
    <w:p w14:paraId="7A196A44"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2、基金管理人和基金托管人的更换分别按上述程序进行；</w:t>
      </w:r>
    </w:p>
    <w:p w14:paraId="3C0EB3E1"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3、公告：新任基金管理人和新任基金托管人应在更换基金管理人和基金托管人的基金份额持有人大会决议生效后2日内在规定媒介上联合公告。</w:t>
      </w:r>
    </w:p>
    <w:p w14:paraId="1B179E46"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三、临时基金管理人或新任基金管理人接收基金管理业务或临时基金托管人或新任基金托管人接收基金财产和基金托管业务前，原</w:t>
      </w:r>
      <w:r w:rsidR="00570778">
        <w:rPr>
          <w:rFonts w:ascii="宋体" w:hAnsi="宋体" w:cs="宋体"/>
          <w:sz w:val="21"/>
          <w:szCs w:val="21"/>
        </w:rPr>
        <w:t>任</w:t>
      </w:r>
      <w:r>
        <w:rPr>
          <w:rFonts w:ascii="宋体" w:hAnsi="宋体" w:cs="宋体"/>
          <w:sz w:val="21"/>
          <w:szCs w:val="21"/>
        </w:rPr>
        <w:t>基金管理人或原</w:t>
      </w:r>
      <w:r w:rsidR="00570778">
        <w:rPr>
          <w:rFonts w:ascii="宋体" w:hAnsi="宋体" w:cs="宋体"/>
          <w:sz w:val="21"/>
          <w:szCs w:val="21"/>
        </w:rPr>
        <w:t>任</w:t>
      </w:r>
      <w:r>
        <w:rPr>
          <w:rFonts w:ascii="宋体" w:hAnsi="宋体" w:cs="宋体"/>
          <w:sz w:val="21"/>
          <w:szCs w:val="21"/>
        </w:rPr>
        <w:t>基金托管人应依据法律法规和《基金合同》的规定继续履行相关职责，并保证不对基金份额持有人的利益造成损害。原</w:t>
      </w:r>
      <w:r w:rsidR="00570778">
        <w:rPr>
          <w:rFonts w:ascii="宋体" w:hAnsi="宋体" w:cs="宋体"/>
          <w:sz w:val="21"/>
          <w:szCs w:val="21"/>
        </w:rPr>
        <w:t>任</w:t>
      </w:r>
      <w:r>
        <w:rPr>
          <w:rFonts w:ascii="宋体" w:hAnsi="宋体" w:cs="宋体"/>
          <w:sz w:val="21"/>
          <w:szCs w:val="21"/>
        </w:rPr>
        <w:t>基金管理人或原</w:t>
      </w:r>
      <w:r w:rsidR="00570778">
        <w:rPr>
          <w:rFonts w:ascii="宋体" w:hAnsi="宋体" w:cs="宋体"/>
          <w:sz w:val="21"/>
          <w:szCs w:val="21"/>
        </w:rPr>
        <w:t>任</w:t>
      </w:r>
      <w:r>
        <w:rPr>
          <w:rFonts w:ascii="宋体" w:hAnsi="宋体" w:cs="宋体"/>
          <w:sz w:val="21"/>
          <w:szCs w:val="21"/>
        </w:rPr>
        <w:t>基金托管人在继续履行相关职责期间，仍有权按照《基金合同》的规定收取基金管理费或基金托管费。</w:t>
      </w:r>
    </w:p>
    <w:p w14:paraId="741FAD9B"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四、本部分关于基金管理人、基金托管人更换条件和程序的约定，凡是直接引用法律法规或监管规则的部分，如法律法规或监管规则修改导致相关内容被取消或变更的，基金管理人与基金托管人协商一致并公告后，可直接对相应内容进行修改和调整，无需召开基金份额持有人大会审议。</w:t>
      </w:r>
    </w:p>
    <w:p w14:paraId="7E540CC4" w14:textId="77777777" w:rsidR="00567D74" w:rsidRDefault="00567D74">
      <w:pPr>
        <w:pStyle w:val="1"/>
        <w:keepLines/>
        <w:pageBreakBefore/>
        <w:widowControl w:val="0"/>
        <w:spacing w:before="0" w:after="0" w:line="360" w:lineRule="auto"/>
        <w:jc w:val="center"/>
        <w:rPr>
          <w:rFonts w:ascii="Times New Roman" w:eastAsia="Times New Roman" w:hAnsi="Times New Roman" w:cs="Times New Roman"/>
        </w:rPr>
      </w:pPr>
      <w:bookmarkStart w:id="11" w:name="_Toc256000009"/>
      <w:r>
        <w:rPr>
          <w:rFonts w:ascii="宋体" w:hAnsi="宋体" w:cs="宋体"/>
          <w:kern w:val="36"/>
          <w:sz w:val="24"/>
          <w:szCs w:val="24"/>
        </w:rPr>
        <w:lastRenderedPageBreak/>
        <w:t>第十部分 基金的托管</w:t>
      </w:r>
      <w:bookmarkEnd w:id="11"/>
    </w:p>
    <w:p w14:paraId="797AA5F9" w14:textId="77777777" w:rsidR="00567D74" w:rsidRDefault="00567D74">
      <w:pPr>
        <w:widowControl w:val="0"/>
        <w:spacing w:line="360" w:lineRule="auto"/>
        <w:jc w:val="both"/>
        <w:rPr>
          <w:rFonts w:ascii="宋体" w:hAnsi="宋体" w:cs="宋体"/>
          <w:sz w:val="21"/>
          <w:szCs w:val="21"/>
        </w:rPr>
      </w:pPr>
    </w:p>
    <w:p w14:paraId="713E3B83"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基金托管人和基金管理人按照《基金法》、《基金合同》及其他有关规定订立托管协议。</w:t>
      </w:r>
    </w:p>
    <w:p w14:paraId="7B7E0CBE"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2DBBD47A" w14:textId="77777777" w:rsidR="00567D74" w:rsidRDefault="00567D74">
      <w:pPr>
        <w:pStyle w:val="1"/>
        <w:keepLines/>
        <w:pageBreakBefore/>
        <w:widowControl w:val="0"/>
        <w:spacing w:before="0" w:after="0" w:line="360" w:lineRule="auto"/>
        <w:jc w:val="center"/>
        <w:rPr>
          <w:rFonts w:ascii="Times New Roman" w:eastAsia="Times New Roman" w:hAnsi="Times New Roman" w:cs="Times New Roman"/>
        </w:rPr>
      </w:pPr>
      <w:bookmarkStart w:id="12" w:name="_Toc256000010"/>
      <w:r>
        <w:rPr>
          <w:rFonts w:ascii="宋体" w:hAnsi="宋体" w:cs="宋体"/>
          <w:kern w:val="36"/>
          <w:sz w:val="24"/>
          <w:szCs w:val="24"/>
        </w:rPr>
        <w:lastRenderedPageBreak/>
        <w:t>第十一部分 基金份额的登记</w:t>
      </w:r>
      <w:bookmarkEnd w:id="12"/>
    </w:p>
    <w:p w14:paraId="19D3251D" w14:textId="77777777" w:rsidR="00567D74" w:rsidRDefault="00567D74">
      <w:pPr>
        <w:widowControl w:val="0"/>
        <w:spacing w:line="360" w:lineRule="auto"/>
        <w:jc w:val="both"/>
        <w:rPr>
          <w:rFonts w:ascii="宋体" w:hAnsi="宋体" w:cs="宋体"/>
          <w:sz w:val="21"/>
          <w:szCs w:val="21"/>
        </w:rPr>
      </w:pPr>
    </w:p>
    <w:p w14:paraId="54438660"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一、基金份额的登记业务</w:t>
      </w:r>
    </w:p>
    <w:p w14:paraId="3D86FD99"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本基金的登记业务指本基金登记、存管、过户、清算和结算业务，具体内容包括投资人基金账户的建立和管理、基金份额登记、基金销售业务的确认、清算和结算、代理发放红利、建立并保管基金份额持有人名册和办理非交易过户等。</w:t>
      </w:r>
    </w:p>
    <w:p w14:paraId="7EBB9F8F"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二、基金登记业务办理机构</w:t>
      </w:r>
    </w:p>
    <w:p w14:paraId="7EE52E00"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14:paraId="3922BC59"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三、基金登记机构的权利</w:t>
      </w:r>
    </w:p>
    <w:p w14:paraId="04A07009"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基金登记机构享有以下权利：</w:t>
      </w:r>
    </w:p>
    <w:p w14:paraId="19F6CA9C"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1、取得登记费；</w:t>
      </w:r>
    </w:p>
    <w:p w14:paraId="2BC78523"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2、建立和管理投资者基金账户；</w:t>
      </w:r>
    </w:p>
    <w:p w14:paraId="204B479D"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3、保管基金份额持有人开户资料、交易资料、基金份额持有人名册等；</w:t>
      </w:r>
    </w:p>
    <w:p w14:paraId="030718D9"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4、在法律法规允许的范围内，对登记业务的办理时间进行调整，并依照有关规定于开始实施前在规定媒介上公告；</w:t>
      </w:r>
    </w:p>
    <w:p w14:paraId="4250E2E5"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5、法律法规及中国证监会规定的和《基金合同》约定的其他权利。</w:t>
      </w:r>
    </w:p>
    <w:p w14:paraId="341D4F86"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四、基金登记机构的义务</w:t>
      </w:r>
    </w:p>
    <w:p w14:paraId="63809A79"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基金登记机构承担以下义务：</w:t>
      </w:r>
    </w:p>
    <w:p w14:paraId="57B30925"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1、配备足够的专业人员办理本基金基金份额的登记业务；</w:t>
      </w:r>
    </w:p>
    <w:p w14:paraId="0A72AD95"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2、严格按照法律法规和《基金合同》规定的条件办理本基金基金份额的登记业务；</w:t>
      </w:r>
    </w:p>
    <w:p w14:paraId="6C79D823"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3、妥善保存登记数据，并将基金份额持有人名称、身份信息及基金份额明细等数据备份至中国证监会认定的机构。其保存期限自基金账户销户之日起不得少于20年；</w:t>
      </w:r>
    </w:p>
    <w:p w14:paraId="19659A99"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4、对基金份额持有人的基金账户信息负有保密义务，因违反该保密义务对投资者或基金带来的损失，须承担相应的赔偿责任，但司法强制检查情形及法律法规及中国证监会规定的和《基金合同》约定的其他情形除外；</w:t>
      </w:r>
    </w:p>
    <w:p w14:paraId="69E89800"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5、按《基金合同》及招募说明书规定为投资者办理非交易过户业务、提供其他必要的服务；</w:t>
      </w:r>
    </w:p>
    <w:p w14:paraId="1B1C2F97"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6、接受基金管理人的监督；</w:t>
      </w:r>
    </w:p>
    <w:p w14:paraId="235A6370"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7、法律法规及中国证监会规定的和《基金合同》约定的其他义务。</w:t>
      </w:r>
    </w:p>
    <w:p w14:paraId="5DA58046" w14:textId="77777777" w:rsidR="00567D74" w:rsidRDefault="00567D74">
      <w:pPr>
        <w:pStyle w:val="1"/>
        <w:keepLines/>
        <w:pageBreakBefore/>
        <w:widowControl w:val="0"/>
        <w:spacing w:before="0" w:after="0" w:line="360" w:lineRule="auto"/>
        <w:jc w:val="center"/>
        <w:rPr>
          <w:rFonts w:ascii="Times New Roman" w:eastAsia="Times New Roman" w:hAnsi="Times New Roman" w:cs="Times New Roman"/>
        </w:rPr>
      </w:pPr>
      <w:bookmarkStart w:id="13" w:name="_Toc256000011"/>
      <w:r>
        <w:rPr>
          <w:rFonts w:ascii="宋体" w:hAnsi="宋体" w:cs="宋体"/>
          <w:kern w:val="36"/>
          <w:sz w:val="24"/>
          <w:szCs w:val="24"/>
        </w:rPr>
        <w:lastRenderedPageBreak/>
        <w:t>第十二部分 基金的投资</w:t>
      </w:r>
      <w:bookmarkEnd w:id="13"/>
    </w:p>
    <w:p w14:paraId="3136ED4D" w14:textId="77777777" w:rsidR="00567D74" w:rsidRDefault="00567D74">
      <w:pPr>
        <w:widowControl w:val="0"/>
        <w:spacing w:line="360" w:lineRule="auto"/>
        <w:jc w:val="both"/>
        <w:rPr>
          <w:rFonts w:ascii="宋体" w:hAnsi="宋体" w:cs="宋体"/>
          <w:sz w:val="21"/>
          <w:szCs w:val="21"/>
        </w:rPr>
      </w:pPr>
    </w:p>
    <w:p w14:paraId="233A5DB8"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一、投资目标</w:t>
      </w:r>
    </w:p>
    <w:p w14:paraId="112A1EE8" w14:textId="550DE5F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本基金主要投资</w:t>
      </w:r>
      <w:r w:rsidR="00B92AE0" w:rsidRPr="00B92AE0">
        <w:rPr>
          <w:rFonts w:ascii="宋体" w:hAnsi="宋体" w:cs="宋体" w:hint="eastAsia"/>
          <w:sz w:val="21"/>
          <w:szCs w:val="21"/>
        </w:rPr>
        <w:t>创新医药</w:t>
      </w:r>
      <w:r>
        <w:rPr>
          <w:rFonts w:ascii="宋体" w:hAnsi="宋体" w:cs="宋体"/>
          <w:sz w:val="21"/>
          <w:szCs w:val="21"/>
        </w:rPr>
        <w:t>相关的上市公司股票，采用积极主动的投资策略，在有效控制投资组合风险的前提下，力争获取超越业绩比较基准的投资回报，实现基金资产的长期稳健增值。</w:t>
      </w:r>
    </w:p>
    <w:p w14:paraId="17F07390"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二、投资范围</w:t>
      </w:r>
    </w:p>
    <w:p w14:paraId="7E8E2783"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本基金的投资范围为具有良好流动性的金融工具，包括境内依法发行或上市交易的股票（包含主板、创业板及其他中国证监会允许基金投资的股票）、存托凭证、港股通标的股票、债券（含国债、金融债、企业债、公司债、央行票据、政府支持机构债、地方政府债、中期票据、短期融资券、超短期融资券、次级债、可转换债券、可交换债券及其他中国证监会允许基金投资的债券）、债券回购、银行存款（包括协议存款、定期存款等）、货币市场工具、同业存单、资产支持证券、股指期货以及法律法规或中国证监会允许基金投资的其他金融工具（但须符合中国证监会相关规定）。</w:t>
      </w:r>
    </w:p>
    <w:p w14:paraId="2E8EC261"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本基金可根据相关法律法规和基金合同的约定，参与融资业务。</w:t>
      </w:r>
    </w:p>
    <w:p w14:paraId="35C3CB65"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如法律法规或监管机构以后允许基金投资其他品种，基金管理人在履行适当程序后，可以将其纳入投资范围。</w:t>
      </w:r>
    </w:p>
    <w:p w14:paraId="335EB876" w14:textId="5DFFFBBE"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基金的投资组合比例为：股票资产及存托凭证占基金资产的比例为60%-95%（其中，投资于港股通标的股票占股票资产的比例不超过50%），其中投资本基金界定的</w:t>
      </w:r>
      <w:r w:rsidR="00B92AE0" w:rsidRPr="00B92AE0">
        <w:rPr>
          <w:rFonts w:ascii="宋体" w:hAnsi="宋体" w:cs="宋体" w:hint="eastAsia"/>
          <w:sz w:val="21"/>
          <w:szCs w:val="21"/>
        </w:rPr>
        <w:t>创新医药</w:t>
      </w:r>
      <w:r>
        <w:rPr>
          <w:rFonts w:ascii="宋体" w:hAnsi="宋体" w:cs="宋体"/>
          <w:sz w:val="21"/>
          <w:szCs w:val="21"/>
        </w:rPr>
        <w:t>主题相关的</w:t>
      </w:r>
      <w:r w:rsidR="00265D22">
        <w:rPr>
          <w:rFonts w:ascii="宋体" w:hAnsi="宋体" w:cs="宋体"/>
          <w:sz w:val="21"/>
          <w:szCs w:val="21"/>
        </w:rPr>
        <w:t>股票</w:t>
      </w:r>
      <w:r>
        <w:rPr>
          <w:rFonts w:ascii="宋体" w:hAnsi="宋体" w:cs="宋体"/>
          <w:sz w:val="21"/>
          <w:szCs w:val="21"/>
        </w:rPr>
        <w:t>占非现金基金资产的比例不低于80%；每个交易日日终在扣除股指期货合约需缴纳的交易保证金后，基金保留的现金以及投资于到期日在一年以内的政府债券的比例合计不低于基金资产净值的5%，其中现金不包括结算备付金、存出保证金、应收申购款等。</w:t>
      </w:r>
    </w:p>
    <w:p w14:paraId="53D74761"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如果法律法规对该比例要求有变更的，本基金在履行适当程序后以变更后的比例为准，本基金的投资比例会做相应调整。</w:t>
      </w:r>
    </w:p>
    <w:p w14:paraId="04DA3D24"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三、投资策略</w:t>
      </w:r>
    </w:p>
    <w:p w14:paraId="43684CF1"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1、资产配置策略</w:t>
      </w:r>
    </w:p>
    <w:p w14:paraId="135CA29A"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本基金将密切关注宏观经济走势，深入分析货币和财政政策、国家产业政策以及资本市场资金环境、证券市场走势等，综合考量各类资产的市场容量、市场流动性和风险收益特征等因素，在固定收益类资产和权益类资产等资产类别之间进行动态配置，确定资产的最优配置比例。</w:t>
      </w:r>
    </w:p>
    <w:p w14:paraId="63D6BABF"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2、股票投资策略</w:t>
      </w:r>
    </w:p>
    <w:p w14:paraId="3FC71232" w14:textId="328C1EC6"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本基金将深度挖掘</w:t>
      </w:r>
      <w:r w:rsidR="00B92AE0" w:rsidRPr="00B92AE0">
        <w:rPr>
          <w:rFonts w:ascii="宋体" w:hAnsi="宋体" w:cs="宋体" w:hint="eastAsia"/>
          <w:sz w:val="21"/>
          <w:szCs w:val="21"/>
        </w:rPr>
        <w:t>创新医药</w:t>
      </w:r>
      <w:r>
        <w:rPr>
          <w:rFonts w:ascii="宋体" w:hAnsi="宋体" w:cs="宋体"/>
          <w:sz w:val="21"/>
          <w:szCs w:val="21"/>
        </w:rPr>
        <w:t>主题股票的投资机会，通过自上而下及自下而上相结合的方法挖掘优质的公司，构建股票投资组合。</w:t>
      </w:r>
    </w:p>
    <w:p w14:paraId="5311D5B7" w14:textId="44856985"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lastRenderedPageBreak/>
        <w:t>（1）</w:t>
      </w:r>
      <w:r w:rsidR="00B92AE0" w:rsidRPr="00B92AE0">
        <w:rPr>
          <w:rFonts w:ascii="宋体" w:hAnsi="宋体" w:cs="宋体" w:hint="eastAsia"/>
          <w:sz w:val="21"/>
          <w:szCs w:val="21"/>
        </w:rPr>
        <w:t>创新医药</w:t>
      </w:r>
      <w:r>
        <w:rPr>
          <w:rFonts w:ascii="宋体" w:hAnsi="宋体" w:cs="宋体"/>
          <w:sz w:val="21"/>
          <w:szCs w:val="21"/>
        </w:rPr>
        <w:t>主题界定与行业选择</w:t>
      </w:r>
    </w:p>
    <w:p w14:paraId="201444D0" w14:textId="4D2DFA1E" w:rsidR="004F126F" w:rsidRPr="004F126F" w:rsidRDefault="00567D74" w:rsidP="004F126F">
      <w:pPr>
        <w:widowControl w:val="0"/>
        <w:spacing w:line="360" w:lineRule="auto"/>
        <w:ind w:firstLine="420"/>
        <w:jc w:val="both"/>
        <w:rPr>
          <w:rFonts w:ascii="宋体" w:hAnsi="宋体" w:cs="宋体"/>
          <w:sz w:val="21"/>
          <w:szCs w:val="21"/>
        </w:rPr>
      </w:pPr>
      <w:r>
        <w:rPr>
          <w:rFonts w:ascii="宋体" w:hAnsi="宋体" w:cs="宋体"/>
          <w:sz w:val="21"/>
          <w:szCs w:val="21"/>
        </w:rPr>
        <w:t>本基金所指的</w:t>
      </w:r>
      <w:r w:rsidR="00B92AE0" w:rsidRPr="00B92AE0">
        <w:rPr>
          <w:rFonts w:ascii="宋体" w:hAnsi="宋体" w:cs="宋体" w:hint="eastAsia"/>
          <w:sz w:val="21"/>
          <w:szCs w:val="21"/>
        </w:rPr>
        <w:t>创新医药</w:t>
      </w:r>
      <w:r>
        <w:rPr>
          <w:rFonts w:ascii="宋体" w:hAnsi="宋体" w:cs="宋体"/>
          <w:sz w:val="21"/>
          <w:szCs w:val="21"/>
        </w:rPr>
        <w:t>主题是，在中国经济科技不断发展、人口总量增长、人口老龄化加剧的背景下，研发、生产、销售医药相关产品或服务的行业，具体包括</w:t>
      </w:r>
      <w:r w:rsidR="004F126F" w:rsidRPr="004F126F">
        <w:rPr>
          <w:rFonts w:ascii="宋体" w:hAnsi="宋体" w:cs="宋体" w:hint="eastAsia"/>
          <w:sz w:val="21"/>
          <w:szCs w:val="21"/>
        </w:rPr>
        <w:t>创新药、创新医疗器械、创新医疗技术、创新医疗服务：</w:t>
      </w:r>
    </w:p>
    <w:p w14:paraId="44A099B5" w14:textId="77777777" w:rsidR="004F126F" w:rsidRPr="004F126F" w:rsidRDefault="004F126F" w:rsidP="004F126F">
      <w:pPr>
        <w:widowControl w:val="0"/>
        <w:spacing w:line="360" w:lineRule="auto"/>
        <w:ind w:firstLine="420"/>
        <w:jc w:val="both"/>
        <w:rPr>
          <w:rFonts w:ascii="宋体" w:hAnsi="宋体" w:cs="宋体"/>
          <w:sz w:val="21"/>
          <w:szCs w:val="21"/>
        </w:rPr>
      </w:pPr>
      <w:r w:rsidRPr="004F126F">
        <w:rPr>
          <w:rFonts w:ascii="宋体" w:hAnsi="宋体" w:cs="宋体" w:hint="eastAsia"/>
          <w:sz w:val="21"/>
          <w:szCs w:val="21"/>
        </w:rPr>
        <w:t>1）创新药：根据国家市场监督管理总局《药品注册管理办法》，创新药包括化学药创新药、生物制品创新药及中药创新药。化学药创新药是指含有新的结构明确的、具有药理作用且具有临床价值的化合物；生物制品创新药包括创新型疫苗等预防用生物制品、创新型治疗用生物制品以及按生物制品管理的体外诊断试剂；中药创新药指处方未在国家药品标准、药品注册标准及国家中医药主管部门发布的《古代经典名方目录》中收载，具有临床价值，且未在境外上市的中药新处方制剂。</w:t>
      </w:r>
    </w:p>
    <w:p w14:paraId="60358CCB" w14:textId="77777777" w:rsidR="004F126F" w:rsidRPr="004F126F" w:rsidRDefault="004F126F" w:rsidP="004F126F">
      <w:pPr>
        <w:widowControl w:val="0"/>
        <w:spacing w:line="360" w:lineRule="auto"/>
        <w:ind w:firstLine="420"/>
        <w:jc w:val="both"/>
        <w:rPr>
          <w:rFonts w:ascii="宋体" w:hAnsi="宋体" w:cs="宋体"/>
          <w:sz w:val="21"/>
          <w:szCs w:val="21"/>
        </w:rPr>
      </w:pPr>
      <w:r w:rsidRPr="004F126F">
        <w:rPr>
          <w:rFonts w:ascii="宋体" w:hAnsi="宋体" w:cs="宋体" w:hint="eastAsia"/>
          <w:sz w:val="21"/>
          <w:szCs w:val="21"/>
        </w:rPr>
        <w:t>2）创新医疗器械：按照国家药品监督管理局创新医疗器械特别审查程序进行审查的医疗器械，指制造工艺、技术水平以及科技含量较高的高端医疗器械，涵盖CT、核磁、超声、放疗为代表的大型设备，以手术机器人、诊断仪器为代表的中型设备，以及以植入式装置、内窥镜、骨科材料、可穿戴设备为代表的小型器械。</w:t>
      </w:r>
    </w:p>
    <w:p w14:paraId="01673200" w14:textId="77777777" w:rsidR="004F126F" w:rsidRPr="004F126F" w:rsidRDefault="004F126F" w:rsidP="004F126F">
      <w:pPr>
        <w:widowControl w:val="0"/>
        <w:spacing w:line="360" w:lineRule="auto"/>
        <w:ind w:firstLine="420"/>
        <w:jc w:val="both"/>
        <w:rPr>
          <w:rFonts w:ascii="宋体" w:hAnsi="宋体" w:cs="宋体"/>
          <w:sz w:val="21"/>
          <w:szCs w:val="21"/>
        </w:rPr>
      </w:pPr>
      <w:r w:rsidRPr="004F126F">
        <w:rPr>
          <w:rFonts w:ascii="宋体" w:hAnsi="宋体" w:cs="宋体" w:hint="eastAsia"/>
          <w:sz w:val="21"/>
          <w:szCs w:val="21"/>
        </w:rPr>
        <w:t>3）创新医疗技术：指新型诊疗技术，涵盖免疫诊断、干细胞诊疗、精准医疗。</w:t>
      </w:r>
    </w:p>
    <w:p w14:paraId="6E40A73E" w14:textId="1567D85E" w:rsidR="00567D74" w:rsidRDefault="004F126F">
      <w:pPr>
        <w:widowControl w:val="0"/>
        <w:spacing w:line="360" w:lineRule="auto"/>
        <w:ind w:firstLine="420"/>
        <w:jc w:val="both"/>
        <w:rPr>
          <w:rFonts w:ascii="宋体" w:hAnsi="宋体" w:cs="宋体"/>
          <w:sz w:val="21"/>
          <w:szCs w:val="21"/>
        </w:rPr>
      </w:pPr>
      <w:r w:rsidRPr="004F126F">
        <w:rPr>
          <w:rFonts w:ascii="宋体" w:hAnsi="宋体" w:cs="宋体" w:hint="eastAsia"/>
          <w:sz w:val="21"/>
          <w:szCs w:val="21"/>
        </w:rPr>
        <w:t>4）创新医疗服务：指新型医疗服务，涵盖创新药研发服务、高端医疗服务</w:t>
      </w:r>
      <w:r w:rsidR="00567D74">
        <w:rPr>
          <w:rFonts w:ascii="宋体" w:hAnsi="宋体" w:cs="宋体"/>
          <w:sz w:val="21"/>
          <w:szCs w:val="21"/>
        </w:rPr>
        <w:t>、医疗信息化、移动医疗、医药电商。</w:t>
      </w:r>
    </w:p>
    <w:p w14:paraId="415CE697" w14:textId="4BE4509C"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未来，随着经济增长方式转变、科学技术进步、产业结构升级及市场需求变化，</w:t>
      </w:r>
      <w:r w:rsidR="00B92AE0" w:rsidRPr="00B92AE0">
        <w:rPr>
          <w:rFonts w:ascii="宋体" w:hAnsi="宋体" w:cs="宋体" w:hint="eastAsia"/>
          <w:sz w:val="21"/>
          <w:szCs w:val="21"/>
        </w:rPr>
        <w:t>创新医药</w:t>
      </w:r>
      <w:r>
        <w:rPr>
          <w:rFonts w:ascii="宋体" w:hAnsi="宋体" w:cs="宋体"/>
          <w:sz w:val="21"/>
          <w:szCs w:val="21"/>
        </w:rPr>
        <w:t>主题涉及的行业可能相应改变，届时基金管理人可动态调整上述行业范围并在更新的招募说明书中公告。</w:t>
      </w:r>
    </w:p>
    <w:p w14:paraId="24070C71"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（2）自上而下的行业遴选</w:t>
      </w:r>
    </w:p>
    <w:p w14:paraId="3D751FDF"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本基金将在考虑当前经济形势和资本市场特征的基础上，结合行业生命周期、宏观经济周期不同阶段的行业景气程度以及股票市场行业轮动规律的基础上，自上而下地进行行业遴选，重点关注行业增长前景、行业利润前景和行业成功要素。对行业增长前景，主要分析行业的外部发展环境、行业的生命周期以及行业波动与经济周期的关系等；对行业利润前景，主要分析行业结构，特别是业内竞争的方式、业内竞争的激烈程度、以及业内厂商的谈判能力等。基于对行业结构的分析形成对业内竞争的关键成功要素的判断，为预测企业经营环境的变化建立起扎实的基础。同时，本基金将根据宏观经济及证券市场环境的变化，及时对行业配置进行动态调整。</w:t>
      </w:r>
    </w:p>
    <w:p w14:paraId="5154792A"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（3）自下而上的个股选择</w:t>
      </w:r>
    </w:p>
    <w:p w14:paraId="30B92137"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本基金通过定性和定量相结合的方法进行自下而上的个股选择，对企业成长性及基本面进行综合的研判，精选优质个股。</w:t>
      </w:r>
    </w:p>
    <w:p w14:paraId="493C1678"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1）定性分析</w:t>
      </w:r>
    </w:p>
    <w:p w14:paraId="2136CB1E"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本基金通过以下两方面标准对股票的成长性及基本面进行研究分析并筛选出优质的公</w:t>
      </w:r>
      <w:r>
        <w:rPr>
          <w:rFonts w:ascii="宋体" w:hAnsi="宋体" w:cs="宋体"/>
          <w:sz w:val="21"/>
          <w:szCs w:val="21"/>
        </w:rPr>
        <w:lastRenderedPageBreak/>
        <w:t>司：</w:t>
      </w:r>
    </w:p>
    <w:p w14:paraId="4E1B095A"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一方面是竞争力分析，通过对公司竞争策略和核心竞争力的分析，选择具有可持续竞争优势的公司或未来具有广阔成长空间的公司。就公司竞争策略，基于行业分析的结果判断策略的有效性、策略的实施支持和策略的执行成果；就核心竞争力，分析公司的现有核心竞争力，并判断公司能否利用现有的资源、能力和定位取得可持续竞争优势。</w:t>
      </w:r>
    </w:p>
    <w:p w14:paraId="7E429829"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另一方面是管理层分析，通过着重考察公司的管理层以及管理制度，选择具有良好治理结构、管理水平较高的优质公司。</w:t>
      </w:r>
    </w:p>
    <w:p w14:paraId="5BD44E42"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2）定量分析</w:t>
      </w:r>
    </w:p>
    <w:p w14:paraId="7ACB336F"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A、估值水平合理。本基金考察企业贴现现金流以及内在价值贴现，结合市盈率（市值/净利润）、市净率（市值/净资产）、市销率（市值/营业收入）等指标衡量股价是否处于合理的估值区间，并且基于公司所属的不同行业，采取不同的估值方法，以此寻找不同行业股票的合理价格区间，并进行动态调整。</w:t>
      </w:r>
    </w:p>
    <w:p w14:paraId="60811405"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B、成长性较高。本基金采用年复合营业收入增长率、盈利增长率、息税前利润增长率、净资产收益率以及现金流量增长率等指标综合考察上市公司的成长性。一般来说，如果上述指标能够持续保持同步增长，且不低于行业平均水平，则基本可以认为这个企业具有良好的成长性。</w:t>
      </w:r>
    </w:p>
    <w:p w14:paraId="52E9F6D5"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C、盈利能力较强。本基金重点考察主营业务收入、ROE、经营现金流、盈利波动程度四大关键指标，关注具备领先优势、盈利质量较高、盈利能力较强的上市公司。</w:t>
      </w:r>
    </w:p>
    <w:p w14:paraId="74AF1C3F"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（4）港股通标的股票投资策略</w:t>
      </w:r>
    </w:p>
    <w:p w14:paraId="7CDB990A"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本基金所投资港股通标的股票除适用上述个股投资策略外，还需关注：</w:t>
      </w:r>
    </w:p>
    <w:p w14:paraId="0F8B1417"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1）在港股市场上市、具有行业代表性的优质中资公司；</w:t>
      </w:r>
    </w:p>
    <w:p w14:paraId="658E68C8"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2）具有行业稀缺性的香港本地和外资公司；</w:t>
      </w:r>
    </w:p>
    <w:p w14:paraId="2356A3DD"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3）港股市场在行业结构、估值、AH股折溢价、分红率等方面具有吸引力的投资标的。</w:t>
      </w:r>
    </w:p>
    <w:p w14:paraId="4DD91BA4"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3、存托凭证投资策略</w:t>
      </w:r>
    </w:p>
    <w:p w14:paraId="1D0651ED"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本基金将根据本基金的投资目标和股票投资策略，基于对基础证券投资价值的深入研究判断，进行存托凭证的投资。</w:t>
      </w:r>
    </w:p>
    <w:p w14:paraId="1681A16E"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4、债券投资策略</w:t>
      </w:r>
    </w:p>
    <w:p w14:paraId="061AB282"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本基金债券投资将采取久期策略、收益率曲线策略、骑乘策略、息差策略、个券选择策略、信用策略等积极投资策略，自上而下地管理组合的久期，灵活地调整组合的券种搭配，同时精选个券，以增强组合的持有期收益。</w:t>
      </w:r>
    </w:p>
    <w:p w14:paraId="493EEBE2" w14:textId="77777777" w:rsidR="00514F45" w:rsidRPr="0008283A" w:rsidRDefault="00514F45">
      <w:pPr>
        <w:widowControl w:val="0"/>
        <w:spacing w:line="360" w:lineRule="auto"/>
        <w:ind w:firstLine="420"/>
        <w:jc w:val="both"/>
        <w:rPr>
          <w:rFonts w:ascii="宋体" w:hAnsi="宋体" w:cs="宋体"/>
          <w:sz w:val="21"/>
          <w:szCs w:val="21"/>
        </w:rPr>
      </w:pPr>
      <w:r w:rsidRPr="00514F45">
        <w:rPr>
          <w:rFonts w:ascii="宋体" w:hAnsi="宋体" w:cs="宋体" w:hint="eastAsia"/>
          <w:sz w:val="21"/>
          <w:szCs w:val="21"/>
        </w:rPr>
        <w:t>本基金可投资可转换债券及可交换债券，可转换债券及可交换债券兼具债权和股权双重属性，本基金将通过对目标公司股票的投资价值分析和债券价值分析综合开展投资决策，以增强本基金的收益。</w:t>
      </w:r>
    </w:p>
    <w:p w14:paraId="0DEC21F5"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5、股指期货投资策略</w:t>
      </w:r>
    </w:p>
    <w:p w14:paraId="36DF7A36"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lastRenderedPageBreak/>
        <w:t>本基金将根据风险管理的原则，以套期保值为目</w:t>
      </w:r>
      <w:r w:rsidR="00514F45">
        <w:rPr>
          <w:rFonts w:ascii="宋体" w:hAnsi="宋体" w:cs="宋体"/>
          <w:sz w:val="21"/>
          <w:szCs w:val="21"/>
        </w:rPr>
        <w:t>的</w:t>
      </w:r>
      <w:r>
        <w:rPr>
          <w:rFonts w:ascii="宋体" w:hAnsi="宋体" w:cs="宋体"/>
          <w:sz w:val="21"/>
          <w:szCs w:val="21"/>
        </w:rPr>
        <w:t>，选择流动性好、交易活跃的股指期货合约，充分考虑股指期货的风险收益特征，通过多头或空头的套期保值策略，以改善投资组合的投资效果。</w:t>
      </w:r>
    </w:p>
    <w:p w14:paraId="36604B06"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6、资产支持证券的投资策略</w:t>
      </w:r>
    </w:p>
    <w:p w14:paraId="272B041E"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本基金将综合运用战略资产配置和战术资产配置进行资产支持证券的投资组合管理，并根据信用风险、利率风险和流动性风险变化积极调整投资策略，严格遵守法律法规和基金合同的约定，在保证本金安全和基金资产流动性的基础上获得稳定收益。</w:t>
      </w:r>
    </w:p>
    <w:p w14:paraId="3849ABB2"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7、参与融资业务策略</w:t>
      </w:r>
    </w:p>
    <w:p w14:paraId="7D4C995C"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本基金可在综合考虑预期收益、风险、流动性等因素基础上，参与融资业务。</w:t>
      </w:r>
    </w:p>
    <w:p w14:paraId="7EA46C7B"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未来，随着证券市场投资工具的发展和丰富，本基金可在履行适当程序后相应调整和更新相关投资策略，并在招募说明书中更新并公告。</w:t>
      </w:r>
    </w:p>
    <w:p w14:paraId="04E2B9E0"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四、投资限制</w:t>
      </w:r>
    </w:p>
    <w:p w14:paraId="09017E5A"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1、组合限制</w:t>
      </w:r>
    </w:p>
    <w:p w14:paraId="1958EA1C"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基金的投资组合应遵循以下限制：</w:t>
      </w:r>
    </w:p>
    <w:p w14:paraId="0319FC7B" w14:textId="2C6DF886"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（1）股票资产及存托凭证占基金资产的比例为60%-95%（其中，投资于港股通标的股票占股票资产的比例不超过50%），其中投资本基金界定的</w:t>
      </w:r>
      <w:r w:rsidR="00B92AE0" w:rsidRPr="00B92AE0">
        <w:rPr>
          <w:rFonts w:ascii="宋体" w:hAnsi="宋体" w:cs="宋体" w:hint="eastAsia"/>
          <w:sz w:val="21"/>
          <w:szCs w:val="21"/>
        </w:rPr>
        <w:t>创新医药</w:t>
      </w:r>
      <w:r>
        <w:rPr>
          <w:rFonts w:ascii="宋体" w:hAnsi="宋体" w:cs="宋体"/>
          <w:sz w:val="21"/>
          <w:szCs w:val="21"/>
        </w:rPr>
        <w:t>主题相关的</w:t>
      </w:r>
      <w:r w:rsidR="00265D22">
        <w:rPr>
          <w:rFonts w:ascii="宋体" w:hAnsi="宋体" w:cs="宋体"/>
          <w:sz w:val="21"/>
          <w:szCs w:val="21"/>
        </w:rPr>
        <w:t>股票</w:t>
      </w:r>
      <w:r>
        <w:rPr>
          <w:rFonts w:ascii="宋体" w:hAnsi="宋体" w:cs="宋体"/>
          <w:sz w:val="21"/>
          <w:szCs w:val="21"/>
        </w:rPr>
        <w:t>占非现金基金资产的比例不低于80%；</w:t>
      </w:r>
    </w:p>
    <w:p w14:paraId="16F7B907"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2）每个交易日日终在扣除股指期货合约需缴纳的交易保证金后，基金保留的现金以及投资于到期日在一年以内的政府债券的比例合计不低于基金资产净值的5%，其中现金不包括结算备付金、存出保证金、应收申购款等；</w:t>
      </w:r>
    </w:p>
    <w:p w14:paraId="3881F9D1"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（3）本基金持有一家公司发行的证券（同一家公司在境内和香港同时上市的A+H股合计计算），其市值不超过基金资产净值的10%；</w:t>
      </w:r>
    </w:p>
    <w:p w14:paraId="6D59A136"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（4）本基金管理人管理的</w:t>
      </w:r>
      <w:r w:rsidRPr="007F51B2">
        <w:rPr>
          <w:rFonts w:ascii="宋体" w:hAnsi="宋体" w:cs="宋体"/>
          <w:sz w:val="21"/>
          <w:szCs w:val="21"/>
        </w:rPr>
        <w:t>全</w:t>
      </w:r>
      <w:r>
        <w:rPr>
          <w:rFonts w:ascii="宋体" w:hAnsi="宋体" w:cs="宋体"/>
          <w:sz w:val="21"/>
          <w:szCs w:val="21"/>
        </w:rPr>
        <w:t>部基金持有一家公司发行的证券（同一家公司在境内和香港同时上市的A+H股合计计算），不超过该证券的10%，完全按照有关指数的构成比例进行证券投资的基金品种可以不受此条款规定的比例限制；</w:t>
      </w:r>
    </w:p>
    <w:p w14:paraId="228A901A"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（5）本基金投资于同一原始权益人的各类资产支持证券的比例，不得超过基金资产净值的10%；</w:t>
      </w:r>
    </w:p>
    <w:p w14:paraId="38C6F61C"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（6）本基金持有的全部资产支持证券，其市值不得超过基金资产净值的20%，中国证监会规定的特殊品种除外；</w:t>
      </w:r>
    </w:p>
    <w:p w14:paraId="43DC60A5"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（7）本基金持有的同一（指同一信用级别）资产支持证券的比例，不得超过该资产支持证券规模的10%；</w:t>
      </w:r>
    </w:p>
    <w:p w14:paraId="787476ED"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（8）本基金管理人管理的</w:t>
      </w:r>
      <w:r w:rsidRPr="007F51B2">
        <w:rPr>
          <w:rFonts w:ascii="宋体" w:hAnsi="宋体" w:cs="宋体"/>
          <w:sz w:val="21"/>
          <w:szCs w:val="21"/>
        </w:rPr>
        <w:t>全</w:t>
      </w:r>
      <w:r>
        <w:rPr>
          <w:rFonts w:ascii="宋体" w:hAnsi="宋体" w:cs="宋体"/>
          <w:sz w:val="21"/>
          <w:szCs w:val="21"/>
        </w:rPr>
        <w:t>部基金投资于同一原始权益人的各类资产支持证券，不得超过其各类资产支持证券合计规模的10%；</w:t>
      </w:r>
    </w:p>
    <w:p w14:paraId="27034BE6"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（9）本基金应投资于信用级别评级为BBB以上（含BBB）的资产支持证券。基金持有</w:t>
      </w:r>
      <w:r>
        <w:rPr>
          <w:rFonts w:ascii="宋体" w:hAnsi="宋体" w:cs="宋体"/>
          <w:sz w:val="21"/>
          <w:szCs w:val="21"/>
        </w:rPr>
        <w:lastRenderedPageBreak/>
        <w:t>资产支持证券期间，如果其信用等级下降、不再符合投资标准，应在评级报告发布之日起3个月内予以全部卖出；</w:t>
      </w:r>
    </w:p>
    <w:p w14:paraId="44837C50"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（10）基金财产参与股票发行申购，本基金所申报的金额不超过本基金的总资产，本基金所申报的股票数量不超过拟发行股票公司本次发行股票的总量；</w:t>
      </w:r>
    </w:p>
    <w:p w14:paraId="055FA27B" w14:textId="178452A8"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（11）本基金管理人管理的</w:t>
      </w:r>
      <w:r w:rsidRPr="007F51B2">
        <w:rPr>
          <w:rFonts w:ascii="宋体" w:hAnsi="宋体" w:cs="宋体"/>
          <w:sz w:val="21"/>
          <w:szCs w:val="21"/>
        </w:rPr>
        <w:t>全</w:t>
      </w:r>
      <w:r>
        <w:rPr>
          <w:rFonts w:ascii="宋体" w:hAnsi="宋体" w:cs="宋体"/>
          <w:sz w:val="21"/>
          <w:szCs w:val="21"/>
        </w:rPr>
        <w:t>部开放式基金持有一家上市公司发行的可流通股票，不得超过该上市公司可流通股票的15%；本基金管理人管理的</w:t>
      </w:r>
      <w:r w:rsidRPr="007F51B2">
        <w:rPr>
          <w:rFonts w:ascii="宋体" w:hAnsi="宋体" w:cs="宋体"/>
          <w:sz w:val="21"/>
          <w:szCs w:val="21"/>
        </w:rPr>
        <w:t>全</w:t>
      </w:r>
      <w:r>
        <w:rPr>
          <w:rFonts w:ascii="宋体" w:hAnsi="宋体" w:cs="宋体"/>
          <w:sz w:val="21"/>
          <w:szCs w:val="21"/>
        </w:rPr>
        <w:t>部投资组合持有一家上市公司发行的可流通股票，不得超过该上市公司可流通股票的30%；完全按照有关指数的构成比例进行证券投资的开放式基金以及中国证监会认定的特殊投资组合可不受前述比例限制；</w:t>
      </w:r>
    </w:p>
    <w:p w14:paraId="40E8FF3C" w14:textId="4A63C5A1"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w:t>
      </w:r>
      <w:r w:rsidR="006013E0">
        <w:rPr>
          <w:rFonts w:ascii="宋体" w:hAnsi="宋体" w:cs="宋体"/>
          <w:sz w:val="21"/>
          <w:szCs w:val="21"/>
        </w:rPr>
        <w:t>12</w:t>
      </w:r>
      <w:r>
        <w:rPr>
          <w:rFonts w:ascii="宋体" w:hAnsi="宋体" w:cs="宋体"/>
          <w:sz w:val="21"/>
          <w:szCs w:val="21"/>
        </w:rPr>
        <w:t>）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14:paraId="45947442" w14:textId="70A1A014"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w:t>
      </w:r>
      <w:r w:rsidR="006013E0">
        <w:rPr>
          <w:rFonts w:ascii="宋体" w:hAnsi="宋体" w:cs="宋体"/>
          <w:sz w:val="21"/>
          <w:szCs w:val="21"/>
        </w:rPr>
        <w:t>13</w:t>
      </w:r>
      <w:r>
        <w:rPr>
          <w:rFonts w:ascii="宋体" w:hAnsi="宋体" w:cs="宋体"/>
          <w:sz w:val="21"/>
          <w:szCs w:val="21"/>
        </w:rPr>
        <w:t>）本基金资产总值不超过基金资产净值的140%；</w:t>
      </w:r>
    </w:p>
    <w:p w14:paraId="6B3CDFDD" w14:textId="0387235E"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w:t>
      </w:r>
      <w:r w:rsidR="006013E0">
        <w:rPr>
          <w:rFonts w:ascii="宋体" w:hAnsi="宋体" w:cs="宋体"/>
          <w:sz w:val="21"/>
          <w:szCs w:val="21"/>
        </w:rPr>
        <w:t>14</w:t>
      </w:r>
      <w:r>
        <w:rPr>
          <w:rFonts w:ascii="宋体" w:hAnsi="宋体" w:cs="宋体"/>
          <w:sz w:val="21"/>
          <w:szCs w:val="21"/>
        </w:rPr>
        <w:t>）若本基金参与股指期货交易，应当遵守下列要求：</w:t>
      </w:r>
    </w:p>
    <w:p w14:paraId="196523F6"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a.本基金在任何交易日日终，持有的买入股指期货合约价值，不得超过基金资产净值的10%；</w:t>
      </w:r>
    </w:p>
    <w:p w14:paraId="582165D0"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b.本基金在任何交易日日终，持有的买入股指期货合约价值与有价证券市值之和，不得超过基金资产净值的95%。其中，有价证券指股票、债券（不含到期日在一年以内的政府债券）、资产支持证券、买入返售金融资产（不含质押式回购）等；</w:t>
      </w:r>
    </w:p>
    <w:p w14:paraId="144BC76A"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c.本基金在任何交易日日终，持有的卖出股指期货合约价值不得超过基金持有的股票总市值的20%；</w:t>
      </w:r>
    </w:p>
    <w:p w14:paraId="3A2DE1BC"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d.本基金所持有的股票市值和买入、卖出股指期货合约价值，合计（轧差计算）应当符合基金合同关于股票投资比例的有关约定；</w:t>
      </w:r>
    </w:p>
    <w:p w14:paraId="0D39B3EE"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e.本基金在任何交易日内交易（不包括平仓）的股指期货合约的成交金额不得超过上一交易日基金资产净值的20%；</w:t>
      </w:r>
    </w:p>
    <w:p w14:paraId="79B861A3" w14:textId="7264899D"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w:t>
      </w:r>
      <w:r w:rsidR="006013E0">
        <w:rPr>
          <w:rFonts w:ascii="宋体" w:hAnsi="宋体" w:cs="宋体"/>
          <w:sz w:val="21"/>
          <w:szCs w:val="21"/>
        </w:rPr>
        <w:t>15</w:t>
      </w:r>
      <w:r>
        <w:rPr>
          <w:rFonts w:ascii="宋体" w:hAnsi="宋体" w:cs="宋体"/>
          <w:sz w:val="21"/>
          <w:szCs w:val="21"/>
        </w:rPr>
        <w:t>）本基金参与融资的，每个交易日日终，本基金持有的融资买入股票与其他有价证券市值之和，不得超过基金资产净值的95%；</w:t>
      </w:r>
    </w:p>
    <w:p w14:paraId="3186A28D" w14:textId="16003C48"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w:t>
      </w:r>
      <w:r w:rsidR="006013E0">
        <w:rPr>
          <w:rFonts w:ascii="宋体" w:hAnsi="宋体" w:cs="宋体"/>
          <w:sz w:val="21"/>
          <w:szCs w:val="21"/>
        </w:rPr>
        <w:t>16</w:t>
      </w:r>
      <w:r>
        <w:rPr>
          <w:rFonts w:ascii="宋体" w:hAnsi="宋体" w:cs="宋体"/>
          <w:sz w:val="21"/>
          <w:szCs w:val="21"/>
        </w:rPr>
        <w:t>）本基金投资存托凭证的比例限制依照境内上市交易的股票执行，与境内上市交易的股票合并计算；</w:t>
      </w:r>
    </w:p>
    <w:p w14:paraId="1516CA46" w14:textId="22154D88"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w:t>
      </w:r>
      <w:r w:rsidR="006013E0">
        <w:rPr>
          <w:rFonts w:ascii="宋体" w:hAnsi="宋体" w:cs="宋体"/>
          <w:sz w:val="21"/>
          <w:szCs w:val="21"/>
        </w:rPr>
        <w:t>17</w:t>
      </w:r>
      <w:r>
        <w:rPr>
          <w:rFonts w:ascii="宋体" w:hAnsi="宋体" w:cs="宋体"/>
          <w:sz w:val="21"/>
          <w:szCs w:val="21"/>
        </w:rPr>
        <w:t>）本基金与私募类证券资管产品及中国证监会认定的其他主体为交易对手开展逆回购交易的，可接受质押品的资质要求应当与本基金合同约定的投资范围保持一致；</w:t>
      </w:r>
    </w:p>
    <w:p w14:paraId="265AAB1C" w14:textId="264C16CD"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w:t>
      </w:r>
      <w:r w:rsidR="006013E0">
        <w:rPr>
          <w:rFonts w:ascii="宋体" w:hAnsi="宋体" w:cs="宋体"/>
          <w:sz w:val="21"/>
          <w:szCs w:val="21"/>
        </w:rPr>
        <w:t>18</w:t>
      </w:r>
      <w:r>
        <w:rPr>
          <w:rFonts w:ascii="宋体" w:hAnsi="宋体" w:cs="宋体"/>
          <w:sz w:val="21"/>
          <w:szCs w:val="21"/>
        </w:rPr>
        <w:t>）法律法规及中国证监会规定的和《基金合同》约定的其他投资限制。</w:t>
      </w:r>
    </w:p>
    <w:p w14:paraId="7F63162D" w14:textId="12415926"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除上述第（2）、（9）、（</w:t>
      </w:r>
      <w:r w:rsidR="006013E0">
        <w:rPr>
          <w:rFonts w:ascii="宋体" w:hAnsi="宋体" w:cs="宋体"/>
          <w:sz w:val="21"/>
          <w:szCs w:val="21"/>
        </w:rPr>
        <w:t>12</w:t>
      </w:r>
      <w:r>
        <w:rPr>
          <w:rFonts w:ascii="宋体" w:hAnsi="宋体" w:cs="宋体"/>
          <w:sz w:val="21"/>
          <w:szCs w:val="21"/>
        </w:rPr>
        <w:t>）、（</w:t>
      </w:r>
      <w:r w:rsidR="006013E0">
        <w:rPr>
          <w:rFonts w:ascii="宋体" w:hAnsi="宋体" w:cs="宋体"/>
          <w:sz w:val="21"/>
          <w:szCs w:val="21"/>
        </w:rPr>
        <w:t>17</w:t>
      </w:r>
      <w:r>
        <w:rPr>
          <w:rFonts w:ascii="宋体" w:hAnsi="宋体" w:cs="宋体"/>
          <w:sz w:val="21"/>
          <w:szCs w:val="21"/>
        </w:rPr>
        <w:t>）项情形之外，因证券/期货市场波动、证券发行人合并、基金规模变动等基金管理人之外的因素致使基金投资比例不符合上述规定投资比例的，基金管理人应当在10个交易日内进行调整，但中国证监会规定的特殊情形除外。</w:t>
      </w:r>
    </w:p>
    <w:p w14:paraId="1756C7B8"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lastRenderedPageBreak/>
        <w:t>基金管理人应当自基金合同生效之日起6个月内使基金的投资组合比例符合基金合同的有关约定。在上述期间内，本基金的投资范围、投资策略应当符合基金合同的约定。基金托管人对基金的投资的监督与检查自本基金合同生效之日起开始。</w:t>
      </w:r>
    </w:p>
    <w:p w14:paraId="77388B9F"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法律法规或监管部门取消或调整上述限制，如适用于本基金，基金管理人在履行适当程序后，则本基金投资不再受相关限制或按调整后的规定执行。</w:t>
      </w:r>
    </w:p>
    <w:p w14:paraId="4F51524A"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2、禁止行为</w:t>
      </w:r>
    </w:p>
    <w:p w14:paraId="7DCEC0B6"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为维护基金份额持有人的合法权益，基金财产不得用于下列投资或者活动：</w:t>
      </w:r>
    </w:p>
    <w:p w14:paraId="7FC41287"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（1）承销证券；</w:t>
      </w:r>
    </w:p>
    <w:p w14:paraId="2007D488"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（2）违反规定向他人贷款或者提供担保；</w:t>
      </w:r>
    </w:p>
    <w:p w14:paraId="67713940"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（3）从事承担无限责任的投资；</w:t>
      </w:r>
    </w:p>
    <w:p w14:paraId="7DAE2FE7"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（4）买卖其他基金份额，但是中国证监会另有规定的除外；</w:t>
      </w:r>
    </w:p>
    <w:p w14:paraId="1E70A117"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（5）向其基金管理人、基金托管人出资；</w:t>
      </w:r>
    </w:p>
    <w:p w14:paraId="61E09FAF"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（6）从事内幕交易、操纵证券交易价格及其他不正当的证券交易活动；</w:t>
      </w:r>
    </w:p>
    <w:p w14:paraId="015ADC7D"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（7）法律、行政法规和中国证监会规定禁止的其他活动。</w:t>
      </w:r>
    </w:p>
    <w:p w14:paraId="15C947B5"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65D0A93E"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法律法规或监管部门取消或调整上述禁止性规定，如适用于本基金，基金管理人在履行适当程序后，则本基金投资不再受相关限制或按调整后的规定执行。</w:t>
      </w:r>
    </w:p>
    <w:p w14:paraId="10F9A799"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五、业绩比较基准</w:t>
      </w:r>
    </w:p>
    <w:p w14:paraId="549F624F"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中证医药卫生指数收益率×70%+恒生指数收益率×10%（经汇率估值调整）+中债综合财富（总值）指数收益率×20%</w:t>
      </w:r>
    </w:p>
    <w:p w14:paraId="018B66B7" w14:textId="77777777" w:rsidR="00567D74" w:rsidRDefault="005D589E">
      <w:pPr>
        <w:widowControl w:val="0"/>
        <w:spacing w:line="360" w:lineRule="auto"/>
        <w:ind w:firstLine="420"/>
        <w:jc w:val="both"/>
        <w:rPr>
          <w:rFonts w:ascii="宋体" w:hAnsi="宋体" w:cs="宋体"/>
          <w:sz w:val="21"/>
          <w:szCs w:val="21"/>
        </w:rPr>
      </w:pPr>
      <w:r w:rsidRPr="005D589E">
        <w:rPr>
          <w:rFonts w:ascii="宋体" w:hAnsi="宋体" w:cs="宋体" w:hint="eastAsia"/>
          <w:sz w:val="21"/>
          <w:szCs w:val="21"/>
        </w:rPr>
        <w:t>中证医药卫生指数由中证指数有限公司编制，成份股包括中证800指数全部样本股（含沪深300指数和中证500指数的成份股）中属于医药卫生行业的上市公司，综合反映了A股市场的医药卫生行业整体表现。</w:t>
      </w:r>
      <w:r w:rsidR="00567D74">
        <w:rPr>
          <w:rFonts w:ascii="宋体" w:hAnsi="宋体" w:cs="宋体"/>
          <w:sz w:val="21"/>
          <w:szCs w:val="21"/>
        </w:rPr>
        <w:t>恒生指数是香港最早的股票市场指数之一，成份股包括市值最大、成交最活跃并在香港上市的股票，是反映香港股票市场表现的重要指标。中债综合财富（总值）指数由中央国债登记结算有限责任公司编制，该指数的样本券覆盖我国银行间市场和交易所市场，成份债券包括国债、央行票据、金融债、企业债券、短期融资券等几乎所有债券种类，具有广泛的市场代表性，能够反映债券市场总体走势。根据本基金的投资范围和投资比例，选用上述业绩比较基准能够客观、合理地反映本基金的风</w:t>
      </w:r>
      <w:r w:rsidR="00567D74">
        <w:rPr>
          <w:rFonts w:ascii="宋体" w:hAnsi="宋体" w:cs="宋体"/>
          <w:sz w:val="21"/>
          <w:szCs w:val="21"/>
        </w:rPr>
        <w:lastRenderedPageBreak/>
        <w:t>险收益特征。</w:t>
      </w:r>
    </w:p>
    <w:p w14:paraId="5BF0312D" w14:textId="7A898824"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如果本基金业绩比较基准</w:t>
      </w:r>
      <w:r w:rsidR="00375793">
        <w:rPr>
          <w:rFonts w:ascii="宋体" w:hAnsi="宋体" w:cs="宋体"/>
          <w:sz w:val="21"/>
          <w:szCs w:val="21"/>
        </w:rPr>
        <w:t>涉及的指数</w:t>
      </w:r>
      <w:r>
        <w:rPr>
          <w:rFonts w:ascii="宋体" w:hAnsi="宋体" w:cs="宋体"/>
          <w:sz w:val="21"/>
          <w:szCs w:val="21"/>
        </w:rPr>
        <w:t>停止发布或更改名称，或者今后法律法规发生变化，或者有更适当的、更能为市场普遍接受的业绩比较基准推出，或者是市场上出现更加适合用于本基金的业绩比较基准时，本基金管理人与基金托管人协商一致后</w:t>
      </w:r>
      <w:r w:rsidR="008E7056" w:rsidRPr="008E7056">
        <w:rPr>
          <w:rFonts w:ascii="宋体" w:hAnsi="宋体" w:cs="宋体" w:hint="eastAsia"/>
          <w:sz w:val="21"/>
          <w:szCs w:val="21"/>
        </w:rPr>
        <w:t>可经履行适当程序</w:t>
      </w:r>
      <w:r>
        <w:rPr>
          <w:rFonts w:ascii="宋体" w:hAnsi="宋体" w:cs="宋体"/>
          <w:sz w:val="21"/>
          <w:szCs w:val="21"/>
        </w:rPr>
        <w:t>以后变更业绩比较基准并及时公告，但不需要召开基金份额持有人大会。</w:t>
      </w:r>
    </w:p>
    <w:p w14:paraId="289B7C1E"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六、风险收益特征</w:t>
      </w:r>
    </w:p>
    <w:p w14:paraId="6FF557FF"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本基金属于混合型基金，其预期收益及预期风险高于债券型基金和货币市场基金，但低于股票型基金。本基金若投资港股通标的股票，会面临港股通机制下因投资环境、投资标的、市场制度以及交易规则等差异带来的特有风险。</w:t>
      </w:r>
    </w:p>
    <w:p w14:paraId="323DCE52"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七、基金管理人代表基金行使股东或债权人权利的处理原则及方法</w:t>
      </w:r>
    </w:p>
    <w:p w14:paraId="0820DCDC"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1、基金管理人按照国家有关规定代表基金独立行使股东或债权人权利，保护基金份额持有人的利益；</w:t>
      </w:r>
    </w:p>
    <w:p w14:paraId="6FC598D2"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2、不谋求对上市公司的控股；</w:t>
      </w:r>
    </w:p>
    <w:p w14:paraId="0A849346"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3、有利于基金财产的安全与增值；</w:t>
      </w:r>
    </w:p>
    <w:p w14:paraId="1B1295F6"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4、不通过关联交易为自身、雇员、授权代理人或任何存在利害关系的第三人牟取任何不当利益。</w:t>
      </w:r>
    </w:p>
    <w:p w14:paraId="330FB451"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八、侧袋机制的实施和投资运作安排</w:t>
      </w:r>
    </w:p>
    <w:p w14:paraId="7C8558DF"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14:paraId="22AF4DDD"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侧袋机制实施期间，本部分约定的投资组合比例、投资策略、组合限制、业绩比较基准、风险收益特征等约定仅适用于主袋账户。</w:t>
      </w:r>
    </w:p>
    <w:p w14:paraId="3A4ACBA9"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侧袋账户的实施条件、实施程序、运作安排、投资安排、特定资产的处置变现和支付等对投资者权益有重大影响的事项详见招募说明书的规定。</w:t>
      </w:r>
    </w:p>
    <w:p w14:paraId="6273EAF5" w14:textId="77777777" w:rsidR="00567D74" w:rsidRDefault="00567D74">
      <w:pPr>
        <w:pStyle w:val="1"/>
        <w:keepLines/>
        <w:pageBreakBefore/>
        <w:widowControl w:val="0"/>
        <w:spacing w:before="0" w:after="0" w:line="360" w:lineRule="auto"/>
        <w:jc w:val="center"/>
        <w:rPr>
          <w:rFonts w:ascii="Times New Roman" w:eastAsia="Times New Roman" w:hAnsi="Times New Roman" w:cs="Times New Roman"/>
        </w:rPr>
      </w:pPr>
      <w:bookmarkStart w:id="14" w:name="_Toc256000012"/>
      <w:r>
        <w:rPr>
          <w:rFonts w:ascii="宋体" w:hAnsi="宋体" w:cs="宋体"/>
          <w:kern w:val="36"/>
          <w:sz w:val="24"/>
          <w:szCs w:val="24"/>
        </w:rPr>
        <w:lastRenderedPageBreak/>
        <w:t>第十三部分 基金的财产</w:t>
      </w:r>
      <w:bookmarkEnd w:id="14"/>
    </w:p>
    <w:p w14:paraId="1409ADAC" w14:textId="77777777" w:rsidR="00567D74" w:rsidRDefault="00567D74">
      <w:pPr>
        <w:widowControl w:val="0"/>
        <w:spacing w:line="360" w:lineRule="auto"/>
        <w:jc w:val="both"/>
        <w:rPr>
          <w:rFonts w:ascii="宋体" w:hAnsi="宋体" w:cs="宋体"/>
          <w:sz w:val="21"/>
          <w:szCs w:val="21"/>
        </w:rPr>
      </w:pPr>
    </w:p>
    <w:p w14:paraId="52584BD7"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一、基金资产总值</w:t>
      </w:r>
    </w:p>
    <w:p w14:paraId="20626554"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基金资产总值是指基金拥有的各类有价证券、银行存款本息、基金应收申购款及其他资产的价值总和。</w:t>
      </w:r>
    </w:p>
    <w:p w14:paraId="79D60268"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二、基金资产净值</w:t>
      </w:r>
    </w:p>
    <w:p w14:paraId="22274725"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基金资产净值是指基金资产总值减去基金负债后的价值。</w:t>
      </w:r>
    </w:p>
    <w:p w14:paraId="57E1178E"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三、基金财产的账户</w:t>
      </w:r>
    </w:p>
    <w:p w14:paraId="71517681"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p>
    <w:p w14:paraId="5D3C1D7C"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四、基金财产的保管和处分</w:t>
      </w:r>
    </w:p>
    <w:p w14:paraId="66440A2B"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5B46F194"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非因基金财产本身承担的债务，不得对基金财产强制执行。</w:t>
      </w:r>
    </w:p>
    <w:p w14:paraId="4BAEB26D" w14:textId="77777777" w:rsidR="00567D74" w:rsidRDefault="00567D74">
      <w:pPr>
        <w:pStyle w:val="1"/>
        <w:keepLines/>
        <w:pageBreakBefore/>
        <w:widowControl w:val="0"/>
        <w:spacing w:before="210" w:after="0" w:line="360" w:lineRule="auto"/>
        <w:jc w:val="center"/>
        <w:rPr>
          <w:rFonts w:ascii="Times New Roman" w:eastAsia="Times New Roman" w:hAnsi="Times New Roman" w:cs="Times New Roman"/>
        </w:rPr>
      </w:pPr>
      <w:bookmarkStart w:id="15" w:name="_Toc256000013"/>
      <w:r>
        <w:rPr>
          <w:rFonts w:ascii="宋体" w:hAnsi="宋体" w:cs="宋体"/>
          <w:kern w:val="36"/>
          <w:sz w:val="24"/>
          <w:szCs w:val="24"/>
        </w:rPr>
        <w:lastRenderedPageBreak/>
        <w:t>第十四部分 基金资产估值</w:t>
      </w:r>
      <w:bookmarkEnd w:id="15"/>
    </w:p>
    <w:p w14:paraId="07FFDC83" w14:textId="77777777" w:rsidR="00567D74" w:rsidRDefault="00567D74">
      <w:pPr>
        <w:widowControl w:val="0"/>
        <w:spacing w:line="360" w:lineRule="auto"/>
        <w:jc w:val="both"/>
        <w:rPr>
          <w:rFonts w:ascii="宋体" w:hAnsi="宋体" w:cs="宋体"/>
          <w:sz w:val="21"/>
          <w:szCs w:val="21"/>
        </w:rPr>
      </w:pPr>
    </w:p>
    <w:p w14:paraId="7DBB4A0E"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一、估值日</w:t>
      </w:r>
    </w:p>
    <w:p w14:paraId="1514EB55"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本基金的估值日为本基金相关的证券交易场所的交易日以及国家法律法规规定需要对外披露基金净值的非交易日。</w:t>
      </w:r>
    </w:p>
    <w:p w14:paraId="5E94D340"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二、估值对象</w:t>
      </w:r>
    </w:p>
    <w:p w14:paraId="0E792102"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基金所拥有的股票、存托凭证、债券、股指期货合约、资产支持证券和银行存款本息、应收款项、其它投资等资产及负债。</w:t>
      </w:r>
    </w:p>
    <w:p w14:paraId="57F40CA3"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三、估值原则</w:t>
      </w:r>
    </w:p>
    <w:p w14:paraId="4895AAEC"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基金管理人在确定相关金融资产和金融负债的公允价值时，应符合《企业会计准则》、监管部门有关规定。</w:t>
      </w:r>
    </w:p>
    <w:p w14:paraId="30CAF42E"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一）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75065762"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0F53402B"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二）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07D164F3"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（三）如经济环境发生重大变化或证券发行人发生影响证券价格的重大事件，使潜在估值调整对前一估值日的基金资产净值的影响在0.25%以上的，应对估值进行调整并确定公允价值。</w:t>
      </w:r>
    </w:p>
    <w:p w14:paraId="071A8204"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四、估值方法</w:t>
      </w:r>
    </w:p>
    <w:p w14:paraId="1EFA8EB9"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1、证券交易所上市的有价证券的估值</w:t>
      </w:r>
    </w:p>
    <w:p w14:paraId="0D421CB0"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1）交易所上市的有价证券，以其估值日在证券交易所挂牌的市价（收盘价）估值；估值日无交易的，且最近交易日后经济环境未发生重大变化以及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3C53385F"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lastRenderedPageBreak/>
        <w:t>（2）交易所上市交易或挂牌转让的不含权固定收益品种，选取估值日第三方估值机构提供的相应品种当日的估值净价进行估值；</w:t>
      </w:r>
    </w:p>
    <w:p w14:paraId="5FA66356"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（3）交易所上市交易或挂牌转让的含权固定收益品种，选取估值日第三方估值机构提供的相应品种当日的唯一估值净价或推荐估值净价进行估值；</w:t>
      </w:r>
    </w:p>
    <w:p w14:paraId="0D3DB762"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（4）交易所上市交易的可转换债券以每日收盘价作为估值全价；</w:t>
      </w:r>
    </w:p>
    <w:p w14:paraId="13B0D59D"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（5）交易所上市不存在活跃市场的有价证券，采用估值技术确定公允价值。交易所市场挂牌转让的资产支持证券，采用估值技术确定公允价值；</w:t>
      </w:r>
    </w:p>
    <w:p w14:paraId="01FFA58E"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6）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477EF0EF"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2、处于未上市期间的有价证券应区分如下情况处理：</w:t>
      </w:r>
    </w:p>
    <w:p w14:paraId="6BEDCB14"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（1）送股、转增股、配股和公开增发的新股，按估值日在证券交易所挂牌的同一股票的估值方法估值；该日无交易的，以最近一日的市价（收盘价）估值；</w:t>
      </w:r>
    </w:p>
    <w:p w14:paraId="1C94AF56"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（2）首次公开发行未上市的股票和债券，采用估值技术确定公允价值，在估值技术难以可靠计量公允价值的情况下，按成本估值；</w:t>
      </w:r>
    </w:p>
    <w:p w14:paraId="0F172D78"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3）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0738030E"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3、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0AD9D4E1"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4、同一证券同时在两个或两个以上市场交易的，按证券所处的市场分别估值。</w:t>
      </w:r>
    </w:p>
    <w:p w14:paraId="61C87655"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5、股指期货合约，以估值日结算价估值；估值日无结算价的，且最近交易日后经济环境未发生重大变化的，以最近交易日的结算价估值。</w:t>
      </w:r>
    </w:p>
    <w:p w14:paraId="6270765D"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6、港股通投资持有外币证券资产估值涉及到港币或其他外币币种对人民币汇率的，应当以基金估值日中国人民银行或其授权机构公布的人民币汇率中间价为准。</w:t>
      </w:r>
    </w:p>
    <w:p w14:paraId="0F79C5AC" w14:textId="77777777" w:rsidR="00194B06" w:rsidRDefault="00194B06">
      <w:pPr>
        <w:widowControl w:val="0"/>
        <w:spacing w:line="360" w:lineRule="auto"/>
        <w:ind w:firstLine="420"/>
        <w:jc w:val="both"/>
        <w:rPr>
          <w:rFonts w:ascii="宋体" w:hAnsi="宋体" w:cs="宋体"/>
          <w:sz w:val="21"/>
          <w:szCs w:val="21"/>
        </w:rPr>
      </w:pPr>
      <w:r w:rsidRPr="00194B06">
        <w:rPr>
          <w:rFonts w:ascii="宋体" w:hAnsi="宋体" w:cs="宋体" w:hint="eastAsia"/>
          <w:sz w:val="21"/>
          <w:szCs w:val="21"/>
        </w:rPr>
        <w:t>税收：对于按照中国法律法规和基金投资境内外股票市场交易互联互通机制涉及的境外交易场所所在地的法律法规规定应交纳的各项税金，本基金将按权责发生制原则进行估值；对于因税收规定调整或其他原因导致基金实际交纳税金与估算的应交税金有差异的，</w:t>
      </w:r>
      <w:r w:rsidRPr="00194B06">
        <w:rPr>
          <w:rFonts w:ascii="宋体" w:hAnsi="宋体" w:cs="宋体" w:hint="eastAsia"/>
          <w:sz w:val="21"/>
          <w:szCs w:val="21"/>
        </w:rPr>
        <w:lastRenderedPageBreak/>
        <w:t>基金将在相关税金调整日或实际支付日进行相应的估值调整。</w:t>
      </w:r>
    </w:p>
    <w:p w14:paraId="4DA122F0"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7、本基金投资存托凭证的估值核算，依照境内上市交易的股票执行。</w:t>
      </w:r>
    </w:p>
    <w:p w14:paraId="39C627A8" w14:textId="77777777" w:rsidR="00D30331" w:rsidRDefault="00D30331">
      <w:pPr>
        <w:widowControl w:val="0"/>
        <w:spacing w:line="360" w:lineRule="auto"/>
        <w:ind w:firstLine="420"/>
        <w:jc w:val="both"/>
        <w:rPr>
          <w:rFonts w:ascii="宋体" w:hAnsi="宋体" w:cs="宋体"/>
          <w:sz w:val="21"/>
          <w:szCs w:val="21"/>
        </w:rPr>
      </w:pPr>
      <w:r w:rsidRPr="00D30331">
        <w:rPr>
          <w:rFonts w:ascii="宋体" w:hAnsi="宋体" w:cs="宋体" w:hint="eastAsia"/>
          <w:sz w:val="21"/>
          <w:szCs w:val="21"/>
        </w:rPr>
        <w:t>8、本基金参与融资业务的，按照相关法律法规和行业协会的有关规定进行估值。</w:t>
      </w:r>
    </w:p>
    <w:p w14:paraId="01EC230A" w14:textId="77777777" w:rsidR="00567D74" w:rsidRDefault="00D30331">
      <w:pPr>
        <w:widowControl w:val="0"/>
        <w:spacing w:line="360" w:lineRule="auto"/>
        <w:ind w:firstLine="420"/>
        <w:jc w:val="both"/>
        <w:rPr>
          <w:rFonts w:ascii="宋体" w:hAnsi="宋体" w:cs="宋体"/>
          <w:sz w:val="21"/>
          <w:szCs w:val="21"/>
        </w:rPr>
      </w:pPr>
      <w:r>
        <w:rPr>
          <w:rFonts w:ascii="宋体" w:hAnsi="宋体" w:cs="宋体"/>
          <w:sz w:val="21"/>
          <w:szCs w:val="21"/>
        </w:rPr>
        <w:t>9</w:t>
      </w:r>
      <w:r w:rsidR="00567D74">
        <w:rPr>
          <w:rFonts w:ascii="宋体" w:hAnsi="宋体" w:cs="宋体"/>
          <w:sz w:val="21"/>
          <w:szCs w:val="21"/>
        </w:rPr>
        <w:t>、如有确凿证据表明按上述方法进行估值不能客观反映其公允价值的，基金管理人可根据具体情况与基金托管人商定后，按最能反映公允价值的价格估值。</w:t>
      </w:r>
    </w:p>
    <w:p w14:paraId="5B08E34A" w14:textId="77777777" w:rsidR="00567D74" w:rsidRDefault="00D30331">
      <w:pPr>
        <w:widowControl w:val="0"/>
        <w:spacing w:line="360" w:lineRule="auto"/>
        <w:ind w:firstLine="420"/>
        <w:jc w:val="both"/>
        <w:rPr>
          <w:rFonts w:ascii="宋体" w:hAnsi="宋体" w:cs="宋体"/>
          <w:sz w:val="21"/>
          <w:szCs w:val="21"/>
        </w:rPr>
      </w:pPr>
      <w:r>
        <w:rPr>
          <w:rFonts w:ascii="宋体" w:hAnsi="宋体" w:cs="宋体"/>
          <w:sz w:val="21"/>
          <w:szCs w:val="21"/>
        </w:rPr>
        <w:t>10</w:t>
      </w:r>
      <w:r w:rsidR="00567D74">
        <w:rPr>
          <w:rFonts w:ascii="宋体" w:hAnsi="宋体" w:cs="宋体"/>
          <w:sz w:val="21"/>
          <w:szCs w:val="21"/>
        </w:rPr>
        <w:t>、当发生大额申购或赎回情形时，基金管理人可以采用摆动定价机制，以确保基金估值的公平性。</w:t>
      </w:r>
    </w:p>
    <w:p w14:paraId="7F04719C" w14:textId="77777777" w:rsidR="00567D74" w:rsidRDefault="00D30331">
      <w:pPr>
        <w:widowControl w:val="0"/>
        <w:spacing w:line="360" w:lineRule="auto"/>
        <w:ind w:firstLine="420"/>
        <w:jc w:val="both"/>
        <w:rPr>
          <w:rFonts w:ascii="宋体" w:hAnsi="宋体" w:cs="宋体"/>
          <w:sz w:val="21"/>
          <w:szCs w:val="21"/>
        </w:rPr>
      </w:pPr>
      <w:r>
        <w:rPr>
          <w:rFonts w:ascii="宋体" w:hAnsi="宋体" w:cs="宋体"/>
          <w:sz w:val="21"/>
          <w:szCs w:val="21"/>
        </w:rPr>
        <w:t>11</w:t>
      </w:r>
      <w:r w:rsidR="00567D74">
        <w:rPr>
          <w:rFonts w:ascii="宋体" w:hAnsi="宋体" w:cs="宋体"/>
          <w:sz w:val="21"/>
          <w:szCs w:val="21"/>
        </w:rPr>
        <w:t>、相关法律法规以及监管部门、自律规则另有规定的，从其规定。如有新增事项，按国家最新规定估值。</w:t>
      </w:r>
    </w:p>
    <w:p w14:paraId="68877BCF"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如基金管理人或基金托管人发现基金估值违反基金合同订明的估值方法、程序及相关法律法规的规定或者未能充分维护基金份额持有人利益时，应立即通知对方，共同查明原因，双方协商解决。</w:t>
      </w:r>
    </w:p>
    <w:p w14:paraId="30A5A412"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信息的计算结果对外予以公布。</w:t>
      </w:r>
    </w:p>
    <w:p w14:paraId="5D940148"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五、估值程序</w:t>
      </w:r>
    </w:p>
    <w:p w14:paraId="12021095"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1、各类基金份额净值是按照每个工作日闭市后，该类基金资产净值除以当日该类基金份额的余额数量计算，</w:t>
      </w:r>
      <w:r w:rsidR="000534E0">
        <w:rPr>
          <w:rFonts w:ascii="宋体" w:hAnsi="宋体" w:cs="宋体" w:hint="eastAsia"/>
          <w:sz w:val="21"/>
          <w:szCs w:val="21"/>
        </w:rPr>
        <w:t>均</w:t>
      </w:r>
      <w:r>
        <w:rPr>
          <w:rFonts w:ascii="宋体" w:hAnsi="宋体" w:cs="宋体"/>
          <w:sz w:val="21"/>
          <w:szCs w:val="21"/>
        </w:rPr>
        <w:t>精确到0.0001元，小数点后第5位四舍五入。基金管理人可以设立大额赎回情形下的净值精度应急调整机制。国家另有规定的，从其规定。</w:t>
      </w:r>
    </w:p>
    <w:p w14:paraId="7442ED68"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每个工作日计算基金资产净值及各类基金份额净值，并按规定公告。</w:t>
      </w:r>
    </w:p>
    <w:p w14:paraId="469AA159"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2、基金管理人应每个工作日对基金资产估值。但基金管理人根据法律法规或本基金合同的规定暂停估值时除外。基金管理人每个工作日对基金资产估值后，将各类基金份额净值结果发送基金托管人，经基金托管人复核无误后，由基金管理人对外公布。</w:t>
      </w:r>
    </w:p>
    <w:p w14:paraId="352CA2D5"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六、估值错误的处理</w:t>
      </w:r>
    </w:p>
    <w:p w14:paraId="0C6F9482"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基金管理人和基金托管人将采取必要、适当、合理的措施确保基金资产估值的准确性、及时性。当任一类基金份额净值小数点后4位以内（含第4位）发生估值错误时，视为该类基金份额净值错误。</w:t>
      </w:r>
    </w:p>
    <w:p w14:paraId="2FA0EB83"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本基金合同的当事人应按照以下约定处理：</w:t>
      </w:r>
    </w:p>
    <w:p w14:paraId="4B77C17A"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1、估值错误类型</w:t>
      </w:r>
    </w:p>
    <w:p w14:paraId="4C464AB3"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14:paraId="3FAC85A7"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lastRenderedPageBreak/>
        <w:t>上述估值错误的主要类型包括但不限于：资料申报差错、数据传输差错、数据计算差错、系统故障差错、下达指令差错等。</w:t>
      </w:r>
    </w:p>
    <w:p w14:paraId="58901C3A"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2、估值错误处理原则</w:t>
      </w:r>
    </w:p>
    <w:p w14:paraId="2B97BEA1"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7778ECFE"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（2）估值错误的责任方对有关当事人的直接损失负责，不对间接损失负责，并且仅对估值错误的有关直接当事人负责，不对第三方负责。</w:t>
      </w:r>
    </w:p>
    <w:p w14:paraId="7528C98D"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3）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38C91B09"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（4）估值错误调整采用尽量恢复至假设未发生估值错误的正确情形的方式。</w:t>
      </w:r>
    </w:p>
    <w:p w14:paraId="161F0901"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5）估值错误责任方拒绝进行赔偿时，如果因基金管理人过错造成基金资产损失时，基金托管人应为基金的利益向基金管理人追偿，如果因基金托管人过错造成基金资产损失时，基金管理人应为基金的利益向基金托管人追偿。除基金管理人和托管人之外的第三方造成基金资产的损失，并拒绝进行赔偿时，由基金管理人负责向差错方追偿。</w:t>
      </w:r>
    </w:p>
    <w:p w14:paraId="3FA931F2"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6）如果出现估值错误的当事人未按规定对受损方进行赔偿，并且依据法律、行政法规、《基金合同》或其他规定，基金管理人自行或依据法院判决、仲裁裁决对受损方承担了赔偿责任，则基金管理人有权向出现过错的当事人进行追索，并有权要求其赔偿或补偿由此发生的费用和遭受的损失。</w:t>
      </w:r>
    </w:p>
    <w:p w14:paraId="58EDEECC"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（7）按法律法规规定的其他原则处理估值错误。</w:t>
      </w:r>
    </w:p>
    <w:p w14:paraId="3AEEF8CD"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3、估值错误处理程序</w:t>
      </w:r>
    </w:p>
    <w:p w14:paraId="7CCBB180"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估值错误被发现后，有关的当事人应当及时进行处理，处理的程序如下：</w:t>
      </w:r>
    </w:p>
    <w:p w14:paraId="2D658452"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（1）查明估值错误发生的原因，列明所有的当事人，并根据估值错误发生的原因确定估值错误的责任方；</w:t>
      </w:r>
    </w:p>
    <w:p w14:paraId="2A920B57"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（2）根据估值错误处理原则或当事人协商的方法对因估值错误造成的损失进行评估；</w:t>
      </w:r>
    </w:p>
    <w:p w14:paraId="3FC9E25F"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（3）根据估值错误处理原则或当事人协商的方法由估值错误的责任方进行更正和赔偿</w:t>
      </w:r>
      <w:r>
        <w:rPr>
          <w:rFonts w:ascii="宋体" w:hAnsi="宋体" w:cs="宋体"/>
          <w:sz w:val="21"/>
          <w:szCs w:val="21"/>
        </w:rPr>
        <w:lastRenderedPageBreak/>
        <w:t>损失；</w:t>
      </w:r>
    </w:p>
    <w:p w14:paraId="3EFE2137"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（4）根据估值错误处理的方法，需要修改基金登记机构交易数据的，由基金登记机构进行更正，并就估值错误的更正向有关当事人进行确认。</w:t>
      </w:r>
    </w:p>
    <w:p w14:paraId="364D187E"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4、基金份额净值估值错误处理的方法如下：</w:t>
      </w:r>
    </w:p>
    <w:p w14:paraId="46B167A0"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（1）任一类基金份额净值计算出现错误时，基金管理人应当立即予以纠正，通报基金托管人，并采取合理的措施防止损失进一步扩大。</w:t>
      </w:r>
    </w:p>
    <w:p w14:paraId="1EE13467"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（2）错误偏差达到该类基金份额净值的0.25%时，基金管理人应当通报基金托管人并报中国证监会备案；错误偏差达到该类基金份额净值的0.5%时，基金管理人应当公告，并报中国证监会备案。</w:t>
      </w:r>
    </w:p>
    <w:p w14:paraId="40A40DA3"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（3）前述内容如法律法规或监管机关另有规定的，从其规定处理。</w:t>
      </w:r>
    </w:p>
    <w:p w14:paraId="70AC0539"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七、暂停估值的情形</w:t>
      </w:r>
    </w:p>
    <w:p w14:paraId="125141D6"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1、基金投资所涉及的证券/期货交易市场遇法定节假日或因其他原因暂停营业时；</w:t>
      </w:r>
    </w:p>
    <w:p w14:paraId="52577865"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2、因不可抗力致使基金管理人、基金托管人无法准确评估基金资产价值时；</w:t>
      </w:r>
    </w:p>
    <w:p w14:paraId="00B2A9BD"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3、当特定资产占前一估值日基金资产净值50%以上的，经与基金托管人协商确认后，基金管理人应当暂停估值；</w:t>
      </w:r>
    </w:p>
    <w:p w14:paraId="6126727A"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4、法律法规、中国证监会和基金合同认定的其它情形。</w:t>
      </w:r>
    </w:p>
    <w:p w14:paraId="1B02A2B7"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八、基金净值的确认</w:t>
      </w:r>
    </w:p>
    <w:p w14:paraId="4F29171A"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基金资产净值、各类基金份额净值由基金管理人负责计算，基金托管人负责进行复核。基金管理人应于每个</w:t>
      </w:r>
      <w:r w:rsidR="004E59E5">
        <w:rPr>
          <w:rFonts w:ascii="宋体" w:hAnsi="宋体" w:cs="宋体"/>
          <w:sz w:val="21"/>
          <w:szCs w:val="21"/>
        </w:rPr>
        <w:t>工作</w:t>
      </w:r>
      <w:r>
        <w:rPr>
          <w:rFonts w:ascii="宋体" w:hAnsi="宋体" w:cs="宋体"/>
          <w:sz w:val="21"/>
          <w:szCs w:val="21"/>
        </w:rPr>
        <w:t>日交易结束后计算当日的基金资产净值、各类基金份额净值并发送给基金托管人。基金托管人对净值计算结果复核确认后发送给基金管理人，由基金管理人对基金净值予以公布。</w:t>
      </w:r>
    </w:p>
    <w:p w14:paraId="76682B5D"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九、实施侧袋机制期间的基金资产估值</w:t>
      </w:r>
    </w:p>
    <w:p w14:paraId="155496B5"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本基金实施侧袋机制的，应根据本部分的约定对主袋账户资产进行估值并披露主袋账户的基金净值信息，暂停披露侧袋账户份额净值。</w:t>
      </w:r>
    </w:p>
    <w:p w14:paraId="69266469"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十、特殊情形的处理</w:t>
      </w:r>
    </w:p>
    <w:p w14:paraId="00E6F501"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1、基金管理人或基金托管人按估值方法的第</w:t>
      </w:r>
      <w:r w:rsidR="004E59E5">
        <w:rPr>
          <w:rFonts w:ascii="宋体" w:hAnsi="宋体" w:cs="宋体"/>
          <w:sz w:val="21"/>
          <w:szCs w:val="21"/>
        </w:rPr>
        <w:t>9</w:t>
      </w:r>
      <w:r>
        <w:rPr>
          <w:rFonts w:ascii="宋体" w:hAnsi="宋体" w:cs="宋体"/>
          <w:sz w:val="21"/>
          <w:szCs w:val="21"/>
        </w:rPr>
        <w:t>项进行估值时，所造成的误差不作为基金资产估值错误处理。</w:t>
      </w:r>
    </w:p>
    <w:p w14:paraId="3751C735"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2、由于不可抗力原因，或由于证券/期货交易所、登记结算公司以及存款银行等第三方机构发送的数据错误，或由于国家会计政策变更、市场规则变更等原因，基金管理人和基金托管人虽然已经采取必要、适当、合理的措施进行检查，但是未能发现该错误而造成的基金资产净值计算错误，基金管理人和基金托管人免除赔偿责任。但基金管理人、基金托管人应当积极采取必要的措施减轻或消除由此造成的影响。</w:t>
      </w:r>
    </w:p>
    <w:p w14:paraId="57541DA9" w14:textId="77777777" w:rsidR="00567D74" w:rsidRDefault="00567D74">
      <w:pPr>
        <w:pStyle w:val="1"/>
        <w:keepLines/>
        <w:pageBreakBefore/>
        <w:widowControl w:val="0"/>
        <w:spacing w:before="210" w:after="0" w:line="360" w:lineRule="auto"/>
        <w:jc w:val="center"/>
        <w:rPr>
          <w:rFonts w:ascii="Times New Roman" w:eastAsia="Times New Roman" w:hAnsi="Times New Roman" w:cs="Times New Roman"/>
        </w:rPr>
      </w:pPr>
      <w:bookmarkStart w:id="16" w:name="_Toc256000014"/>
      <w:r>
        <w:rPr>
          <w:rFonts w:ascii="宋体" w:hAnsi="宋体" w:cs="宋体"/>
          <w:kern w:val="36"/>
          <w:sz w:val="24"/>
          <w:szCs w:val="24"/>
        </w:rPr>
        <w:lastRenderedPageBreak/>
        <w:t>第十五部分 基金费用与税收</w:t>
      </w:r>
      <w:bookmarkEnd w:id="16"/>
    </w:p>
    <w:p w14:paraId="5102C6CB" w14:textId="77777777" w:rsidR="00567D74" w:rsidRDefault="00567D74">
      <w:pPr>
        <w:widowControl w:val="0"/>
        <w:spacing w:line="360" w:lineRule="auto"/>
        <w:jc w:val="both"/>
        <w:rPr>
          <w:rFonts w:ascii="宋体" w:hAnsi="宋体" w:cs="宋体"/>
          <w:sz w:val="21"/>
          <w:szCs w:val="21"/>
        </w:rPr>
      </w:pPr>
    </w:p>
    <w:p w14:paraId="729130E3"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一、基金费用的种类</w:t>
      </w:r>
    </w:p>
    <w:p w14:paraId="470D57D2"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1、基金管理人的管理费；</w:t>
      </w:r>
    </w:p>
    <w:p w14:paraId="65EEE7BB"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2、基金托管人的托管费；</w:t>
      </w:r>
    </w:p>
    <w:p w14:paraId="193CE5F9"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3、销售服务费；</w:t>
      </w:r>
    </w:p>
    <w:p w14:paraId="504F50A8"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4、</w:t>
      </w:r>
      <w:r w:rsidR="00C51058" w:rsidRPr="00C51058">
        <w:rPr>
          <w:rFonts w:ascii="宋体" w:hAnsi="宋体" w:cs="宋体" w:hint="eastAsia"/>
          <w:sz w:val="21"/>
          <w:szCs w:val="21"/>
        </w:rPr>
        <w:t>因投资港股通标的股票而产生的各项合理费用</w:t>
      </w:r>
      <w:r>
        <w:rPr>
          <w:rFonts w:ascii="宋体" w:hAnsi="宋体" w:cs="宋体"/>
          <w:sz w:val="21"/>
          <w:szCs w:val="21"/>
        </w:rPr>
        <w:t>；</w:t>
      </w:r>
    </w:p>
    <w:p w14:paraId="0DD616A6"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5、《基金合同》生效后与基金相关的信息披露费用（除法律法规、中国证监会另有规定外）；</w:t>
      </w:r>
    </w:p>
    <w:p w14:paraId="692F9B12"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6、《基金合同》生效后与基金相关的会计师费、律师费、仲裁费、诉讼费、公证费和认证费；</w:t>
      </w:r>
    </w:p>
    <w:p w14:paraId="625CE74A"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7、基金份额持有人大会费用；</w:t>
      </w:r>
    </w:p>
    <w:p w14:paraId="2121F559"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8、基金的证券/期货等交易费用；</w:t>
      </w:r>
    </w:p>
    <w:p w14:paraId="2ECE2DA7"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9、基金的银行汇划费用；</w:t>
      </w:r>
    </w:p>
    <w:p w14:paraId="36BA1CBC"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10、基金相关账户的开户费用及维护费用；</w:t>
      </w:r>
    </w:p>
    <w:p w14:paraId="1CED3390"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11、按照国家有关规定和《基金合同》约定，可以在基金财产中列支的其他费用。</w:t>
      </w:r>
    </w:p>
    <w:p w14:paraId="52DFD7EE"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二、基金费用计提方法、计提标准和支付方式</w:t>
      </w:r>
    </w:p>
    <w:p w14:paraId="706B9D46"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1、基金管理人的管理费</w:t>
      </w:r>
    </w:p>
    <w:p w14:paraId="6B7D8222" w14:textId="647DB13C"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本基金的管理费按前一日基金资产净值的1.</w:t>
      </w:r>
      <w:r w:rsidR="00471714">
        <w:rPr>
          <w:rFonts w:ascii="宋体" w:hAnsi="宋体" w:cs="宋体"/>
          <w:sz w:val="21"/>
          <w:szCs w:val="21"/>
        </w:rPr>
        <w:t>2</w:t>
      </w:r>
      <w:r>
        <w:rPr>
          <w:rFonts w:ascii="宋体" w:hAnsi="宋体" w:cs="宋体"/>
          <w:sz w:val="21"/>
          <w:szCs w:val="21"/>
        </w:rPr>
        <w:t>0%年费率计提。管理费的计算方法如下：</w:t>
      </w:r>
    </w:p>
    <w:p w14:paraId="48F64E5C" w14:textId="7440F185"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H=E×1.</w:t>
      </w:r>
      <w:r w:rsidR="00471714">
        <w:rPr>
          <w:rFonts w:ascii="宋体" w:hAnsi="宋体" w:cs="宋体"/>
          <w:sz w:val="21"/>
          <w:szCs w:val="21"/>
        </w:rPr>
        <w:t>2</w:t>
      </w:r>
      <w:r>
        <w:rPr>
          <w:rFonts w:ascii="宋体" w:hAnsi="宋体" w:cs="宋体"/>
          <w:sz w:val="21"/>
          <w:szCs w:val="21"/>
        </w:rPr>
        <w:t>0%÷当年天数</w:t>
      </w:r>
    </w:p>
    <w:p w14:paraId="2C28EA94"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H为每日应计提的基金管理费</w:t>
      </w:r>
    </w:p>
    <w:p w14:paraId="38BBEA5C"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E为前一日的基金资产净值</w:t>
      </w:r>
    </w:p>
    <w:p w14:paraId="1C1AA6E9"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基金管理费每日计提，</w:t>
      </w:r>
      <w:r w:rsidR="00E17432" w:rsidRPr="00E17432">
        <w:rPr>
          <w:rFonts w:ascii="宋体" w:hAnsi="宋体" w:cs="宋体" w:hint="eastAsia"/>
          <w:sz w:val="21"/>
          <w:szCs w:val="21"/>
        </w:rPr>
        <w:t>按月支付。由基金托管人根据与基金管理人核对一致的财务数据，自动在月初5</w:t>
      </w:r>
      <w:proofErr w:type="gramStart"/>
      <w:r w:rsidR="00E17432" w:rsidRPr="00E17432">
        <w:rPr>
          <w:rFonts w:ascii="宋体" w:hAnsi="宋体" w:cs="宋体" w:hint="eastAsia"/>
          <w:sz w:val="21"/>
          <w:szCs w:val="21"/>
        </w:rPr>
        <w:t>个</w:t>
      </w:r>
      <w:proofErr w:type="gramEnd"/>
      <w:r w:rsidR="00E17432" w:rsidRPr="00E17432">
        <w:rPr>
          <w:rFonts w:ascii="宋体" w:hAnsi="宋体" w:cs="宋体" w:hint="eastAsia"/>
          <w:sz w:val="21"/>
          <w:szCs w:val="21"/>
        </w:rPr>
        <w:t>工作日内、按照指定的账户路径进行资金支付，基金管理人无需再出具资金划拨指令。若遇法定节假日、休息日等，支付日期顺延。</w:t>
      </w:r>
      <w:r w:rsidR="00975928" w:rsidRPr="0008283A">
        <w:rPr>
          <w:rFonts w:ascii="宋体" w:hAnsi="宋体" w:cs="宋体" w:hint="eastAsia"/>
          <w:sz w:val="21"/>
          <w:szCs w:val="21"/>
        </w:rPr>
        <w:t>费用自动扣划后，管理人应进行核对，如发现数据不符，及时联系托管人协商解决。</w:t>
      </w:r>
    </w:p>
    <w:p w14:paraId="45820A2B"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2、基金托管人的托管费</w:t>
      </w:r>
    </w:p>
    <w:p w14:paraId="28CCDF13" w14:textId="5D281F2C"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本基金的托管费按前一日基金资产净值的0.2</w:t>
      </w:r>
      <w:r w:rsidR="00471714">
        <w:rPr>
          <w:rFonts w:ascii="宋体" w:hAnsi="宋体" w:cs="宋体"/>
          <w:sz w:val="21"/>
          <w:szCs w:val="21"/>
        </w:rPr>
        <w:t>0</w:t>
      </w:r>
      <w:r>
        <w:rPr>
          <w:rFonts w:ascii="宋体" w:hAnsi="宋体" w:cs="宋体"/>
          <w:sz w:val="21"/>
          <w:szCs w:val="21"/>
        </w:rPr>
        <w:t>%的年费率计提。托管费的计算方法如下：</w:t>
      </w:r>
    </w:p>
    <w:p w14:paraId="5696B25E" w14:textId="39294B88"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H=E×0.2</w:t>
      </w:r>
      <w:r w:rsidR="00471714">
        <w:rPr>
          <w:rFonts w:ascii="宋体" w:hAnsi="宋体" w:cs="宋体"/>
          <w:sz w:val="21"/>
          <w:szCs w:val="21"/>
        </w:rPr>
        <w:t>0</w:t>
      </w:r>
      <w:r>
        <w:rPr>
          <w:rFonts w:ascii="宋体" w:hAnsi="宋体" w:cs="宋体"/>
          <w:sz w:val="21"/>
          <w:szCs w:val="21"/>
        </w:rPr>
        <w:t>%÷当年天数</w:t>
      </w:r>
    </w:p>
    <w:p w14:paraId="6E45B183"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H为每日应计提的基金托管费</w:t>
      </w:r>
    </w:p>
    <w:p w14:paraId="02B7E7FA"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E为前一日的基金资产净值</w:t>
      </w:r>
    </w:p>
    <w:p w14:paraId="644B1F2F"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基金托管费每日计提，</w:t>
      </w:r>
      <w:r w:rsidR="00E17432" w:rsidRPr="00E17432">
        <w:rPr>
          <w:rFonts w:ascii="宋体" w:hAnsi="宋体" w:cs="宋体" w:hint="eastAsia"/>
          <w:sz w:val="21"/>
          <w:szCs w:val="21"/>
        </w:rPr>
        <w:t>按月支付。由基金托管人根据与基金管理人核对一致的财务数据，自动在月初5</w:t>
      </w:r>
      <w:proofErr w:type="gramStart"/>
      <w:r w:rsidR="00E17432" w:rsidRPr="00E17432">
        <w:rPr>
          <w:rFonts w:ascii="宋体" w:hAnsi="宋体" w:cs="宋体" w:hint="eastAsia"/>
          <w:sz w:val="21"/>
          <w:szCs w:val="21"/>
        </w:rPr>
        <w:t>个</w:t>
      </w:r>
      <w:proofErr w:type="gramEnd"/>
      <w:r w:rsidR="00E17432" w:rsidRPr="00E17432">
        <w:rPr>
          <w:rFonts w:ascii="宋体" w:hAnsi="宋体" w:cs="宋体" w:hint="eastAsia"/>
          <w:sz w:val="21"/>
          <w:szCs w:val="21"/>
        </w:rPr>
        <w:t>工作日内、按照指定的账户路径进行资金支付，基金管理人无需再出</w:t>
      </w:r>
      <w:r w:rsidR="00E17432" w:rsidRPr="00E17432">
        <w:rPr>
          <w:rFonts w:ascii="宋体" w:hAnsi="宋体" w:cs="宋体" w:hint="eastAsia"/>
          <w:sz w:val="21"/>
          <w:szCs w:val="21"/>
        </w:rPr>
        <w:lastRenderedPageBreak/>
        <w:t>具资金划拨指令。若遇法定节假日、休息日等，支付日期顺延。</w:t>
      </w:r>
      <w:r w:rsidR="009F1D6A" w:rsidRPr="0008283A">
        <w:rPr>
          <w:rFonts w:ascii="宋体" w:hAnsi="宋体" w:cs="宋体" w:hint="eastAsia"/>
          <w:sz w:val="21"/>
          <w:szCs w:val="21"/>
        </w:rPr>
        <w:t>费用自动扣划后，管理人应进行核对，如发现数据不符，及时联系托管人协商解决。</w:t>
      </w:r>
    </w:p>
    <w:p w14:paraId="30F84537"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3、销售服务费</w:t>
      </w:r>
    </w:p>
    <w:p w14:paraId="3F84121E"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本基金A类基金份额不收取销售服务费，C类基金份额的销售服务费年费率为0.60%。本基金销售服务费将专门用于本基金的销售与基金份额持有人服务，基金管理人将在基金年度报告中对该项费用的列支情况作专项说明。销售服务费计提的计算公式如下：</w:t>
      </w:r>
    </w:p>
    <w:p w14:paraId="48B7D925"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H=E×0.60%÷当年天数</w:t>
      </w:r>
    </w:p>
    <w:p w14:paraId="50124EE3"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H为C类基金份额每日应计提的销售服务费</w:t>
      </w:r>
    </w:p>
    <w:p w14:paraId="69692A43"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E为C类基金份额前一日的基金资产净值</w:t>
      </w:r>
    </w:p>
    <w:p w14:paraId="02873757"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基金销售服务费每日计提，</w:t>
      </w:r>
      <w:r w:rsidR="00E17432" w:rsidRPr="00E17432">
        <w:rPr>
          <w:rFonts w:ascii="宋体" w:hAnsi="宋体" w:cs="宋体" w:hint="eastAsia"/>
          <w:sz w:val="21"/>
          <w:szCs w:val="21"/>
        </w:rPr>
        <w:t>按月支付。由基金托管人根据与基金管理人核对一致的财务数据，自动在月初5</w:t>
      </w:r>
      <w:proofErr w:type="gramStart"/>
      <w:r w:rsidR="00E17432" w:rsidRPr="00E17432">
        <w:rPr>
          <w:rFonts w:ascii="宋体" w:hAnsi="宋体" w:cs="宋体" w:hint="eastAsia"/>
          <w:sz w:val="21"/>
          <w:szCs w:val="21"/>
        </w:rPr>
        <w:t>个</w:t>
      </w:r>
      <w:proofErr w:type="gramEnd"/>
      <w:r w:rsidR="00E17432" w:rsidRPr="00E17432">
        <w:rPr>
          <w:rFonts w:ascii="宋体" w:hAnsi="宋体" w:cs="宋体" w:hint="eastAsia"/>
          <w:sz w:val="21"/>
          <w:szCs w:val="21"/>
        </w:rPr>
        <w:t>工作日内、按照指定的账户路径进行资金支付，基金管理人无需再出具资金划拨指令。若遇法定节假日、休息日等，支付日期顺延。</w:t>
      </w:r>
      <w:r w:rsidR="009F1D6A" w:rsidRPr="0008283A">
        <w:rPr>
          <w:rFonts w:ascii="宋体" w:hAnsi="宋体" w:cs="宋体" w:hint="eastAsia"/>
          <w:sz w:val="21"/>
          <w:szCs w:val="21"/>
        </w:rPr>
        <w:t>费用自动扣划后，管理人应进行核对，如发现数据不符，及时联系托管人协商解决。</w:t>
      </w:r>
    </w:p>
    <w:p w14:paraId="1862C6C5"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上述“一、基金费用的种类”中第4－11项费用，根据有关法规及相应协议规定，按费用实际支出金额列入当期费用，由基金托管人从基金财产中支付。</w:t>
      </w:r>
    </w:p>
    <w:p w14:paraId="207035F5"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三、不列入基金费用的项目</w:t>
      </w:r>
    </w:p>
    <w:p w14:paraId="0BD2BFF0"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下列费用不列入基金费用：</w:t>
      </w:r>
    </w:p>
    <w:p w14:paraId="2F1A1C0D"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1、基金管理人和基金托管人因未履行或未完全履行义务导致的费用支出或基金财产的损失；</w:t>
      </w:r>
    </w:p>
    <w:p w14:paraId="17B2EB9A"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2、基金管理人和基金托管人处理与基金运作无关的事项发生的费用；</w:t>
      </w:r>
    </w:p>
    <w:p w14:paraId="4605345C"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3、《基金合同》生效前的相关费用；</w:t>
      </w:r>
    </w:p>
    <w:p w14:paraId="50B676DA"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4、其他根据相关法律法规及中国证监会的有关规定不得列入基金费用的项目。</w:t>
      </w:r>
    </w:p>
    <w:p w14:paraId="02FA6357"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四、实施</w:t>
      </w:r>
      <w:proofErr w:type="gramStart"/>
      <w:r>
        <w:rPr>
          <w:rFonts w:ascii="宋体" w:hAnsi="宋体" w:cs="宋体"/>
          <w:sz w:val="21"/>
          <w:szCs w:val="21"/>
        </w:rPr>
        <w:t>侧袋机制</w:t>
      </w:r>
      <w:proofErr w:type="gramEnd"/>
      <w:r>
        <w:rPr>
          <w:rFonts w:ascii="宋体" w:hAnsi="宋体" w:cs="宋体"/>
          <w:sz w:val="21"/>
          <w:szCs w:val="21"/>
        </w:rPr>
        <w:t>期间的基金费用</w:t>
      </w:r>
    </w:p>
    <w:p w14:paraId="5AC1A16C"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本基金实施</w:t>
      </w:r>
      <w:proofErr w:type="gramStart"/>
      <w:r>
        <w:rPr>
          <w:rFonts w:ascii="宋体" w:hAnsi="宋体" w:cs="宋体"/>
          <w:sz w:val="21"/>
          <w:szCs w:val="21"/>
        </w:rPr>
        <w:t>侧袋机制</w:t>
      </w:r>
      <w:proofErr w:type="gramEnd"/>
      <w:r>
        <w:rPr>
          <w:rFonts w:ascii="宋体" w:hAnsi="宋体" w:cs="宋体"/>
          <w:sz w:val="21"/>
          <w:szCs w:val="21"/>
        </w:rPr>
        <w:t>的，</w:t>
      </w:r>
      <w:proofErr w:type="gramStart"/>
      <w:r>
        <w:rPr>
          <w:rFonts w:ascii="宋体" w:hAnsi="宋体" w:cs="宋体"/>
          <w:sz w:val="21"/>
          <w:szCs w:val="21"/>
        </w:rPr>
        <w:t>与侧袋账户</w:t>
      </w:r>
      <w:proofErr w:type="gramEnd"/>
      <w:r>
        <w:rPr>
          <w:rFonts w:ascii="宋体" w:hAnsi="宋体" w:cs="宋体"/>
          <w:sz w:val="21"/>
          <w:szCs w:val="21"/>
        </w:rPr>
        <w:t>有关的费用可以</w:t>
      </w:r>
      <w:proofErr w:type="gramStart"/>
      <w:r>
        <w:rPr>
          <w:rFonts w:ascii="宋体" w:hAnsi="宋体" w:cs="宋体"/>
          <w:sz w:val="21"/>
          <w:szCs w:val="21"/>
        </w:rPr>
        <w:t>从侧袋账户</w:t>
      </w:r>
      <w:proofErr w:type="gramEnd"/>
      <w:r>
        <w:rPr>
          <w:rFonts w:ascii="宋体" w:hAnsi="宋体" w:cs="宋体"/>
          <w:sz w:val="21"/>
          <w:szCs w:val="21"/>
        </w:rPr>
        <w:t>中列支，但应</w:t>
      </w:r>
      <w:proofErr w:type="gramStart"/>
      <w:r>
        <w:rPr>
          <w:rFonts w:ascii="宋体" w:hAnsi="宋体" w:cs="宋体"/>
          <w:sz w:val="21"/>
          <w:szCs w:val="21"/>
        </w:rPr>
        <w:t>待侧袋</w:t>
      </w:r>
      <w:proofErr w:type="gramEnd"/>
      <w:r>
        <w:rPr>
          <w:rFonts w:ascii="宋体" w:hAnsi="宋体" w:cs="宋体"/>
          <w:sz w:val="21"/>
          <w:szCs w:val="21"/>
        </w:rPr>
        <w:t>账户资产变现后方可列支，有关费用可酌情收取或减免，但不得收取</w:t>
      </w:r>
      <w:r w:rsidR="005C4C17">
        <w:rPr>
          <w:rFonts w:ascii="宋体" w:hAnsi="宋体" w:cs="宋体"/>
          <w:sz w:val="21"/>
          <w:szCs w:val="21"/>
        </w:rPr>
        <w:t>基金</w:t>
      </w:r>
      <w:r>
        <w:rPr>
          <w:rFonts w:ascii="宋体" w:hAnsi="宋体" w:cs="宋体"/>
          <w:sz w:val="21"/>
          <w:szCs w:val="21"/>
        </w:rPr>
        <w:t>管理费，详见招募说明书的规定或相关公告。</w:t>
      </w:r>
    </w:p>
    <w:p w14:paraId="515A9B81"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五、基金税收</w:t>
      </w:r>
    </w:p>
    <w:p w14:paraId="1C0C8A98"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本基金运作过程中涉及的各纳税主体，其纳税义务按国家税收法律、法规执行。基金财产投资的相关税收，由基金份额持有人承担，基金管理人或者其他扣缴义务人按照国家有关税收征收的规定代扣代缴。</w:t>
      </w:r>
    </w:p>
    <w:p w14:paraId="282D9DD2" w14:textId="77777777" w:rsidR="00567D74" w:rsidRDefault="00567D74">
      <w:pPr>
        <w:pStyle w:val="1"/>
        <w:keepLines/>
        <w:pageBreakBefore/>
        <w:widowControl w:val="0"/>
        <w:spacing w:before="210" w:after="0" w:line="360" w:lineRule="auto"/>
        <w:jc w:val="center"/>
        <w:rPr>
          <w:rFonts w:ascii="Times New Roman" w:eastAsia="Times New Roman" w:hAnsi="Times New Roman" w:cs="Times New Roman"/>
        </w:rPr>
      </w:pPr>
      <w:bookmarkStart w:id="17" w:name="_Toc256000015"/>
      <w:r>
        <w:rPr>
          <w:rFonts w:ascii="宋体" w:hAnsi="宋体" w:cs="宋体"/>
          <w:kern w:val="36"/>
          <w:sz w:val="24"/>
          <w:szCs w:val="24"/>
        </w:rPr>
        <w:lastRenderedPageBreak/>
        <w:t>第十六部分 基金的收益与分配</w:t>
      </w:r>
      <w:bookmarkEnd w:id="17"/>
    </w:p>
    <w:p w14:paraId="790C4865" w14:textId="77777777" w:rsidR="00567D74" w:rsidRDefault="00567D74">
      <w:pPr>
        <w:widowControl w:val="0"/>
        <w:spacing w:line="360" w:lineRule="auto"/>
        <w:jc w:val="both"/>
        <w:rPr>
          <w:rFonts w:ascii="宋体" w:hAnsi="宋体" w:cs="宋体"/>
          <w:sz w:val="21"/>
          <w:szCs w:val="21"/>
        </w:rPr>
      </w:pPr>
    </w:p>
    <w:p w14:paraId="674232FD"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一、基金利润的构成</w:t>
      </w:r>
    </w:p>
    <w:p w14:paraId="71AB0E1E"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基金利润指基金利息收入、投资收益、公允价值变动收益和其他收入扣除相关费用后的余额，基金已实现收益指基金利润减去公允价值变动收益后的余额。</w:t>
      </w:r>
    </w:p>
    <w:p w14:paraId="4A49788E"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二、基金可供分配利润</w:t>
      </w:r>
    </w:p>
    <w:p w14:paraId="7FA2A989"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基金可供分配利润指截至收益分配基准日基金未分配利润与未分配利润中已实现收益的孰低数。</w:t>
      </w:r>
    </w:p>
    <w:p w14:paraId="1E4EF7B0"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三、基金收益分配原则</w:t>
      </w:r>
    </w:p>
    <w:p w14:paraId="5680EBC9"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1、在符合有关基金分红条件的前提下，本基金管理人可以根据实际情况进行收益分配，具体分配方案以公告为准，若《基金合同》生效不满3个月可不进行收益分配；</w:t>
      </w:r>
    </w:p>
    <w:p w14:paraId="2AE2577C"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2、本基金收益分配方式分两种：现金分红与红利再投资，投资者可选择现金红利或将现金红利自动转为相应类别的基金份额进行再投资；若投资者不选择，本基金默认的收益分配方式是现金分红；</w:t>
      </w:r>
    </w:p>
    <w:p w14:paraId="4843053D"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3、基金收益分配后任一类基金份额净值不能低于面值，即基金收益分配基准日的任一类基金份额净值减去该类每单位基金份额收益分配金额后不能低于面值；</w:t>
      </w:r>
    </w:p>
    <w:p w14:paraId="4E2CE328"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4、A类基金份额和C类基金份额之间由于A类基金份额不收取而C类基金份额收取销售服务费将导致在可供分配利润上有所不同；</w:t>
      </w:r>
    </w:p>
    <w:p w14:paraId="2B1341E3"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5、同一类别的每一基金份额享有同等分配权；</w:t>
      </w:r>
    </w:p>
    <w:p w14:paraId="1CD35877"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6、法律法规或监管机关另有规定的，从其规定。</w:t>
      </w:r>
    </w:p>
    <w:p w14:paraId="72F58D24"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在不违反法律法规且对基金份额持有人利益无实质不利影响的前提下，基金管理人</w:t>
      </w:r>
      <w:r w:rsidR="000A234A">
        <w:rPr>
          <w:rFonts w:ascii="宋体" w:hAnsi="宋体" w:cs="宋体" w:hint="eastAsia"/>
          <w:sz w:val="21"/>
          <w:szCs w:val="21"/>
        </w:rPr>
        <w:t>与基金托管人协商后，</w:t>
      </w:r>
      <w:r>
        <w:rPr>
          <w:rFonts w:ascii="宋体" w:hAnsi="宋体" w:cs="宋体"/>
          <w:sz w:val="21"/>
          <w:szCs w:val="21"/>
        </w:rPr>
        <w:t>可调整基金收益分配原则和支付方式，不需召开基金份额持有人大会。</w:t>
      </w:r>
    </w:p>
    <w:p w14:paraId="51349BF5"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四、收益分配方案</w:t>
      </w:r>
    </w:p>
    <w:p w14:paraId="6A4FE5D6"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基金收益分配方案中应载明截止收益分配基准日的可供分配利润、基金收益分配对象、分配时间、分配数额及比例、分配方式等内容。</w:t>
      </w:r>
    </w:p>
    <w:p w14:paraId="163128CC"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五、收益分配方案的确定、公告与实施</w:t>
      </w:r>
    </w:p>
    <w:p w14:paraId="76F6DCB8"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本基金收益分配方案由基金管理人拟定，并由基金托管人复核，在2日内在规定媒介公告。</w:t>
      </w:r>
    </w:p>
    <w:p w14:paraId="777E6B0A"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六、基金收益分配中发生的费用</w:t>
      </w:r>
    </w:p>
    <w:p w14:paraId="47DD4390"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基金收益分配时所发生的银行转账或其他手续费用由投资者自行承担。当投资者的现金红利小于一定金额，不足以支付银行转账或其他手续费用时，基金登记机构可将基金份额持有人的现金红利自动转为相应类别的基金份额。红利再投资的计算方法，依照《业务规则》执行。</w:t>
      </w:r>
    </w:p>
    <w:p w14:paraId="0E75B891"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七、实施</w:t>
      </w:r>
      <w:proofErr w:type="gramStart"/>
      <w:r>
        <w:rPr>
          <w:rFonts w:ascii="宋体" w:hAnsi="宋体" w:cs="宋体"/>
          <w:sz w:val="21"/>
          <w:szCs w:val="21"/>
        </w:rPr>
        <w:t>侧袋机制</w:t>
      </w:r>
      <w:proofErr w:type="gramEnd"/>
      <w:r>
        <w:rPr>
          <w:rFonts w:ascii="宋体" w:hAnsi="宋体" w:cs="宋体"/>
          <w:sz w:val="21"/>
          <w:szCs w:val="21"/>
        </w:rPr>
        <w:t>期间的收益分配</w:t>
      </w:r>
    </w:p>
    <w:p w14:paraId="55365091"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lastRenderedPageBreak/>
        <w:t>本基金实施</w:t>
      </w:r>
      <w:proofErr w:type="gramStart"/>
      <w:r>
        <w:rPr>
          <w:rFonts w:ascii="宋体" w:hAnsi="宋体" w:cs="宋体"/>
          <w:sz w:val="21"/>
          <w:szCs w:val="21"/>
        </w:rPr>
        <w:t>侧袋机制</w:t>
      </w:r>
      <w:proofErr w:type="gramEnd"/>
      <w:r>
        <w:rPr>
          <w:rFonts w:ascii="宋体" w:hAnsi="宋体" w:cs="宋体"/>
          <w:sz w:val="21"/>
          <w:szCs w:val="21"/>
        </w:rPr>
        <w:t>的，</w:t>
      </w:r>
      <w:proofErr w:type="gramStart"/>
      <w:r>
        <w:rPr>
          <w:rFonts w:ascii="宋体" w:hAnsi="宋体" w:cs="宋体"/>
          <w:sz w:val="21"/>
          <w:szCs w:val="21"/>
        </w:rPr>
        <w:t>侧袋账户</w:t>
      </w:r>
      <w:proofErr w:type="gramEnd"/>
      <w:r>
        <w:rPr>
          <w:rFonts w:ascii="宋体" w:hAnsi="宋体" w:cs="宋体"/>
          <w:sz w:val="21"/>
          <w:szCs w:val="21"/>
        </w:rPr>
        <w:t>不进行收益分配，详见招募说明书的规定。</w:t>
      </w:r>
    </w:p>
    <w:p w14:paraId="1FBDA5DE" w14:textId="77777777" w:rsidR="00567D74" w:rsidRDefault="00567D74">
      <w:pPr>
        <w:pStyle w:val="1"/>
        <w:keepLines/>
        <w:pageBreakBefore/>
        <w:widowControl w:val="0"/>
        <w:spacing w:before="210" w:after="0" w:line="360" w:lineRule="auto"/>
        <w:jc w:val="center"/>
        <w:rPr>
          <w:rFonts w:ascii="Times New Roman" w:eastAsia="Times New Roman" w:hAnsi="Times New Roman" w:cs="Times New Roman"/>
        </w:rPr>
      </w:pPr>
      <w:bookmarkStart w:id="18" w:name="_Toc256000016"/>
      <w:r>
        <w:rPr>
          <w:rFonts w:ascii="宋体" w:hAnsi="宋体" w:cs="宋体"/>
          <w:kern w:val="36"/>
          <w:sz w:val="24"/>
          <w:szCs w:val="24"/>
        </w:rPr>
        <w:lastRenderedPageBreak/>
        <w:t>第十七部分 基金的会计与审计</w:t>
      </w:r>
      <w:bookmarkEnd w:id="18"/>
    </w:p>
    <w:p w14:paraId="4990EB4C" w14:textId="77777777" w:rsidR="00567D74" w:rsidRDefault="00567D74">
      <w:pPr>
        <w:widowControl w:val="0"/>
        <w:spacing w:line="360" w:lineRule="auto"/>
        <w:jc w:val="both"/>
        <w:rPr>
          <w:rFonts w:ascii="宋体" w:hAnsi="宋体" w:cs="宋体"/>
          <w:sz w:val="21"/>
          <w:szCs w:val="21"/>
        </w:rPr>
      </w:pPr>
    </w:p>
    <w:p w14:paraId="579F9E8C"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一、基金会计政策</w:t>
      </w:r>
    </w:p>
    <w:p w14:paraId="219235D5"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1、基金管理人为本基金的基金会计责任方；</w:t>
      </w:r>
    </w:p>
    <w:p w14:paraId="0127DF1C"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2、基金的会计年度为公历年度的1月1日至12月31日；基金首次募集的会计年度按如下原则：如果《基金合同》生效少于2个月，可以并入下一个会计年度；</w:t>
      </w:r>
    </w:p>
    <w:p w14:paraId="71A6E785"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3、基金核算以人民币为记账本位币，以人民币元为记账单位；</w:t>
      </w:r>
    </w:p>
    <w:p w14:paraId="2B0CDBEB"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4、会计制度执行国家有关会计制度；</w:t>
      </w:r>
    </w:p>
    <w:p w14:paraId="275D9C77"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5、本基金独立建账、独立核算；</w:t>
      </w:r>
    </w:p>
    <w:p w14:paraId="4D484FC1"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6、基金管理人及基金托管人各自保留完整的会计账目、凭证并进行日常的会计核算，按照有关规定编制基金会计报表；</w:t>
      </w:r>
    </w:p>
    <w:p w14:paraId="6A2886BD"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7、基金托管人每月与基金管理人就基金的会计核算、报表编制等进行核对并以书面方式确认。</w:t>
      </w:r>
    </w:p>
    <w:p w14:paraId="2FC5E285"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二、基金的年度审计</w:t>
      </w:r>
    </w:p>
    <w:p w14:paraId="558FC455"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1、基金管理人聘请与基金管理人、基金托管人相互独立的符合《中华人民共和国证券法》规定的会计师事务所及其注册会计师对本基金的年度财务报表进行审计。</w:t>
      </w:r>
    </w:p>
    <w:p w14:paraId="076BDDAE"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2、会计师事务所更换经办注册会计师，应事先征得基金管理人同意。</w:t>
      </w:r>
    </w:p>
    <w:p w14:paraId="502405CC"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3、基金管理人认为有充足理由更换会计师事务所，须通报基金托管人。更换会计师事务所需在2日内在规定媒介公告。</w:t>
      </w:r>
    </w:p>
    <w:p w14:paraId="10FF35AF" w14:textId="77777777" w:rsidR="00567D74" w:rsidRDefault="00567D74">
      <w:pPr>
        <w:pStyle w:val="1"/>
        <w:keepLines/>
        <w:pageBreakBefore/>
        <w:widowControl w:val="0"/>
        <w:spacing w:before="210" w:after="0" w:line="360" w:lineRule="auto"/>
        <w:jc w:val="center"/>
        <w:rPr>
          <w:rFonts w:ascii="Times New Roman" w:eastAsia="Times New Roman" w:hAnsi="Times New Roman" w:cs="Times New Roman"/>
        </w:rPr>
      </w:pPr>
      <w:bookmarkStart w:id="19" w:name="_Toc256000017"/>
      <w:r>
        <w:rPr>
          <w:rFonts w:ascii="宋体" w:hAnsi="宋体" w:cs="宋体"/>
          <w:kern w:val="36"/>
          <w:sz w:val="24"/>
          <w:szCs w:val="24"/>
        </w:rPr>
        <w:lastRenderedPageBreak/>
        <w:t>第十八部分 基金的信息披露</w:t>
      </w:r>
      <w:bookmarkEnd w:id="19"/>
    </w:p>
    <w:p w14:paraId="29BB347F" w14:textId="77777777" w:rsidR="00567D74" w:rsidRDefault="00567D74">
      <w:pPr>
        <w:widowControl w:val="0"/>
        <w:spacing w:line="360" w:lineRule="auto"/>
        <w:jc w:val="both"/>
        <w:rPr>
          <w:rFonts w:ascii="宋体" w:hAnsi="宋体" w:cs="宋体"/>
          <w:sz w:val="21"/>
          <w:szCs w:val="21"/>
        </w:rPr>
      </w:pPr>
    </w:p>
    <w:p w14:paraId="0DD9AF47"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一、本基金的信息披露应符合《基金法》、《运作办法》、《信息披露办法》、《流动性风险管理规定》、《基金合同》及其他有关规定。</w:t>
      </w:r>
    </w:p>
    <w:p w14:paraId="7325E0AD"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二、信息披露义务人</w:t>
      </w:r>
    </w:p>
    <w:p w14:paraId="0F293B4C"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本基金信息披露义务人包括基金管理人、基金托管人、召集基金份额持有人大会的基金份额持有人及其日常机构（如有）等法律法规和中国证监会规定的自然人、法人和非法人组织。</w:t>
      </w:r>
    </w:p>
    <w:p w14:paraId="3BD47C32"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本基金信息披露义务人以保护基金份额持有人利益为根本出发点，按照法律法规和中国证监会的规定披露基金信息，并保证所披露信息的真实性、准确性、完整性、及时性、简明性和易得性。</w:t>
      </w:r>
    </w:p>
    <w:p w14:paraId="61AD5CBC"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本基金信息披露义务人应当在中国证监会规定时间内，将应予披露的基金信息通过符合中国证监会规定条件的全国性报刊（以下简称“规定报刊”）及《信息披露办法》规定的互联网网站（以下简称“规定网站”，包括基金管理人网站、基金托管人网站、中国证监会基金电子披露网站）等媒介披露，并保证基金投资者能够按照《基金合同》约定的时间和方式查阅或者复制公开披露的信息资料。</w:t>
      </w:r>
    </w:p>
    <w:p w14:paraId="52CB7894"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三、本基金信息披露义务人承诺公开披露的基金信息，不得有下列行为：</w:t>
      </w:r>
    </w:p>
    <w:p w14:paraId="62DDAF43"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1、虚假记载、误导性陈述或者重大遗漏；</w:t>
      </w:r>
    </w:p>
    <w:p w14:paraId="6D9993F3"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2、对证券投资业绩进行预测；</w:t>
      </w:r>
    </w:p>
    <w:p w14:paraId="37CDBFB9"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3、违规承诺收益或者承担损失；</w:t>
      </w:r>
    </w:p>
    <w:p w14:paraId="6B40EC27"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4、诋毁其他基金管理人、基金托管人或者基金销售机构；</w:t>
      </w:r>
    </w:p>
    <w:p w14:paraId="34B08D1A"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5、登载任何自然人、法人和非法人组织的祝贺性、恭维性或推荐性文字；</w:t>
      </w:r>
    </w:p>
    <w:p w14:paraId="7421FEE0"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6、中国证监会禁止的其他行为。</w:t>
      </w:r>
    </w:p>
    <w:p w14:paraId="573BCECF"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四、本基金公开披露的信息应采用中文文本。如同时采用外文文本的，基金信息披露义务人应保证不同文本的内容一致。不同文本之间发生歧义的，以中文文本为准。</w:t>
      </w:r>
    </w:p>
    <w:p w14:paraId="2C79C9B8"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本基金公开披露的信息采用阿拉伯数字；除特别说明外，货币单位为人民币元。</w:t>
      </w:r>
    </w:p>
    <w:p w14:paraId="573C6E9C"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五、公开披露的基金信息</w:t>
      </w:r>
    </w:p>
    <w:p w14:paraId="446C3D8C"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公开披露的基金信息包括：</w:t>
      </w:r>
    </w:p>
    <w:p w14:paraId="07820CC3"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（一）基金招募说明书、《基金合同》、基金托管协议、基金产品资料概要</w:t>
      </w:r>
    </w:p>
    <w:p w14:paraId="233053B5"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1、《基金合同》是界定《基金合同》当事人的各项权利、义务关系，明确基金份额持有人大会召开的规则及具体程序，说明基金产品的特性等涉及基金投资者重大利益的事项的法律文件。</w:t>
      </w:r>
    </w:p>
    <w:p w14:paraId="10080971"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2、基金招募说明书应当最大限度地披露影响基金投资者决策的全部事项，说明基金认购、申购和赎回安排、基金投资、基金产品特性、风险揭示、信息披露及基金份额持有人</w:t>
      </w:r>
      <w:r>
        <w:rPr>
          <w:rFonts w:ascii="宋体" w:hAnsi="宋体" w:cs="宋体"/>
          <w:sz w:val="21"/>
          <w:szCs w:val="21"/>
        </w:rPr>
        <w:lastRenderedPageBreak/>
        <w:t>服务等内容。《基金合同》生效后，基金招募说明书的信息发生重大变更的，基金管理人应当在三个工作日内，更新基金招募说明书并登载在规定网站上；基金招募说明书其他信息发生变更的，基金管理人至少每年更新一次。基金终止运作的，基金管理人不再更新基金招募说明书。</w:t>
      </w:r>
    </w:p>
    <w:p w14:paraId="1F5F00DB"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3、基金托管协议是界定基金托管人和基金管理人在基金财产保管及基金运作监督等活动中的权利、义务关系的法律文件。</w:t>
      </w:r>
    </w:p>
    <w:p w14:paraId="1AB08C01"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4、基金产品资料概要是基金招募说明书的摘要文件，用于向投资者提供简明的基金概要信息。《基金合同》生效后，基金产品资料概要的信息发生重大变更的，基金管理人应当在三个工作日内，更新基金产品资料概要，并登载在规定网站及基金销售机构网站或营业网点；基金产品资料概要其他信息发生变更的，基金管理人至少每年更新一次。基金终止运作的，基金管理人不再更新基金产品资料概要。</w:t>
      </w:r>
    </w:p>
    <w:p w14:paraId="01F7CFEB"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基金募集申请经中国证监会注册后，基金管理人应当在基金份额发售的三日前，将基金份额发售公告、基金招募说明书提示性公告、《基金合同》提示性公告登载在规定报刊上，将基金份额发售公告、基金招募说明书、基金产品资料概要、《基金合同》和托管协议登载在规定网站上，并将基金产品资料概要登载在基金销售机构网站或营业网点；基金托管人应当同时将《基金合同》、基金托管协议登载在规定网站上。</w:t>
      </w:r>
    </w:p>
    <w:p w14:paraId="1AF01DC6"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（二）基金份额发售公告</w:t>
      </w:r>
    </w:p>
    <w:p w14:paraId="08B2FFA4"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基金管理人应当就基金份额发售的具体事宜编制基金份额发售公告，并在披露招募说明书的当日登载于规定媒介上。</w:t>
      </w:r>
    </w:p>
    <w:p w14:paraId="5605DE5D"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（三）《基金合同》生效公告</w:t>
      </w:r>
    </w:p>
    <w:p w14:paraId="3A3080EF"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基金管理人应当在收到中国证监会确认文件的次日在规定媒介上登载《基金合同》生效公告。</w:t>
      </w:r>
    </w:p>
    <w:p w14:paraId="71CF20EB"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（四）基金净值信息</w:t>
      </w:r>
    </w:p>
    <w:p w14:paraId="322EDE3E"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《基金合同》生效后，在开始办理基金份额申购或者赎回前，基金管理人应当至少每周在规定网站披露一次各类基金份额净值和基金份额累计净值。</w:t>
      </w:r>
    </w:p>
    <w:p w14:paraId="4B10C890"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在开始办理基金份额申购或者赎回后，基金管理人应当在不晚于每个开放日的次日，通过规定网站、基金销售机构网站或者营业网点披露开放日的各类基金份额净值和基金份额累计净值。</w:t>
      </w:r>
    </w:p>
    <w:p w14:paraId="5DEB268F"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基金管理人应当在不晚于半年度和年度最后一日的次日，在规定网站披露半年度和年度最后一日的各类基金份额净值和基金份额累计净值。</w:t>
      </w:r>
    </w:p>
    <w:p w14:paraId="21332B85"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（五）基金份额申购、赎回价格</w:t>
      </w:r>
    </w:p>
    <w:p w14:paraId="4319528D"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基金管理人应当在《基金合同》、招募说明书等信息披露文件上载</w:t>
      </w:r>
      <w:proofErr w:type="gramStart"/>
      <w:r>
        <w:rPr>
          <w:rFonts w:ascii="宋体" w:hAnsi="宋体" w:cs="宋体"/>
          <w:sz w:val="21"/>
          <w:szCs w:val="21"/>
        </w:rPr>
        <w:t>明基金</w:t>
      </w:r>
      <w:proofErr w:type="gramEnd"/>
      <w:r>
        <w:rPr>
          <w:rFonts w:ascii="宋体" w:hAnsi="宋体" w:cs="宋体"/>
          <w:sz w:val="21"/>
          <w:szCs w:val="21"/>
        </w:rPr>
        <w:t>份额申购、赎回价格的计算方式及有关申购、赎回费率，并保证投资者能够在基金销售机构网站或营业网点查阅或者复制前述信息资料。</w:t>
      </w:r>
    </w:p>
    <w:p w14:paraId="3D80BEC5"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lastRenderedPageBreak/>
        <w:t>（六）基金定期报告，包括基金年度报告、基金中期报告和基金季度报告</w:t>
      </w:r>
    </w:p>
    <w:p w14:paraId="0F23535A"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基金管理人应当在每年结束之日起三个月内，编制完成基金年度报告，将年度报告登载在规定网站上，并将年度报告提示性公告登载在规定报刊上。基金年度报告中的财务会计报告应当</w:t>
      </w:r>
      <w:proofErr w:type="gramStart"/>
      <w:r>
        <w:rPr>
          <w:rFonts w:ascii="宋体" w:hAnsi="宋体" w:cs="宋体"/>
          <w:sz w:val="21"/>
          <w:szCs w:val="21"/>
        </w:rPr>
        <w:t>经符合</w:t>
      </w:r>
      <w:proofErr w:type="gramEnd"/>
      <w:r>
        <w:rPr>
          <w:rFonts w:ascii="宋体" w:hAnsi="宋体" w:cs="宋体"/>
          <w:sz w:val="21"/>
          <w:szCs w:val="21"/>
        </w:rPr>
        <w:t>《中华人民共和国证券法》规定的会计师事务所审计。</w:t>
      </w:r>
    </w:p>
    <w:p w14:paraId="5941579F"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基金管理人应当在上半年结束之日起两个月内，编制完成基金中期报告，将中期报告登载在规定网站上，并将中期报告提示性公告登载在规定报刊上。</w:t>
      </w:r>
    </w:p>
    <w:p w14:paraId="3ACB43E2"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基金管理人应当在季度结束之日起15个工作日内，编制完成基金季度报告，将季度报告登载在规定网站上，并将季度报告提示性公告登载在规定报刊上。</w:t>
      </w:r>
    </w:p>
    <w:p w14:paraId="22F7F5C4"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《基金合同》生效不足2个月的，基金管理人可以不编制当期季度报告、中期报告或者年度报告。</w:t>
      </w:r>
    </w:p>
    <w:p w14:paraId="1D9C30AE"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如报告期内出现单一投资者持有基金份额达到或超过基金总份额20%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14:paraId="0C0439D6"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基金管理人应当在基金年度报告和中期报告中披露基金组合资产情况及其流动性风险分析等。</w:t>
      </w:r>
    </w:p>
    <w:p w14:paraId="192B8A2E"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（七）临时报告</w:t>
      </w:r>
    </w:p>
    <w:p w14:paraId="3660CC78"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本基金发生重大事件，有关信息披露义务人应当在2日内编制临时报告书，并登载在规定报刊和规定网站上。</w:t>
      </w:r>
    </w:p>
    <w:p w14:paraId="3A90F58E"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前款所称重大事件，是指可能对基金份额持有人权益或者基金份额的价格产生重大影响的下列事件：</w:t>
      </w:r>
    </w:p>
    <w:p w14:paraId="662919E2"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1、基金份额持有人大会的召开及决定的事项；</w:t>
      </w:r>
    </w:p>
    <w:p w14:paraId="51D2D003"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2、《基金合同》终止、基金清算；</w:t>
      </w:r>
    </w:p>
    <w:p w14:paraId="1F82E5EC"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3、转换基金运作方式、基金合并；</w:t>
      </w:r>
    </w:p>
    <w:p w14:paraId="7BBB589C"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4、更换基金管理人、基金托管人、基金份额登记机构，基金改聘会计师事务所；</w:t>
      </w:r>
    </w:p>
    <w:p w14:paraId="5D435C9E"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5、基金管理人委托基金服务机构代为办理基金的份额登记、核算、估值等事项，基金托管人委托基金服务机构代为办理基金的核算、估值、复核等事项；</w:t>
      </w:r>
    </w:p>
    <w:p w14:paraId="7C4514A7"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6、基金管理人、基金托管人的法定名称、住所发生变更；</w:t>
      </w:r>
    </w:p>
    <w:p w14:paraId="01364328"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7、基金管理人变更持有百分之五以上股权的股东、基金管理人的实际控制人变更；</w:t>
      </w:r>
    </w:p>
    <w:p w14:paraId="19BB0C02"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8、基金募集期延长或提前结束募集；</w:t>
      </w:r>
    </w:p>
    <w:p w14:paraId="37C85E3A"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9、基金管理人高级管理人员、基金经理和基金托管人专门基金托管部门负责人发生变动；</w:t>
      </w:r>
    </w:p>
    <w:p w14:paraId="1CD3B093"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10、基金管理人的董事在最近12个月内变更超过百分之五十，基金管理人、基金托管人专门基金托管部门的主要业务人员在最近12个月内变动超过百分之三十；</w:t>
      </w:r>
    </w:p>
    <w:p w14:paraId="0029BCF1"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lastRenderedPageBreak/>
        <w:t>11、涉及基金财产、基金管理业务、基金托管业务的诉讼或者仲裁；</w:t>
      </w:r>
    </w:p>
    <w:p w14:paraId="5C420C3E"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12、基金管理人或其高级管理人员、基金经理因基金管理业务相关行为受到重大行政处罚、刑事处罚，基金托管人或其专门基金托管部门负责人因基金托管业务相关行为受到重大行政处罚、刑事处罚；</w:t>
      </w:r>
    </w:p>
    <w:p w14:paraId="6CDC842F"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13、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14:paraId="62C7E93F"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14、基金收益分配事项；</w:t>
      </w:r>
    </w:p>
    <w:p w14:paraId="2A4BFE90"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15、管理费、托管费、销售服务费、申购费、赎回费等费用计提标准、计提方式和费率发生变更；</w:t>
      </w:r>
    </w:p>
    <w:p w14:paraId="4071AAA3"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16、任一类基金份额净值估值错误达该类基金份额净值百分之零点五；</w:t>
      </w:r>
    </w:p>
    <w:p w14:paraId="63ABFE43"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17、本基金开始办理申购、赎回；</w:t>
      </w:r>
    </w:p>
    <w:p w14:paraId="58464261"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18、本基金发生巨额赎回并延期办理；</w:t>
      </w:r>
    </w:p>
    <w:p w14:paraId="1A6D6E9D"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19、本基金连续发生巨额赎回并暂停接受赎回申请或延缓支付赎回款项；</w:t>
      </w:r>
    </w:p>
    <w:p w14:paraId="73393BAC"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20、本基金暂停接受申购、赎回申请或重新接受申购、赎回申请；</w:t>
      </w:r>
    </w:p>
    <w:p w14:paraId="75B32FFD"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21、发生涉及基金申购、赎回事项调整或潜在影响投资者赎回等重大事项时；</w:t>
      </w:r>
    </w:p>
    <w:p w14:paraId="7644FC83"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22、基金管理人采用摆动定价机制进行估值；</w:t>
      </w:r>
    </w:p>
    <w:p w14:paraId="4F981451"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23、连续30、40、45个工作日出现基金份额持有人数量不满200人或者基金资产净值低于5000万元情形的，对基金合同可能面临终止的不确定性风险进行提示；</w:t>
      </w:r>
    </w:p>
    <w:p w14:paraId="18504277"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24、调整基金份额类别；</w:t>
      </w:r>
    </w:p>
    <w:p w14:paraId="5A129D4E"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25、基金推出新业务或服务；</w:t>
      </w:r>
    </w:p>
    <w:p w14:paraId="17299D85"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26、基金信息披露义务人认为可能对基金份额持有人权益或者基金份额的价格产生重大影响的其他事项或中国证监会规定的其他事项。</w:t>
      </w:r>
    </w:p>
    <w:p w14:paraId="328CA52C"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（八）澄清公告</w:t>
      </w:r>
    </w:p>
    <w:p w14:paraId="58A9691E"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在《基金合同》</w:t>
      </w:r>
      <w:r w:rsidR="005D19CD">
        <w:rPr>
          <w:rFonts w:ascii="宋体" w:hAnsi="宋体" w:cs="宋体" w:hint="eastAsia"/>
          <w:sz w:val="21"/>
          <w:szCs w:val="21"/>
        </w:rPr>
        <w:t>存续</w:t>
      </w:r>
      <w:r>
        <w:rPr>
          <w:rFonts w:ascii="宋体" w:hAnsi="宋体" w:cs="宋体"/>
          <w:sz w:val="21"/>
          <w:szCs w:val="21"/>
        </w:rPr>
        <w:t>期限内，任何公共媒介中出现的或者在市场上流传的消息可能对基金份额价格产生误导性影响或者引起较大波动，以及可能损害基金份额持有人权益的，相关信息披露义务人知悉后应当立即对该消息进行公开澄清。</w:t>
      </w:r>
    </w:p>
    <w:p w14:paraId="76327F75"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（九）基金份额持有人大会决议</w:t>
      </w:r>
    </w:p>
    <w:p w14:paraId="0A50AA5C"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基金份额持有人大会决定的事项，应当依法报中国证监会备案，并予以公告。</w:t>
      </w:r>
    </w:p>
    <w:p w14:paraId="53A452D4"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（十）清算报告</w:t>
      </w:r>
    </w:p>
    <w:p w14:paraId="620A6CD3"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基金合同终止的，基金管理人应当依法组织基金财产清算小组对基金财产进行清算并</w:t>
      </w:r>
      <w:proofErr w:type="gramStart"/>
      <w:r>
        <w:rPr>
          <w:rFonts w:ascii="宋体" w:hAnsi="宋体" w:cs="宋体"/>
          <w:sz w:val="21"/>
          <w:szCs w:val="21"/>
        </w:rPr>
        <w:t>作出</w:t>
      </w:r>
      <w:proofErr w:type="gramEnd"/>
      <w:r>
        <w:rPr>
          <w:rFonts w:ascii="宋体" w:hAnsi="宋体" w:cs="宋体"/>
          <w:sz w:val="21"/>
          <w:szCs w:val="21"/>
        </w:rPr>
        <w:t>清算报告。基金财产清算小组应当将清算报告登载在规定网站上，并将清算报告提示性公告登载在规定报刊上。</w:t>
      </w:r>
    </w:p>
    <w:p w14:paraId="44FDC460"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（十一）实施</w:t>
      </w:r>
      <w:proofErr w:type="gramStart"/>
      <w:r>
        <w:rPr>
          <w:rFonts w:ascii="宋体" w:hAnsi="宋体" w:cs="宋体"/>
          <w:sz w:val="21"/>
          <w:szCs w:val="21"/>
        </w:rPr>
        <w:t>侧袋机制</w:t>
      </w:r>
      <w:proofErr w:type="gramEnd"/>
      <w:r>
        <w:rPr>
          <w:rFonts w:ascii="宋体" w:hAnsi="宋体" w:cs="宋体"/>
          <w:sz w:val="21"/>
          <w:szCs w:val="21"/>
        </w:rPr>
        <w:t>期间的信息披露</w:t>
      </w:r>
    </w:p>
    <w:p w14:paraId="56637C07"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lastRenderedPageBreak/>
        <w:t>本基金实施</w:t>
      </w:r>
      <w:proofErr w:type="gramStart"/>
      <w:r>
        <w:rPr>
          <w:rFonts w:ascii="宋体" w:hAnsi="宋体" w:cs="宋体"/>
          <w:sz w:val="21"/>
          <w:szCs w:val="21"/>
        </w:rPr>
        <w:t>侧袋机制</w:t>
      </w:r>
      <w:proofErr w:type="gramEnd"/>
      <w:r>
        <w:rPr>
          <w:rFonts w:ascii="宋体" w:hAnsi="宋体" w:cs="宋体"/>
          <w:sz w:val="21"/>
          <w:szCs w:val="21"/>
        </w:rPr>
        <w:t>的，相关信息披露义务人应当根据法律法规、基金合同和招募说明书的规定进行信息披露，详见招募说明书的规定。</w:t>
      </w:r>
    </w:p>
    <w:p w14:paraId="4199FAA0"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（十二）中国证监会规定的其他信息</w:t>
      </w:r>
    </w:p>
    <w:p w14:paraId="4B309D0C"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若本基金投资港股通标的股票，基金管理人应当在季度报告、中期报告、年度报告等定期报告和招募说明书（更新）等文件中披露参与港股</w:t>
      </w:r>
      <w:proofErr w:type="gramStart"/>
      <w:r>
        <w:rPr>
          <w:rFonts w:ascii="宋体" w:hAnsi="宋体" w:cs="宋体"/>
          <w:sz w:val="21"/>
          <w:szCs w:val="21"/>
        </w:rPr>
        <w:t>通交易</w:t>
      </w:r>
      <w:proofErr w:type="gramEnd"/>
      <w:r>
        <w:rPr>
          <w:rFonts w:ascii="宋体" w:hAnsi="宋体" w:cs="宋体"/>
          <w:sz w:val="21"/>
          <w:szCs w:val="21"/>
        </w:rPr>
        <w:t>的相关情况。若中国证监会另有规定的，从其规定。</w:t>
      </w:r>
    </w:p>
    <w:p w14:paraId="2305B5CB"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若本基金投资股指期货，基金管理人应在季度报告、中期报告、年度报告等定期报告和更新的招募说明书等文件中披露股指期货交易情况，包括</w:t>
      </w:r>
      <w:r w:rsidR="00DD5F2F">
        <w:rPr>
          <w:rFonts w:ascii="宋体" w:hAnsi="宋体" w:cs="宋体"/>
          <w:sz w:val="21"/>
          <w:szCs w:val="21"/>
        </w:rPr>
        <w:t>交易</w:t>
      </w:r>
      <w:r>
        <w:rPr>
          <w:rFonts w:ascii="宋体" w:hAnsi="宋体" w:cs="宋体"/>
          <w:sz w:val="21"/>
          <w:szCs w:val="21"/>
        </w:rPr>
        <w:t>政策、持仓情况、损益情况、风险指标等，并充分揭示股指期货交易对基金总体风险的影响以及是否符合既定的</w:t>
      </w:r>
      <w:r w:rsidR="00DD5F2F">
        <w:rPr>
          <w:rFonts w:ascii="宋体" w:hAnsi="宋体" w:cs="宋体"/>
          <w:sz w:val="21"/>
          <w:szCs w:val="21"/>
        </w:rPr>
        <w:t>交易</w:t>
      </w:r>
      <w:r>
        <w:rPr>
          <w:rFonts w:ascii="宋体" w:hAnsi="宋体" w:cs="宋体"/>
          <w:sz w:val="21"/>
          <w:szCs w:val="21"/>
        </w:rPr>
        <w:t>政策和</w:t>
      </w:r>
      <w:r w:rsidR="00DD5F2F">
        <w:rPr>
          <w:rFonts w:ascii="宋体" w:hAnsi="宋体" w:cs="宋体"/>
          <w:sz w:val="21"/>
          <w:szCs w:val="21"/>
        </w:rPr>
        <w:t>交易</w:t>
      </w:r>
      <w:r>
        <w:rPr>
          <w:rFonts w:ascii="宋体" w:hAnsi="宋体" w:cs="宋体"/>
          <w:sz w:val="21"/>
          <w:szCs w:val="21"/>
        </w:rPr>
        <w:t>目标。</w:t>
      </w:r>
    </w:p>
    <w:p w14:paraId="2D1BFDD2"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若本基金投资资产支持证券，基金管理人应在基金年度报告及中期报告中披露其持有的资产支持证券总额、资产支持证券市值占基金净资产的比例和报告期内所有的资产支持证券明细。基金管理人应在基金季度报告中披露其持有的资产支持证券总额、资产支持证券市值占基金净资产的比例和报告期末按市值占基金净资产比例大小排序的前10名资产支持证券明细。</w:t>
      </w:r>
    </w:p>
    <w:p w14:paraId="25E5294C"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若本基金参与融资业务，基金管理人应当在季度报告、中期报告、年度报告等定期报告和招募说明书（更新）等文件中披露参与融资业务</w:t>
      </w:r>
      <w:r w:rsidR="005F6F96">
        <w:rPr>
          <w:rFonts w:ascii="宋体" w:hAnsi="宋体" w:cs="宋体"/>
          <w:sz w:val="21"/>
          <w:szCs w:val="21"/>
        </w:rPr>
        <w:t>的</w:t>
      </w:r>
      <w:r>
        <w:rPr>
          <w:rFonts w:ascii="宋体" w:hAnsi="宋体" w:cs="宋体"/>
          <w:sz w:val="21"/>
          <w:szCs w:val="21"/>
        </w:rPr>
        <w:t>交易情况，包括投资策略、业务开展情况、损益情况、风险及其管理情况等。</w:t>
      </w:r>
    </w:p>
    <w:p w14:paraId="636E1170"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六、信息披露事务管理</w:t>
      </w:r>
    </w:p>
    <w:p w14:paraId="109FE4CF"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基金管理人、基金托管人应当建立健全信息披露管理制度，指定专门部门及高级管理人员负责管理信息披露事务。</w:t>
      </w:r>
    </w:p>
    <w:p w14:paraId="61199AFC"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基金信息披露义务人公开披露基金信息，应当符合中国证监会相关基金信息披露内容与格式准则等法规的规定。</w:t>
      </w:r>
    </w:p>
    <w:p w14:paraId="2E5BA1D2"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基金托管人应当按照相关法律法规、中国证监会的规定和《基金合同》的约定，对基金管理人编制的基金资产净值、各类基金份额净值、基金份额申购赎回价格、基金定期报告、更新的招募说明书、基金产品资料概要、基金清算报告等公开披露的相关基金信息进行复核、审查，并向基金管理人进行书面或电子确认。</w:t>
      </w:r>
    </w:p>
    <w:p w14:paraId="0C5BBAD3"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基金管理人、基金托管人应当在规定报刊中选择一家报刊披露本基金信息。基金管理人、基金托管人应当向中国证监会基金电子披露网站报送拟披露的基金信息，并保证相关报送信息的真实、准确、完整、及时。</w:t>
      </w:r>
    </w:p>
    <w:p w14:paraId="361AF9B5"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基金管理人、基金托管人除依法在规定媒介上披露信息外，还可以根据需要在其他公共媒介披露信息，但是其他公共媒介不得早于规定媒介披露信息，并且在不同媒介上披露同一信息的内容应当一致。</w:t>
      </w:r>
    </w:p>
    <w:p w14:paraId="43EA726A"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基金管理人、基金托管人除按法律法规要求披露信息外，也可着眼于为投资者决策提</w:t>
      </w:r>
      <w:r>
        <w:rPr>
          <w:rFonts w:ascii="宋体" w:hAnsi="宋体" w:cs="宋体"/>
          <w:sz w:val="21"/>
          <w:szCs w:val="21"/>
        </w:rPr>
        <w:lastRenderedPageBreak/>
        <w:t>供有用信息的角度，在保证公平对待投资者、</w:t>
      </w:r>
      <w:proofErr w:type="gramStart"/>
      <w:r>
        <w:rPr>
          <w:rFonts w:ascii="宋体" w:hAnsi="宋体" w:cs="宋体"/>
          <w:sz w:val="21"/>
          <w:szCs w:val="21"/>
        </w:rPr>
        <w:t>不</w:t>
      </w:r>
      <w:proofErr w:type="gramEnd"/>
      <w:r>
        <w:rPr>
          <w:rFonts w:ascii="宋体" w:hAnsi="宋体" w:cs="宋体"/>
          <w:sz w:val="21"/>
          <w:szCs w:val="21"/>
        </w:rPr>
        <w:t>误导投资者、不影响基金正常投资操作的前提下，自主提升信息披露服务的质量。具体要求应当符合中国证监会及自律规则的相关规定。前述自主披露如产生信息披露费用，该费用不得从基金财产中列支。</w:t>
      </w:r>
    </w:p>
    <w:p w14:paraId="1434284C"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为基金信息披露义务人公开披露的基金信息出具审计报告、法律意见书的专业机构，应当制作工作底稿，并将相关档案至少保存到《基金合同》终止后10年，法律法规或监管规则另有规定的从其规定。</w:t>
      </w:r>
    </w:p>
    <w:p w14:paraId="2FFAB2A5"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七、信息披露文件的存放与查阅</w:t>
      </w:r>
    </w:p>
    <w:p w14:paraId="3FA41EE9"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依法必须披露的信息发布后，基金管理人、基金托管人应当按照相关法律法规规定将信息置备于公司住所，以供社会公众查阅、复制。</w:t>
      </w:r>
    </w:p>
    <w:p w14:paraId="1642A89D" w14:textId="77777777" w:rsidR="00567D74" w:rsidRDefault="00567D74">
      <w:pPr>
        <w:pStyle w:val="1"/>
        <w:keepLines/>
        <w:pageBreakBefore/>
        <w:widowControl w:val="0"/>
        <w:spacing w:before="210" w:after="0" w:line="360" w:lineRule="auto"/>
        <w:jc w:val="center"/>
        <w:rPr>
          <w:rFonts w:ascii="Times New Roman" w:eastAsia="Times New Roman" w:hAnsi="Times New Roman" w:cs="Times New Roman"/>
        </w:rPr>
      </w:pPr>
      <w:bookmarkStart w:id="20" w:name="_Toc256000018"/>
      <w:r>
        <w:rPr>
          <w:rFonts w:ascii="宋体" w:hAnsi="宋体" w:cs="宋体"/>
          <w:kern w:val="36"/>
          <w:sz w:val="24"/>
          <w:szCs w:val="24"/>
        </w:rPr>
        <w:lastRenderedPageBreak/>
        <w:t>第十九部分 基金合同的变更、终止与基金财产的清算</w:t>
      </w:r>
      <w:bookmarkEnd w:id="20"/>
    </w:p>
    <w:p w14:paraId="164B4BF4" w14:textId="77777777" w:rsidR="00567D74" w:rsidRDefault="00567D74">
      <w:pPr>
        <w:widowControl w:val="0"/>
        <w:spacing w:line="360" w:lineRule="auto"/>
        <w:jc w:val="both"/>
        <w:rPr>
          <w:rFonts w:ascii="宋体" w:hAnsi="宋体" w:cs="宋体"/>
          <w:sz w:val="21"/>
          <w:szCs w:val="21"/>
        </w:rPr>
      </w:pPr>
    </w:p>
    <w:p w14:paraId="61AD9CF7"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一、《基金合同》的变更</w:t>
      </w:r>
    </w:p>
    <w:p w14:paraId="5C6B9AF4" w14:textId="0938CFFB"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1、变更基金合同涉及法律法规规定或本基金合同约定应经基金份额持有人大会决议通过的事项的，应召</w:t>
      </w:r>
      <w:proofErr w:type="gramStart"/>
      <w:r>
        <w:rPr>
          <w:rFonts w:ascii="宋体" w:hAnsi="宋体" w:cs="宋体"/>
          <w:sz w:val="21"/>
          <w:szCs w:val="21"/>
        </w:rPr>
        <w:t>开基金</w:t>
      </w:r>
      <w:proofErr w:type="gramEnd"/>
      <w:r>
        <w:rPr>
          <w:rFonts w:ascii="宋体" w:hAnsi="宋体" w:cs="宋体"/>
          <w:sz w:val="21"/>
          <w:szCs w:val="21"/>
        </w:rPr>
        <w:t>份额持有人大会决议通过。对于法律法规规定和基金合同约定可不经基金份额持有人大会决议通过的事项，由基金管理人和基金托管人同意后变更并公告。</w:t>
      </w:r>
    </w:p>
    <w:p w14:paraId="272459B6"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2、关于《基金合同》变更的基金份额持有人大会决议自生效后方可执行，</w:t>
      </w:r>
      <w:proofErr w:type="gramStart"/>
      <w:r>
        <w:rPr>
          <w:rFonts w:ascii="宋体" w:hAnsi="宋体" w:cs="宋体"/>
          <w:sz w:val="21"/>
          <w:szCs w:val="21"/>
        </w:rPr>
        <w:t>自决议</w:t>
      </w:r>
      <w:proofErr w:type="gramEnd"/>
      <w:r>
        <w:rPr>
          <w:rFonts w:ascii="宋体" w:hAnsi="宋体" w:cs="宋体"/>
          <w:sz w:val="21"/>
          <w:szCs w:val="21"/>
        </w:rPr>
        <w:t>生效后两日内在规定媒介公告。</w:t>
      </w:r>
    </w:p>
    <w:p w14:paraId="38925124"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二、《基金合同》的终止事由</w:t>
      </w:r>
    </w:p>
    <w:p w14:paraId="603FAA7E"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有下列情形之一的，经履行相关程序后，《基金合同》应当终止：</w:t>
      </w:r>
    </w:p>
    <w:p w14:paraId="057C8A81"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1、基金份额持有人大会决定终止的；</w:t>
      </w:r>
    </w:p>
    <w:p w14:paraId="15DA2B77"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2、基金管理人、基金托管人职责终止，在6个月内没有新基金管理人、新基金托管人承接的；</w:t>
      </w:r>
    </w:p>
    <w:p w14:paraId="6DC23B56" w14:textId="77777777" w:rsidR="00DD5F2F" w:rsidRDefault="00567D74">
      <w:pPr>
        <w:widowControl w:val="0"/>
        <w:spacing w:line="360" w:lineRule="auto"/>
        <w:ind w:firstLine="420"/>
        <w:jc w:val="both"/>
        <w:rPr>
          <w:rFonts w:ascii="宋体" w:hAnsi="宋体" w:cs="宋体"/>
          <w:sz w:val="21"/>
          <w:szCs w:val="21"/>
        </w:rPr>
      </w:pPr>
      <w:r>
        <w:rPr>
          <w:rFonts w:ascii="宋体" w:hAnsi="宋体" w:cs="宋体"/>
          <w:sz w:val="21"/>
          <w:szCs w:val="21"/>
        </w:rPr>
        <w:t>3、</w:t>
      </w:r>
      <w:r w:rsidR="00DD5F2F" w:rsidRPr="00DD5F2F">
        <w:rPr>
          <w:rFonts w:ascii="宋体" w:hAnsi="宋体" w:cs="宋体" w:hint="eastAsia"/>
          <w:sz w:val="21"/>
          <w:szCs w:val="21"/>
        </w:rPr>
        <w:t>连续50个工作日出现基金份额持有人数量不满200人或者基金资产净值低于5000万元情形的；</w:t>
      </w:r>
    </w:p>
    <w:p w14:paraId="4F6B3A8B" w14:textId="77777777" w:rsidR="00567D74" w:rsidRDefault="00DD5F2F">
      <w:pPr>
        <w:widowControl w:val="0"/>
        <w:spacing w:line="360" w:lineRule="auto"/>
        <w:ind w:firstLine="420"/>
        <w:jc w:val="both"/>
        <w:rPr>
          <w:rFonts w:ascii="宋体" w:hAnsi="宋体" w:cs="宋体"/>
          <w:sz w:val="21"/>
          <w:szCs w:val="21"/>
        </w:rPr>
      </w:pPr>
      <w:r>
        <w:rPr>
          <w:rFonts w:ascii="宋体" w:hAnsi="宋体" w:cs="宋体" w:hint="eastAsia"/>
          <w:sz w:val="21"/>
          <w:szCs w:val="21"/>
        </w:rPr>
        <w:t>4、</w:t>
      </w:r>
      <w:r w:rsidR="00567D74">
        <w:rPr>
          <w:rFonts w:ascii="宋体" w:hAnsi="宋体" w:cs="宋体"/>
          <w:sz w:val="21"/>
          <w:szCs w:val="21"/>
        </w:rPr>
        <w:t>《基金合同》约定的其他情形；</w:t>
      </w:r>
    </w:p>
    <w:p w14:paraId="5FB1BA57" w14:textId="77777777" w:rsidR="00567D74" w:rsidRDefault="00DD5F2F">
      <w:pPr>
        <w:widowControl w:val="0"/>
        <w:spacing w:line="360" w:lineRule="auto"/>
        <w:ind w:firstLine="420"/>
        <w:jc w:val="both"/>
        <w:rPr>
          <w:rFonts w:ascii="宋体" w:hAnsi="宋体" w:cs="宋体"/>
          <w:sz w:val="21"/>
          <w:szCs w:val="21"/>
        </w:rPr>
      </w:pPr>
      <w:r>
        <w:rPr>
          <w:rFonts w:ascii="宋体" w:hAnsi="宋体" w:cs="宋体"/>
          <w:sz w:val="21"/>
          <w:szCs w:val="21"/>
        </w:rPr>
        <w:t>5</w:t>
      </w:r>
      <w:r w:rsidR="00567D74">
        <w:rPr>
          <w:rFonts w:ascii="宋体" w:hAnsi="宋体" w:cs="宋体"/>
          <w:sz w:val="21"/>
          <w:szCs w:val="21"/>
        </w:rPr>
        <w:t>、相关法律法规和中国证监会规定的其他情况。</w:t>
      </w:r>
    </w:p>
    <w:p w14:paraId="40467F43"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三、基金财产的清算</w:t>
      </w:r>
    </w:p>
    <w:p w14:paraId="6B8CF724"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1、基金财产清算小组：自出现《基金合同》终止事由之日起30个工作日内成立基金财产清算小组，基金管理人组织基金财产清算小组并在中国证监会的监督下进行基金清算。</w:t>
      </w:r>
    </w:p>
    <w:p w14:paraId="19F21D10"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2、基金财产清算小组组成：基金财产清算小组成员由基金管理人、基金托管人、注册会计师、律师以及中国证监会指定的人员组成。基金财产清算小组可以聘用必要的工作人员。</w:t>
      </w:r>
    </w:p>
    <w:p w14:paraId="7851A163"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3、基金财产清算小组职责：基金财产清算小组负责基金财产的保管、清理、估价、变现和分配。基金财产清算小组可以依法进行必要的民事活动。</w:t>
      </w:r>
    </w:p>
    <w:p w14:paraId="6EA9441B"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4、基金财产清算程序：</w:t>
      </w:r>
    </w:p>
    <w:p w14:paraId="6EA6A46F"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（1）《基金合同》终止情形出现</w:t>
      </w:r>
      <w:proofErr w:type="gramStart"/>
      <w:r>
        <w:rPr>
          <w:rFonts w:ascii="宋体" w:hAnsi="宋体" w:cs="宋体"/>
          <w:sz w:val="21"/>
          <w:szCs w:val="21"/>
        </w:rPr>
        <w:t>且基金</w:t>
      </w:r>
      <w:proofErr w:type="gramEnd"/>
      <w:r>
        <w:rPr>
          <w:rFonts w:ascii="宋体" w:hAnsi="宋体" w:cs="宋体"/>
          <w:sz w:val="21"/>
          <w:szCs w:val="21"/>
        </w:rPr>
        <w:t>财产清算小组成立后，由基金财产清算小组统一接管基金；</w:t>
      </w:r>
    </w:p>
    <w:p w14:paraId="09FF346F"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（2）对基金财产和债权债务进行清理和确认；</w:t>
      </w:r>
    </w:p>
    <w:p w14:paraId="1E8B2E6A"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（3）对基金财产进行估值和变现；</w:t>
      </w:r>
    </w:p>
    <w:p w14:paraId="5C8052CD"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（4）制作清算报告；</w:t>
      </w:r>
    </w:p>
    <w:p w14:paraId="41F56873"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（5）聘请会计师事务所对清算报告进行外部审计，聘请律师事务所对清算报告出具法律意见书；</w:t>
      </w:r>
    </w:p>
    <w:p w14:paraId="7EB4E5C8"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（6）将清算报告报中国证监会备案并公告；</w:t>
      </w:r>
    </w:p>
    <w:p w14:paraId="7CE019F8"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lastRenderedPageBreak/>
        <w:t>（7）对基金剩余财产进行分配。</w:t>
      </w:r>
    </w:p>
    <w:p w14:paraId="3C514A16"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5、基金财产清算的期限为6个月，但因本基金所持证券的流动性受到限制而不能及时变现的，清算期限相应顺延。</w:t>
      </w:r>
    </w:p>
    <w:p w14:paraId="159405BC"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四、清算费用</w:t>
      </w:r>
    </w:p>
    <w:p w14:paraId="6AACCBAB"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清算费用是指基金财产清算小组在进行基金清算过程中发生的所有合理费用，清算费用由基金财产清算小组优先从基金剩余财产中支付。</w:t>
      </w:r>
    </w:p>
    <w:p w14:paraId="020E5F2D"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五、基金财产清算剩余资产的分配</w:t>
      </w:r>
    </w:p>
    <w:p w14:paraId="7C660514"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依据基金财产清算的分配方案，将基金财产清算后的全部剩余资产扣除基金财产清算费用、交纳所欠税款并清偿基金债务后，按基金份额持有人持有的基金份额比例进行分配。</w:t>
      </w:r>
    </w:p>
    <w:p w14:paraId="70DDD843"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六、基金财产清算的公告</w:t>
      </w:r>
    </w:p>
    <w:p w14:paraId="09BE66D3"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清算过程中的有关重大事项须及时公告；基金财产清算报告</w:t>
      </w:r>
      <w:proofErr w:type="gramStart"/>
      <w:r>
        <w:rPr>
          <w:rFonts w:ascii="宋体" w:hAnsi="宋体" w:cs="宋体"/>
          <w:sz w:val="21"/>
          <w:szCs w:val="21"/>
        </w:rPr>
        <w:t>经符合</w:t>
      </w:r>
      <w:proofErr w:type="gramEnd"/>
      <w:r>
        <w:rPr>
          <w:rFonts w:ascii="宋体" w:hAnsi="宋体" w:cs="宋体"/>
          <w:sz w:val="21"/>
          <w:szCs w:val="21"/>
        </w:rPr>
        <w:t>《中华人民共和国证券法》规定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规定网站上，并将清算报告提示性公告登载在规定报刊上。</w:t>
      </w:r>
    </w:p>
    <w:p w14:paraId="687B5017"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七、基金财产清算账册及文件的保存</w:t>
      </w:r>
    </w:p>
    <w:p w14:paraId="5DBC7F56"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基金财产清算账册及有关文件由基金托管人保存，保存期限不低于法定最低期限。</w:t>
      </w:r>
    </w:p>
    <w:p w14:paraId="236DDF2F" w14:textId="77777777" w:rsidR="00567D74" w:rsidRDefault="00567D74">
      <w:pPr>
        <w:pStyle w:val="1"/>
        <w:keepLines/>
        <w:pageBreakBefore/>
        <w:widowControl w:val="0"/>
        <w:spacing w:before="210" w:after="0" w:line="360" w:lineRule="auto"/>
        <w:jc w:val="center"/>
        <w:rPr>
          <w:rFonts w:ascii="Times New Roman" w:eastAsia="Times New Roman" w:hAnsi="Times New Roman" w:cs="Times New Roman"/>
        </w:rPr>
      </w:pPr>
      <w:bookmarkStart w:id="21" w:name="_Toc256000019"/>
      <w:r>
        <w:rPr>
          <w:rFonts w:ascii="宋体" w:hAnsi="宋体" w:cs="宋体"/>
          <w:kern w:val="36"/>
          <w:sz w:val="24"/>
          <w:szCs w:val="24"/>
        </w:rPr>
        <w:lastRenderedPageBreak/>
        <w:t>第二十部分 违约责任</w:t>
      </w:r>
      <w:bookmarkEnd w:id="21"/>
    </w:p>
    <w:p w14:paraId="4917D8DA" w14:textId="77777777" w:rsidR="00567D74" w:rsidRDefault="00567D74">
      <w:pPr>
        <w:widowControl w:val="0"/>
        <w:spacing w:line="360" w:lineRule="auto"/>
        <w:jc w:val="both"/>
        <w:rPr>
          <w:rFonts w:ascii="宋体" w:hAnsi="宋体" w:cs="宋体"/>
          <w:sz w:val="21"/>
          <w:szCs w:val="21"/>
        </w:rPr>
      </w:pPr>
    </w:p>
    <w:p w14:paraId="32E707AD"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但是如发生下列情况，当事人免责：</w:t>
      </w:r>
    </w:p>
    <w:p w14:paraId="641E4193"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1、不可抗力；</w:t>
      </w:r>
    </w:p>
    <w:p w14:paraId="77C69A69"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2、基金管理人和/或基金托管人按照当时有效的法律法规或中国证监会的规定作为或不作为而造成的损失等；</w:t>
      </w:r>
    </w:p>
    <w:p w14:paraId="191EB192"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3、基金管理人由于按照基金合同规定的投资原则行使或不行使投资权造成的损失等。</w:t>
      </w:r>
    </w:p>
    <w:p w14:paraId="498EF898"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p>
    <w:p w14:paraId="0CE3AECC"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或减轻由此造成的影响。</w:t>
      </w:r>
    </w:p>
    <w:p w14:paraId="15B577D7" w14:textId="77777777" w:rsidR="00567D74" w:rsidRDefault="00567D74">
      <w:pPr>
        <w:pStyle w:val="1"/>
        <w:keepLines/>
        <w:pageBreakBefore/>
        <w:widowControl w:val="0"/>
        <w:spacing w:before="0" w:after="0" w:line="360" w:lineRule="auto"/>
        <w:jc w:val="center"/>
        <w:rPr>
          <w:rFonts w:ascii="Times New Roman" w:eastAsia="Times New Roman" w:hAnsi="Times New Roman" w:cs="Times New Roman"/>
        </w:rPr>
      </w:pPr>
      <w:bookmarkStart w:id="22" w:name="_Toc256000020"/>
      <w:r>
        <w:rPr>
          <w:rFonts w:ascii="宋体" w:hAnsi="宋体" w:cs="宋体"/>
          <w:kern w:val="36"/>
          <w:sz w:val="24"/>
          <w:szCs w:val="24"/>
        </w:rPr>
        <w:lastRenderedPageBreak/>
        <w:t>第二十一部分 争议的处理和适用的法律</w:t>
      </w:r>
      <w:bookmarkEnd w:id="22"/>
    </w:p>
    <w:p w14:paraId="6DC341A1" w14:textId="77777777" w:rsidR="00567D74" w:rsidRDefault="00567D74">
      <w:pPr>
        <w:widowControl w:val="0"/>
        <w:spacing w:line="360" w:lineRule="auto"/>
        <w:jc w:val="both"/>
        <w:rPr>
          <w:rFonts w:ascii="宋体" w:hAnsi="宋体" w:cs="宋体"/>
          <w:sz w:val="21"/>
          <w:szCs w:val="21"/>
        </w:rPr>
      </w:pPr>
    </w:p>
    <w:p w14:paraId="76B9A51C"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b/>
          <w:bCs/>
          <w:sz w:val="21"/>
          <w:szCs w:val="21"/>
        </w:rPr>
        <w:t>各方当事人同意，因《基金合同》而产生的或与《基金合同》有关的一切争议，如经友好协商未能解决的，任何一方均有权将争议提交</w:t>
      </w:r>
      <w:r w:rsidR="00AD7F1E" w:rsidRPr="00AD7F1E">
        <w:rPr>
          <w:rFonts w:ascii="宋体" w:hAnsi="宋体" w:cs="宋体" w:hint="eastAsia"/>
          <w:b/>
          <w:bCs/>
          <w:sz w:val="21"/>
          <w:szCs w:val="21"/>
        </w:rPr>
        <w:t>中国国际经济贸易仲裁委员会</w:t>
      </w:r>
      <w:r>
        <w:rPr>
          <w:rFonts w:ascii="宋体" w:hAnsi="宋体" w:cs="宋体"/>
          <w:b/>
          <w:bCs/>
          <w:sz w:val="21"/>
          <w:szCs w:val="21"/>
        </w:rPr>
        <w:t>，按照</w:t>
      </w:r>
      <w:r w:rsidR="00AD7F1E" w:rsidRPr="00AD7F1E">
        <w:rPr>
          <w:rFonts w:ascii="宋体" w:hAnsi="宋体" w:cs="宋体" w:hint="eastAsia"/>
          <w:b/>
          <w:bCs/>
          <w:sz w:val="21"/>
          <w:szCs w:val="21"/>
        </w:rPr>
        <w:t>中国国际经济贸易仲裁委员会</w:t>
      </w:r>
      <w:r>
        <w:rPr>
          <w:rFonts w:ascii="宋体" w:hAnsi="宋体" w:cs="宋体"/>
          <w:b/>
          <w:bCs/>
          <w:sz w:val="21"/>
          <w:szCs w:val="21"/>
        </w:rPr>
        <w:t>届时有效的仲裁规则进行仲裁。</w:t>
      </w:r>
      <w:r w:rsidR="00AD7F1E">
        <w:rPr>
          <w:rFonts w:ascii="宋体" w:hAnsi="宋体" w:cs="宋体"/>
          <w:b/>
          <w:bCs/>
          <w:sz w:val="21"/>
          <w:szCs w:val="21"/>
        </w:rPr>
        <w:t>仲裁地点为</w:t>
      </w:r>
      <w:r w:rsidR="00AD7F1E">
        <w:rPr>
          <w:rFonts w:ascii="宋体" w:hAnsi="宋体" w:cs="宋体" w:hint="eastAsia"/>
          <w:b/>
          <w:bCs/>
          <w:sz w:val="21"/>
          <w:szCs w:val="21"/>
        </w:rPr>
        <w:t>北京</w:t>
      </w:r>
      <w:r w:rsidR="00AD7F1E">
        <w:rPr>
          <w:rFonts w:ascii="宋体" w:hAnsi="宋体" w:cs="宋体"/>
          <w:b/>
          <w:bCs/>
          <w:sz w:val="21"/>
          <w:szCs w:val="21"/>
        </w:rPr>
        <w:t>市</w:t>
      </w:r>
      <w:r>
        <w:rPr>
          <w:rFonts w:ascii="宋体" w:hAnsi="宋体" w:cs="宋体"/>
          <w:b/>
          <w:bCs/>
          <w:sz w:val="21"/>
          <w:szCs w:val="21"/>
        </w:rPr>
        <w:t>。仲裁裁决是终局的，对各方当事人均有约束力。除非仲裁裁决另有规定，仲裁费用由败诉方承担。</w:t>
      </w:r>
    </w:p>
    <w:p w14:paraId="4B002B77" w14:textId="77777777" w:rsidR="00567D74" w:rsidRDefault="00567D74">
      <w:pPr>
        <w:widowControl w:val="0"/>
        <w:spacing w:line="360" w:lineRule="auto"/>
        <w:ind w:firstLine="420"/>
        <w:jc w:val="both"/>
        <w:rPr>
          <w:rFonts w:ascii="宋体" w:hAnsi="宋体" w:cs="宋体"/>
          <w:b/>
          <w:bCs/>
          <w:sz w:val="21"/>
          <w:szCs w:val="21"/>
        </w:rPr>
      </w:pPr>
      <w:r>
        <w:rPr>
          <w:rFonts w:ascii="宋体" w:hAnsi="宋体" w:cs="宋体"/>
          <w:b/>
          <w:bCs/>
          <w:sz w:val="21"/>
          <w:szCs w:val="21"/>
        </w:rPr>
        <w:t>争议处理期间，</w:t>
      </w:r>
      <w:r w:rsidR="00F0383D">
        <w:rPr>
          <w:rFonts w:ascii="宋体" w:hAnsi="宋体" w:cs="宋体" w:hint="eastAsia"/>
          <w:b/>
          <w:bCs/>
          <w:sz w:val="21"/>
          <w:szCs w:val="21"/>
        </w:rPr>
        <w:t>基金合同</w:t>
      </w:r>
      <w:r w:rsidR="00F0383D">
        <w:rPr>
          <w:rFonts w:ascii="宋体" w:hAnsi="宋体" w:cs="宋体"/>
          <w:b/>
          <w:bCs/>
          <w:sz w:val="21"/>
          <w:szCs w:val="21"/>
        </w:rPr>
        <w:t>当事人</w:t>
      </w:r>
      <w:r>
        <w:rPr>
          <w:rFonts w:ascii="宋体" w:hAnsi="宋体" w:cs="宋体"/>
          <w:b/>
          <w:bCs/>
          <w:sz w:val="21"/>
          <w:szCs w:val="21"/>
        </w:rPr>
        <w:t>应恪守各自的职责，继续忠实、勤勉、尽责地履行基金合同规定的义务，维护基金份额持有人的合法权益。</w:t>
      </w:r>
    </w:p>
    <w:p w14:paraId="60905DA7" w14:textId="77777777" w:rsidR="00567D74" w:rsidRDefault="00567D74">
      <w:pPr>
        <w:widowControl w:val="0"/>
        <w:spacing w:line="360" w:lineRule="auto"/>
        <w:ind w:firstLine="420"/>
        <w:jc w:val="both"/>
        <w:rPr>
          <w:rFonts w:ascii="宋体" w:hAnsi="宋体" w:cs="宋体"/>
          <w:b/>
          <w:bCs/>
          <w:sz w:val="21"/>
          <w:szCs w:val="21"/>
        </w:rPr>
      </w:pPr>
      <w:r>
        <w:rPr>
          <w:rFonts w:ascii="宋体" w:hAnsi="宋体" w:cs="宋体"/>
          <w:b/>
          <w:bCs/>
          <w:sz w:val="21"/>
          <w:szCs w:val="21"/>
        </w:rPr>
        <w:t>《基金合同》受中国法律（为本基金合同之目的，不包括香港特别行政区、澳门特别行政区和台湾地区法律）管辖。</w:t>
      </w:r>
    </w:p>
    <w:p w14:paraId="1D65BF50" w14:textId="77777777" w:rsidR="00567D74" w:rsidRDefault="00567D74">
      <w:pPr>
        <w:pStyle w:val="1"/>
        <w:keepLines/>
        <w:pageBreakBefore/>
        <w:widowControl w:val="0"/>
        <w:spacing w:before="210" w:after="0" w:line="360" w:lineRule="auto"/>
        <w:jc w:val="center"/>
        <w:rPr>
          <w:rFonts w:ascii="Times New Roman" w:eastAsia="Times New Roman" w:hAnsi="Times New Roman" w:cs="Times New Roman"/>
        </w:rPr>
      </w:pPr>
      <w:bookmarkStart w:id="23" w:name="_Toc256000021"/>
      <w:r>
        <w:rPr>
          <w:rFonts w:ascii="宋体" w:hAnsi="宋体" w:cs="宋体"/>
          <w:kern w:val="36"/>
          <w:sz w:val="24"/>
          <w:szCs w:val="24"/>
        </w:rPr>
        <w:lastRenderedPageBreak/>
        <w:t>第二十二部分 基金合同的效力</w:t>
      </w:r>
      <w:bookmarkEnd w:id="23"/>
    </w:p>
    <w:p w14:paraId="63692C43" w14:textId="77777777" w:rsidR="00567D74" w:rsidRDefault="00567D74">
      <w:pPr>
        <w:widowControl w:val="0"/>
        <w:spacing w:line="360" w:lineRule="auto"/>
        <w:jc w:val="both"/>
        <w:rPr>
          <w:rFonts w:ascii="宋体" w:hAnsi="宋体" w:cs="宋体"/>
          <w:sz w:val="21"/>
          <w:szCs w:val="21"/>
        </w:rPr>
      </w:pPr>
    </w:p>
    <w:p w14:paraId="54D3FC20"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《基金合同》是约定基金合同当事人之间权利义务关系的法律文件。</w:t>
      </w:r>
    </w:p>
    <w:p w14:paraId="637C4624"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1、《基金合同》经基金管理人、基金托管人双方盖章以及双方法定代表人或授权代表签字/签章并在募集结束后经基金管理人向中国证监会办理基金备案手续，并经中国证监会书面确认后生效。</w:t>
      </w:r>
    </w:p>
    <w:p w14:paraId="319BD036"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2、《基金合同》的有效期自其生效之日起至基金财产清算结果报中国证监会备案并公告之日止。</w:t>
      </w:r>
    </w:p>
    <w:p w14:paraId="418F6821"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3、《基金合同》自生效之日起对包括基金管理人、基金托管人和基金份额持有人在内的《基金合同》各方当事人具有同等的法律约束力。</w:t>
      </w:r>
    </w:p>
    <w:p w14:paraId="359AA2E4"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4、《基金合同》正本一式</w:t>
      </w:r>
      <w:r w:rsidR="00AF3738">
        <w:rPr>
          <w:rFonts w:ascii="宋体" w:hAnsi="宋体" w:cs="宋体"/>
          <w:sz w:val="21"/>
          <w:szCs w:val="21"/>
        </w:rPr>
        <w:t>六</w:t>
      </w:r>
      <w:r>
        <w:rPr>
          <w:rFonts w:ascii="宋体" w:hAnsi="宋体" w:cs="宋体"/>
          <w:sz w:val="21"/>
          <w:szCs w:val="21"/>
        </w:rPr>
        <w:t>份，除上报有关监管机构</w:t>
      </w:r>
      <w:r w:rsidR="00AF3738">
        <w:rPr>
          <w:rFonts w:ascii="宋体" w:hAnsi="宋体" w:cs="宋体"/>
          <w:sz w:val="21"/>
          <w:szCs w:val="21"/>
        </w:rPr>
        <w:t>二</w:t>
      </w:r>
      <w:r>
        <w:rPr>
          <w:rFonts w:ascii="宋体" w:hAnsi="宋体" w:cs="宋体"/>
          <w:sz w:val="21"/>
          <w:szCs w:val="21"/>
        </w:rPr>
        <w:t>份外，基金管理人、基金托管人各持有</w:t>
      </w:r>
      <w:r w:rsidR="00AF3738">
        <w:rPr>
          <w:rFonts w:ascii="宋体" w:hAnsi="宋体" w:cs="宋体"/>
          <w:sz w:val="21"/>
          <w:szCs w:val="21"/>
        </w:rPr>
        <w:t>二</w:t>
      </w:r>
      <w:r>
        <w:rPr>
          <w:rFonts w:ascii="宋体" w:hAnsi="宋体" w:cs="宋体"/>
          <w:sz w:val="21"/>
          <w:szCs w:val="21"/>
        </w:rPr>
        <w:t>份，每份具有同等的法律效力。</w:t>
      </w:r>
    </w:p>
    <w:p w14:paraId="0867C3B2"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5、《基金合同》可印制成册，供投资者在基金管理人、基金托管人、销售机构的办公场所和营业场所查阅。</w:t>
      </w:r>
    </w:p>
    <w:p w14:paraId="0FCB465A" w14:textId="77777777" w:rsidR="00567D74" w:rsidRDefault="00567D74">
      <w:pPr>
        <w:pStyle w:val="1"/>
        <w:keepLines/>
        <w:pageBreakBefore/>
        <w:widowControl w:val="0"/>
        <w:spacing w:before="0" w:after="0" w:line="360" w:lineRule="auto"/>
        <w:jc w:val="center"/>
        <w:rPr>
          <w:rFonts w:ascii="Times New Roman" w:eastAsia="Times New Roman" w:hAnsi="Times New Roman" w:cs="Times New Roman"/>
        </w:rPr>
      </w:pPr>
      <w:bookmarkStart w:id="24" w:name="_Toc256000022"/>
      <w:r>
        <w:rPr>
          <w:rFonts w:ascii="宋体" w:hAnsi="宋体" w:cs="宋体"/>
          <w:kern w:val="36"/>
          <w:sz w:val="24"/>
          <w:szCs w:val="24"/>
        </w:rPr>
        <w:lastRenderedPageBreak/>
        <w:t>第二十三部分 其他事项</w:t>
      </w:r>
      <w:bookmarkEnd w:id="24"/>
    </w:p>
    <w:p w14:paraId="0456B780" w14:textId="77777777" w:rsidR="00567D74" w:rsidRDefault="00567D74">
      <w:pPr>
        <w:widowControl w:val="0"/>
        <w:spacing w:line="360" w:lineRule="auto"/>
        <w:jc w:val="both"/>
        <w:rPr>
          <w:rFonts w:ascii="宋体" w:hAnsi="宋体" w:cs="宋体"/>
          <w:sz w:val="21"/>
          <w:szCs w:val="21"/>
        </w:rPr>
      </w:pPr>
    </w:p>
    <w:p w14:paraId="0DCA63F3" w14:textId="77777777" w:rsidR="00567D74" w:rsidRDefault="00567D74">
      <w:pPr>
        <w:widowControl w:val="0"/>
        <w:spacing w:line="360" w:lineRule="auto"/>
        <w:ind w:firstLine="420"/>
        <w:rPr>
          <w:rFonts w:ascii="宋体" w:hAnsi="宋体" w:cs="宋体"/>
          <w:sz w:val="21"/>
          <w:szCs w:val="21"/>
        </w:rPr>
      </w:pPr>
      <w:r>
        <w:rPr>
          <w:rFonts w:ascii="宋体" w:hAnsi="宋体" w:cs="宋体"/>
          <w:sz w:val="21"/>
          <w:szCs w:val="21"/>
        </w:rPr>
        <w:t>《基金合同》如有未尽事宜，由《基金合同》当事人各方按有关法律法规协商解决。</w:t>
      </w:r>
    </w:p>
    <w:p w14:paraId="28690877" w14:textId="77777777" w:rsidR="00567D74" w:rsidRDefault="00567D74">
      <w:pPr>
        <w:pStyle w:val="1"/>
        <w:keepLines/>
        <w:pageBreakBefore/>
        <w:widowControl w:val="0"/>
        <w:spacing w:before="0" w:after="0" w:line="360" w:lineRule="auto"/>
        <w:jc w:val="center"/>
        <w:rPr>
          <w:rFonts w:ascii="Times New Roman" w:eastAsia="Times New Roman" w:hAnsi="Times New Roman" w:cs="Times New Roman"/>
        </w:rPr>
      </w:pPr>
      <w:bookmarkStart w:id="25" w:name="_Toc256000023"/>
      <w:r>
        <w:rPr>
          <w:rFonts w:ascii="宋体" w:hAnsi="宋体" w:cs="宋体"/>
          <w:kern w:val="36"/>
          <w:sz w:val="24"/>
          <w:szCs w:val="24"/>
        </w:rPr>
        <w:lastRenderedPageBreak/>
        <w:t>第二十四部分 基金合同内容摘要</w:t>
      </w:r>
      <w:bookmarkEnd w:id="25"/>
    </w:p>
    <w:p w14:paraId="607696FE" w14:textId="77777777" w:rsidR="00567D74" w:rsidRDefault="00567D74">
      <w:pPr>
        <w:widowControl w:val="0"/>
        <w:spacing w:line="360" w:lineRule="auto"/>
        <w:jc w:val="both"/>
        <w:rPr>
          <w:rFonts w:ascii="宋体" w:hAnsi="宋体" w:cs="宋体"/>
          <w:sz w:val="21"/>
          <w:szCs w:val="21"/>
        </w:rPr>
      </w:pPr>
    </w:p>
    <w:p w14:paraId="408B7F57"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b/>
          <w:bCs/>
          <w:sz w:val="21"/>
          <w:szCs w:val="21"/>
        </w:rPr>
        <w:t>第一、基金份额持有人、基金管理人和基金托管人的权利、义务</w:t>
      </w:r>
    </w:p>
    <w:p w14:paraId="42A10A1E"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一、基金份额持有人的权利、义务</w:t>
      </w:r>
    </w:p>
    <w:p w14:paraId="370DEEC0"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基金投资者持有本</w:t>
      </w:r>
      <w:proofErr w:type="gramStart"/>
      <w:r>
        <w:rPr>
          <w:rFonts w:ascii="宋体" w:hAnsi="宋体" w:cs="宋体"/>
          <w:sz w:val="21"/>
          <w:szCs w:val="21"/>
        </w:rPr>
        <w:t>基金基金</w:t>
      </w:r>
      <w:proofErr w:type="gramEnd"/>
      <w:r>
        <w:rPr>
          <w:rFonts w:ascii="宋体" w:hAnsi="宋体" w:cs="宋体"/>
          <w:sz w:val="21"/>
          <w:szCs w:val="21"/>
        </w:rPr>
        <w:t>份额的行为即视为对《基金合同》的承认和接受，基金投资者</w:t>
      </w:r>
      <w:proofErr w:type="gramStart"/>
      <w:r>
        <w:rPr>
          <w:rFonts w:ascii="宋体" w:hAnsi="宋体" w:cs="宋体"/>
          <w:sz w:val="21"/>
          <w:szCs w:val="21"/>
        </w:rPr>
        <w:t>自依据</w:t>
      </w:r>
      <w:proofErr w:type="gramEnd"/>
      <w:r>
        <w:rPr>
          <w:rFonts w:ascii="宋体" w:hAnsi="宋体" w:cs="宋体"/>
          <w:sz w:val="21"/>
          <w:szCs w:val="21"/>
        </w:rPr>
        <w:t>《基金合同》取得基金份额，即成为本</w:t>
      </w:r>
      <w:proofErr w:type="gramStart"/>
      <w:r>
        <w:rPr>
          <w:rFonts w:ascii="宋体" w:hAnsi="宋体" w:cs="宋体"/>
          <w:sz w:val="21"/>
          <w:szCs w:val="21"/>
        </w:rPr>
        <w:t>基金基金</w:t>
      </w:r>
      <w:proofErr w:type="gramEnd"/>
      <w:r>
        <w:rPr>
          <w:rFonts w:ascii="宋体" w:hAnsi="宋体" w:cs="宋体"/>
          <w:sz w:val="21"/>
          <w:szCs w:val="21"/>
        </w:rPr>
        <w:t>份额持有人和《基金合同》的当事人，直至其不再持有本基金的基金份额。基金份额持有人作为《基金合同》当事人并不以在《基金合同》上书面签章或签字为必要条件。</w:t>
      </w:r>
    </w:p>
    <w:p w14:paraId="2C8D0B07"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同一类别每份基金份额具有同等的合法权益。</w:t>
      </w:r>
    </w:p>
    <w:p w14:paraId="39ECC5C3"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1、根据《基金法》、《运作办法》及其他有关规定，基金份额持有人的权利包括但不限于：</w:t>
      </w:r>
    </w:p>
    <w:p w14:paraId="4B6BA8D9"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（1）分享基金财产收益；</w:t>
      </w:r>
    </w:p>
    <w:p w14:paraId="7C3972F5"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（2）参与分配清算后的剩余基金财产；</w:t>
      </w:r>
    </w:p>
    <w:p w14:paraId="42FC10F2"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（3）依法转让或者申请赎回其持有的基金份额；</w:t>
      </w:r>
    </w:p>
    <w:p w14:paraId="5B22FC23"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（4）按照规定要求召开基金份额持有人大会或者召集基金份额持有人大会；</w:t>
      </w:r>
    </w:p>
    <w:p w14:paraId="682FBDF4"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（5）出席或者委派代表出席基金份额持有人大会，对基金份额持有人大会审议事项行使表决权；</w:t>
      </w:r>
    </w:p>
    <w:p w14:paraId="0A97216B"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（6）查阅或者复制公开披露的基金信息资料；</w:t>
      </w:r>
    </w:p>
    <w:p w14:paraId="62E9CF4D"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（7）监督基金管理人的投资运作；</w:t>
      </w:r>
    </w:p>
    <w:p w14:paraId="3EC2971D"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（8）对基金管理人、基金托管人、基金服务机构损害其合法权益的行为依法提起诉讼或仲裁；</w:t>
      </w:r>
    </w:p>
    <w:p w14:paraId="4A2BFAB7"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（9）法律法规及中国证监会规定的和《基金合同》约定的其他权利。</w:t>
      </w:r>
    </w:p>
    <w:p w14:paraId="143E2DC1"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2、根据《基金法》、《运作办法》及其他有关规定，基金份额持有人的义务包括但不限于：</w:t>
      </w:r>
    </w:p>
    <w:p w14:paraId="306DEE7A"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（1）认真阅读并遵守《基金合同》、招募说明书等信息披露文件；</w:t>
      </w:r>
    </w:p>
    <w:p w14:paraId="04627BFE"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（2）了解所投资基金产品，了解自身风险承受能力，自主判断基金的投资价值，自主做出投资决策，自行承担投资风险；</w:t>
      </w:r>
    </w:p>
    <w:p w14:paraId="513B5F31"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（3）关注基金信息披露，及时行使权利和履行义务；</w:t>
      </w:r>
    </w:p>
    <w:p w14:paraId="6DBFC32C"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（4）交纳基金认购、申购款项及法律法规和《基金合同》所规定的费用；</w:t>
      </w:r>
    </w:p>
    <w:p w14:paraId="70AF7028"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（5）在其持有的基金份额范围内，承担基金亏损或者《基金合同》终止的有限责任；</w:t>
      </w:r>
    </w:p>
    <w:p w14:paraId="156EB46E"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（6）不从事任何有损基金及其他《基金合同》当事人合法权益的活动；</w:t>
      </w:r>
    </w:p>
    <w:p w14:paraId="530CAA37"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（7）执行生效的基金份额持有人大会的决议；</w:t>
      </w:r>
    </w:p>
    <w:p w14:paraId="27EADA0C"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（8）返还在基金交易过程中因任何原因获得的不当得利；</w:t>
      </w:r>
    </w:p>
    <w:p w14:paraId="77BBBE92"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（9）法律法规及中国证监会规定的和《基金合同》约定的其他义务。</w:t>
      </w:r>
    </w:p>
    <w:p w14:paraId="788ADA6D"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lastRenderedPageBreak/>
        <w:t>二、基金管理人的权利、义务</w:t>
      </w:r>
    </w:p>
    <w:p w14:paraId="01EA7D50"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1、根据《基金法》、《运作办法》及其他有关规定，基金管理人的权利包括但不限于：</w:t>
      </w:r>
    </w:p>
    <w:p w14:paraId="1BD62754"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（1）依法募集资金；</w:t>
      </w:r>
    </w:p>
    <w:p w14:paraId="01AF7D04"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（2）自《基金合同》生效之日起，根据法律法规和《基金合同》独立运用并管理基金财产；</w:t>
      </w:r>
    </w:p>
    <w:p w14:paraId="445BAF1C"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（3）依照《基金合同》收取基金管理费以及法律法规规定或中国证监会批准的其他费用；</w:t>
      </w:r>
    </w:p>
    <w:p w14:paraId="0C59A8E8"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（4）销售基金份额；</w:t>
      </w:r>
    </w:p>
    <w:p w14:paraId="66B18DB1"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（5）按照规定召集基金份额持有人大会；</w:t>
      </w:r>
    </w:p>
    <w:p w14:paraId="4495AF18"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（6）依据《基金合同》及有关法律规定监督基金托管人，如认为基金托管人违反了《基金合同》及国家有关法律规定，应呈报中国证监会和其他监管部门，并采取必要措施保护基金投资者的利益；</w:t>
      </w:r>
    </w:p>
    <w:p w14:paraId="3D6B05DC"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（7）在基金托管人更换时，提名新的基金托管人；</w:t>
      </w:r>
    </w:p>
    <w:p w14:paraId="4DCC901A"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（8）选择、更换基金销售机构，对基金销售机构的相关行为进行监督和处理；</w:t>
      </w:r>
    </w:p>
    <w:p w14:paraId="3BC124B7"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（9）担任或委托其他符合条件的机构担任基金登记机构办理基金登记业务并获得《基金合同》规定的费用；</w:t>
      </w:r>
    </w:p>
    <w:p w14:paraId="7BAA5033"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（10）依据《基金合同》及有关法律规定决定基金收益的分配方案；</w:t>
      </w:r>
    </w:p>
    <w:p w14:paraId="4FD3BEEB"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（11）在《基金合同》约定的范围内，拒绝或暂停受理申购、赎回或转换申请；</w:t>
      </w:r>
    </w:p>
    <w:p w14:paraId="09502A19"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（12）依照法律法规为基金的利益对被投资公司行使股东权利，为基金的利益行使因基金财产投资所产生的权利；</w:t>
      </w:r>
    </w:p>
    <w:p w14:paraId="636BA3B2"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（13）在法律法规允许的前提下，为基金的利益依法为基金进行融资、融券及转融通证券出借业务；</w:t>
      </w:r>
    </w:p>
    <w:p w14:paraId="3373E0B8"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（14）以基金管理人的名义，代表基金份额持有人的利益行使诉讼权利或者实施其他法律行为；</w:t>
      </w:r>
    </w:p>
    <w:p w14:paraId="7F80D2C0"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（15）选择、更换律师事务所、会计师事务所、证券/期货经纪商或其他为基金提供服务的外部机构；</w:t>
      </w:r>
    </w:p>
    <w:p w14:paraId="0C21FCC6" w14:textId="7005AF1D"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（16）在符合有关法律、法规的前提下，制订和调整有关基金认购、申购、赎回、转换</w:t>
      </w:r>
      <w:r w:rsidR="00730EB6" w:rsidRPr="00730EB6">
        <w:rPr>
          <w:rFonts w:ascii="宋体" w:hAnsi="宋体" w:cs="宋体" w:hint="eastAsia"/>
          <w:sz w:val="21"/>
          <w:szCs w:val="21"/>
        </w:rPr>
        <w:t>、转托管、定期定额投资</w:t>
      </w:r>
      <w:r>
        <w:rPr>
          <w:rFonts w:ascii="宋体" w:hAnsi="宋体" w:cs="宋体"/>
          <w:sz w:val="21"/>
          <w:szCs w:val="21"/>
        </w:rPr>
        <w:t>和</w:t>
      </w:r>
      <w:proofErr w:type="gramStart"/>
      <w:r>
        <w:rPr>
          <w:rFonts w:ascii="宋体" w:hAnsi="宋体" w:cs="宋体"/>
          <w:sz w:val="21"/>
          <w:szCs w:val="21"/>
        </w:rPr>
        <w:t>非交易</w:t>
      </w:r>
      <w:proofErr w:type="gramEnd"/>
      <w:r>
        <w:rPr>
          <w:rFonts w:ascii="宋体" w:hAnsi="宋体" w:cs="宋体"/>
          <w:sz w:val="21"/>
          <w:szCs w:val="21"/>
        </w:rPr>
        <w:t>过户等业务规则；</w:t>
      </w:r>
    </w:p>
    <w:p w14:paraId="0EEAF680"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（17）法律法规及中国证监会规定的和《基金合同》约定的其他权利。</w:t>
      </w:r>
    </w:p>
    <w:p w14:paraId="66FF3350"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2、根据《基金法》、《运作办法》及其他有关规定，基金管理人的义务包括但不限于：</w:t>
      </w:r>
    </w:p>
    <w:p w14:paraId="67606159"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（1）依法募集资金，办理或者委托经中国证监会认定的其他机构办理基金份额的发售、申购、赎回和登记事宜；</w:t>
      </w:r>
    </w:p>
    <w:p w14:paraId="778372A3"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（2）办理基金备案手续；</w:t>
      </w:r>
    </w:p>
    <w:p w14:paraId="08D1D938"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（3）自《基金合同》生效之日起，以诚实信用、谨慎勤勉的原则管理和运用基金财产；</w:t>
      </w:r>
    </w:p>
    <w:p w14:paraId="7586F283"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lastRenderedPageBreak/>
        <w:t>（4）配备足够的具有专业资格的人员进行基金投资分析、决策，以专业化的经营方式管理和运作基金财产；</w:t>
      </w:r>
    </w:p>
    <w:p w14:paraId="55127C22"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（5）建立健全内部风险控制、监察与稽核、财务管理及人事管理等制度，保证所管理的基金财产和基金管理人的财产相互独立，对所管理的不同基金分别管理，分别记账，进行证券投资；</w:t>
      </w:r>
    </w:p>
    <w:p w14:paraId="4130F799"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（6）除依据《基金法》、《基金合同》及其他有关规定外，不得利用基金财产为自己及任何第三人谋取利益，不得委托第三人运作基金财产；</w:t>
      </w:r>
    </w:p>
    <w:p w14:paraId="0E977ADB"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（7）依法接受基金托管人的监督；</w:t>
      </w:r>
    </w:p>
    <w:p w14:paraId="6450E7F7"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（8）采取适当合理的措施使计算基金份额认购、申购、赎回和注销价格的方法符合《基金合同》等法律文件的规定，按有关规定计算并公告基金净值信息，确定基金份额申购、赎回的价格；</w:t>
      </w:r>
    </w:p>
    <w:p w14:paraId="0EDFE8B8"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（9）进行基金会计核算并编制基金财务会计报告；</w:t>
      </w:r>
    </w:p>
    <w:p w14:paraId="3EEF833B"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（10）编制季度报告、中期报告和年度报告；</w:t>
      </w:r>
    </w:p>
    <w:p w14:paraId="058A449B"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（11）严格按照《基金法》、《基金合同》及其他有关规定，履行信息披露及报告义务；</w:t>
      </w:r>
    </w:p>
    <w:p w14:paraId="24769D71" w14:textId="22687CE3"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（12）保守基金商业秘密，不泄露基金投资计划、投资意向等。除《基金法》、《基金合同》及其他有关规定另有规定外，在基金信息公开披露前应予保密，不向他人泄露</w:t>
      </w:r>
      <w:r w:rsidR="00730EB6" w:rsidRPr="001F1697">
        <w:rPr>
          <w:rFonts w:ascii="宋体" w:hAnsi="宋体" w:cs="宋体" w:hint="eastAsia"/>
          <w:sz w:val="21"/>
          <w:szCs w:val="21"/>
        </w:rPr>
        <w:t>，向监管机构、司法机关等有权机关，以及审计、法律等外部专业顾问提供的情况除外</w:t>
      </w:r>
      <w:r>
        <w:rPr>
          <w:rFonts w:ascii="宋体" w:hAnsi="宋体" w:cs="宋体"/>
          <w:sz w:val="21"/>
          <w:szCs w:val="21"/>
        </w:rPr>
        <w:t>；</w:t>
      </w:r>
    </w:p>
    <w:p w14:paraId="7582B530"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（13）按《基金合同》的约定确定基金收益分配方案，及时向基金份额持有人分配基金收益；</w:t>
      </w:r>
    </w:p>
    <w:p w14:paraId="326DFB08"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（14）按规定受理申购与赎回申请，及时、足额支付赎回款项；</w:t>
      </w:r>
    </w:p>
    <w:p w14:paraId="404440D7"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（15）依据《基金法》、《基金合同》及其他有关规定召集基金份额持有人大会或配合基金托管人、基金份额持有人依法召集基金份额持有人大会；</w:t>
      </w:r>
    </w:p>
    <w:p w14:paraId="15785744"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（16）按规定保存基金财产管理业务活动的会计账册、报表、记录和其他相关资料，保存期限不低于法定最低期限；</w:t>
      </w:r>
    </w:p>
    <w:p w14:paraId="44B89967"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78E1EC1E"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（18）组织并参加基金财产清算小组，参与基金财产的保管、清理、估价、变现和分配；</w:t>
      </w:r>
    </w:p>
    <w:p w14:paraId="0E2C23BA"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（19）面临解散、依法被撤销或者被依法宣告破产时，及时报告中国证监会并通知基金托管人；</w:t>
      </w:r>
    </w:p>
    <w:p w14:paraId="4E634E8B"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（20）因违反《基金合同》导致基金财产的损失或损害基金份额持有人合法权益时，应当承担赔偿责任，其赔偿责任不因其退任而免除；</w:t>
      </w:r>
    </w:p>
    <w:p w14:paraId="52C8F845"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lastRenderedPageBreak/>
        <w:t>（21）监督基金托管人按法律法规和《基金合同》规定履行自己的义务，基金托管人违反《基金合同》造成基金财产损失时，基金管理人应为基金份额持有人利益向基金托管人追偿；</w:t>
      </w:r>
    </w:p>
    <w:p w14:paraId="02E95DBD"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（22）当基金管理人将其义务委托第三方处理时，应当对第三方处理有关基金事务的行为承担责任；</w:t>
      </w:r>
    </w:p>
    <w:p w14:paraId="4DBDDA00"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（23）以基金管理人名义，代表基金份额持有人利益行使诉讼权利或实施其他法律行为；</w:t>
      </w:r>
    </w:p>
    <w:p w14:paraId="076110A4"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（24）基金管理人在募集期间未能达到基金的备案条件，《基金合同》不能生效，基金管理人承担全部募集费用，将已募集资金并加计银行同期活期存款利息在基金募集期结束后30日内退还基金认购人；</w:t>
      </w:r>
    </w:p>
    <w:p w14:paraId="31C81781"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（25）执行生效的基金份额持有人大会的决议；</w:t>
      </w:r>
    </w:p>
    <w:p w14:paraId="643A84FB"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（26）建立并保存基金份额持有人名册；</w:t>
      </w:r>
    </w:p>
    <w:p w14:paraId="340C7836"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（27）法律法规及中国证监会规定的和《基金合同》约定的其他义务。</w:t>
      </w:r>
    </w:p>
    <w:p w14:paraId="5D6C8017"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三、基金托管人的权利、义务</w:t>
      </w:r>
    </w:p>
    <w:p w14:paraId="267ACF58"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1、根据《基金法》、《运作办法》及其他有关规定，基金托管人的权利包括但不限于：</w:t>
      </w:r>
    </w:p>
    <w:p w14:paraId="50712667"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（1）自《基金合同》生效之日起，依法</w:t>
      </w:r>
      <w:proofErr w:type="gramStart"/>
      <w:r>
        <w:rPr>
          <w:rFonts w:ascii="宋体" w:hAnsi="宋体" w:cs="宋体"/>
          <w:sz w:val="21"/>
          <w:szCs w:val="21"/>
        </w:rPr>
        <w:t>律法规</w:t>
      </w:r>
      <w:proofErr w:type="gramEnd"/>
      <w:r>
        <w:rPr>
          <w:rFonts w:ascii="宋体" w:hAnsi="宋体" w:cs="宋体"/>
          <w:sz w:val="21"/>
          <w:szCs w:val="21"/>
        </w:rPr>
        <w:t>和《基金合同》的规定安全保管基金财产；</w:t>
      </w:r>
    </w:p>
    <w:p w14:paraId="1FDB298B"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（2）依《基金合同》约定获得基金托管费以及法律法规规定或监管部门批准的其他费用；</w:t>
      </w:r>
    </w:p>
    <w:p w14:paraId="35D57118"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3）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58607704"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（4）根据相关市场规则，为基金开设资金账户、证券账户等投资所需账户，为基金办理证券交易资金清算；</w:t>
      </w:r>
    </w:p>
    <w:p w14:paraId="07C2B15E"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（5）提议召开或召集基金份额持有人大会；</w:t>
      </w:r>
    </w:p>
    <w:p w14:paraId="531B1F9D"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（6）在基金管理人更换时，提名新的基金管理人；</w:t>
      </w:r>
    </w:p>
    <w:p w14:paraId="5298BA47"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（7）法律法规及中国证监会规定的和《基金合同》约定的其他权利。</w:t>
      </w:r>
    </w:p>
    <w:p w14:paraId="482F1361"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2、根据《基金法》、《运作办法》及其他有关规定，基金托管人的义务包括但不限于：</w:t>
      </w:r>
    </w:p>
    <w:p w14:paraId="5107450E"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（1）以诚实信用、勤勉尽责的原则持有并安全保管基金财产；</w:t>
      </w:r>
    </w:p>
    <w:p w14:paraId="1EF11B9B"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（2）设立专门的基金托管部门，具有符合要求的营业场所，配备足够的、合格的熟悉基金托管业务的专职人员，负责基金财产托管事宜；</w:t>
      </w:r>
    </w:p>
    <w:p w14:paraId="22BCC3E8"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w:t>
      </w:r>
      <w:r>
        <w:rPr>
          <w:rFonts w:ascii="宋体" w:hAnsi="宋体" w:cs="宋体"/>
          <w:sz w:val="21"/>
          <w:szCs w:val="21"/>
        </w:rPr>
        <w:lastRenderedPageBreak/>
        <w:t>置、资金划拨、账册记录等方面相互独立；</w:t>
      </w:r>
    </w:p>
    <w:p w14:paraId="3EB45068"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（4）除依据《基金法》、《基金合同》及其他有关规定外，不得利用基金财产为自己及任何第三人谋取利益，不得委托第三人托管基金财产；</w:t>
      </w:r>
    </w:p>
    <w:p w14:paraId="267D774E"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（5）保管由基金管理人代表基金签订的与基金有关的重大合同及有关凭证；</w:t>
      </w:r>
    </w:p>
    <w:p w14:paraId="3656B6CA"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（6）按规定开设基金财产的资金账户和证券账户等投资所需账户，按照《基金合同》的约定，根据基金管理人的投资指令，及时办理清算、交割事宜；</w:t>
      </w:r>
    </w:p>
    <w:p w14:paraId="37AF39DA" w14:textId="1D8BD5DA"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（7）保守基金商业秘密，除《基金法》、《基金合同》及其他有关规定另有规定外，在基金信息公开披露前予以保密，不得向他人泄露</w:t>
      </w:r>
      <w:r w:rsidR="00730EB6" w:rsidRPr="001F1697">
        <w:rPr>
          <w:rFonts w:ascii="宋体" w:hAnsi="宋体" w:cs="宋体" w:hint="eastAsia"/>
          <w:sz w:val="21"/>
          <w:szCs w:val="21"/>
        </w:rPr>
        <w:t>，向监管机构、司法机关等有权机关，以及审计、法律等外部专业顾问提供的情况除外</w:t>
      </w:r>
      <w:r>
        <w:rPr>
          <w:rFonts w:ascii="宋体" w:hAnsi="宋体" w:cs="宋体"/>
          <w:sz w:val="21"/>
          <w:szCs w:val="21"/>
        </w:rPr>
        <w:t>；</w:t>
      </w:r>
    </w:p>
    <w:p w14:paraId="584B2B33"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（8）复核、审查基金管理人计算的基金资产净值、各类基金份额净值、基金份额申购、赎回价格；</w:t>
      </w:r>
    </w:p>
    <w:p w14:paraId="56C5168C"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（9）办理与基金托管业务活动有关的信息披露事项；</w:t>
      </w:r>
    </w:p>
    <w:p w14:paraId="61FEDC96"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10）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14:paraId="09615DA2"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（11）保存基金托管业务活动的记录、账册、报表和其他相关资料，保存期限不低于法定最低期限；</w:t>
      </w:r>
    </w:p>
    <w:p w14:paraId="7751BBFB"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（12）从基金管理人或其委托的登记机构处接收并保存基金份额持有人名册；</w:t>
      </w:r>
    </w:p>
    <w:p w14:paraId="15A58BDD"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（13）按规定制作相关账册并与基金管理人核对；</w:t>
      </w:r>
    </w:p>
    <w:p w14:paraId="0AF3648C"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（14）依据基金管理人的指令或有关规定向基金份额持有人支付基金收益和赎回款项；</w:t>
      </w:r>
    </w:p>
    <w:p w14:paraId="3664F85F"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（15）依据《基金法》、《基金合同》及其他有关规定，召集基金份额持有人大会或配合基金管理人、基金份额持有人依法召集基金份额持有人大会；</w:t>
      </w:r>
    </w:p>
    <w:p w14:paraId="5A99201D"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（16）按照法律法规和《基金合同》的规定监督基金管理人的投资运作；</w:t>
      </w:r>
    </w:p>
    <w:p w14:paraId="3F71DCF0"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（17）参加基金财产清算小组，参与基金财产的保管、清理、估价、变现和分配；</w:t>
      </w:r>
    </w:p>
    <w:p w14:paraId="0E35CC51"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（18）面临解散、依法被撤销或者被依法宣告破产时，及时报告中国证监会和银行业监督管理机构，并通知基金管理人；</w:t>
      </w:r>
    </w:p>
    <w:p w14:paraId="40EBECD5"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（19）因违反《基金合同》导致基金财产损失时，应承担赔偿责任，其赔偿责任不因其退任而免除；</w:t>
      </w:r>
    </w:p>
    <w:p w14:paraId="35E98411"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（20）按规定监督基金管理人按法律法规和《基金合同》规定履行自己的义务，基金管理人因违反《基金合同》造成基金财产损失时，应为基金份额持有人利益向基金管理人追偿；</w:t>
      </w:r>
    </w:p>
    <w:p w14:paraId="5A7C4E1A"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（21）执行生效的基金份额持有人大会的决议；</w:t>
      </w:r>
    </w:p>
    <w:p w14:paraId="6DCD11AF"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（22）法律法规及中国证监会规定的和《基金合同》约定的其他义务。</w:t>
      </w:r>
    </w:p>
    <w:p w14:paraId="6F2C6965"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b/>
          <w:bCs/>
          <w:sz w:val="21"/>
          <w:szCs w:val="21"/>
        </w:rPr>
        <w:t>第二、基金份额持有人大会召集、议事及表决的程序和规则</w:t>
      </w:r>
    </w:p>
    <w:p w14:paraId="15D44D97"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lastRenderedPageBreak/>
        <w:t>基金份额持有人大会由基金份额持有人组成，基金份额持有人的合法授权代表有权代表基金份额持有人出席会议并表决。基金份额持有人持有的每一基金份额拥有平等的投票权。本基金暂不设置日常机构，日常机构的设置和相关规则按照法律法规的有关规定进行。</w:t>
      </w:r>
    </w:p>
    <w:p w14:paraId="0CB1641D"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一、召开事由</w:t>
      </w:r>
    </w:p>
    <w:p w14:paraId="0C5A603D"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1、当出现或需要决定下列事由之一的，应当召开基金份额持有人大会，法律法规、中国证监会另有规定或基金合同另有约定的除外：</w:t>
      </w:r>
    </w:p>
    <w:p w14:paraId="022AC461"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（1）终止《基金合同》；</w:t>
      </w:r>
    </w:p>
    <w:p w14:paraId="3DBC63E7"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（2）更换基金管理人；</w:t>
      </w:r>
    </w:p>
    <w:p w14:paraId="7F516444"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（3）更换基金托管人；</w:t>
      </w:r>
    </w:p>
    <w:p w14:paraId="70808341"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（4）转换基金运作方式；</w:t>
      </w:r>
    </w:p>
    <w:p w14:paraId="0D384CE0"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（5）调整基金管理人、基金托管人的报酬标准或提高销售服务费；</w:t>
      </w:r>
    </w:p>
    <w:p w14:paraId="43E9F562"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（6）变更基金类别；</w:t>
      </w:r>
    </w:p>
    <w:p w14:paraId="01777970"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（7）本基金与其他基金的合并；</w:t>
      </w:r>
    </w:p>
    <w:p w14:paraId="5F7A6014"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（8）变更基金投资目标、范围或策略；</w:t>
      </w:r>
    </w:p>
    <w:p w14:paraId="74C4C76A"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（9）变更基金份额持有人大会程序；</w:t>
      </w:r>
    </w:p>
    <w:p w14:paraId="3C23253E"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（10）基金管理人或基金托管人要求召开基金份额持有人大会；</w:t>
      </w:r>
    </w:p>
    <w:p w14:paraId="2B589F8E"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（11）单独或合计持有本基金总份额10%以上（含10%）基金份额的基金份额持有人（以基金管理人收到提议当日的基金份额计算，下同）就同一事项书面要求召开基金份额持有人大会；</w:t>
      </w:r>
    </w:p>
    <w:p w14:paraId="01EDD0DF"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（12）对基金合同当事人权利和义务产生重大影响的其他事项；</w:t>
      </w:r>
    </w:p>
    <w:p w14:paraId="1B72BD07"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（13）法律法规、《基金合同》或中国证监会规定的其他应当召开基金份额持有人大会的事项。</w:t>
      </w:r>
    </w:p>
    <w:p w14:paraId="1BCA69FF"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2、在法律法规规定和《基金合同》约定的范围内且对基金份额持有人利益无实质性不利影响的前提下，以下情况可由基金管理人和基金托管人协商后修改，不需召开基金份额持有人大会：</w:t>
      </w:r>
    </w:p>
    <w:p w14:paraId="3F512BCF"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（1）法律法规要求增加的基金费用的收取；</w:t>
      </w:r>
    </w:p>
    <w:p w14:paraId="280A8BAD"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（2）调整本基金的申购费率、调低赎回费率、调低销售服务费或变更收费方式；</w:t>
      </w:r>
    </w:p>
    <w:p w14:paraId="379D3FC5"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（3）增加、减少、调整基金份额类别设置；</w:t>
      </w:r>
    </w:p>
    <w:p w14:paraId="26A42CD4"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（4）基金管理人、登记机构、基金销售机构调整有关认购、申购、赎回、转换、</w:t>
      </w:r>
      <w:proofErr w:type="gramStart"/>
      <w:r>
        <w:rPr>
          <w:rFonts w:ascii="宋体" w:hAnsi="宋体" w:cs="宋体"/>
          <w:sz w:val="21"/>
          <w:szCs w:val="21"/>
        </w:rPr>
        <w:t>非交易</w:t>
      </w:r>
      <w:proofErr w:type="gramEnd"/>
      <w:r>
        <w:rPr>
          <w:rFonts w:ascii="宋体" w:hAnsi="宋体" w:cs="宋体"/>
          <w:sz w:val="21"/>
          <w:szCs w:val="21"/>
        </w:rPr>
        <w:t>过户、转托管等业务规则；</w:t>
      </w:r>
    </w:p>
    <w:p w14:paraId="035886B4"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（5）基金推出新业务或服务；</w:t>
      </w:r>
    </w:p>
    <w:p w14:paraId="76345804"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（6）</w:t>
      </w:r>
      <w:proofErr w:type="gramStart"/>
      <w:r>
        <w:rPr>
          <w:rFonts w:ascii="宋体" w:hAnsi="宋体" w:cs="宋体"/>
          <w:sz w:val="21"/>
          <w:szCs w:val="21"/>
        </w:rPr>
        <w:t>因相应</w:t>
      </w:r>
      <w:proofErr w:type="gramEnd"/>
      <w:r>
        <w:rPr>
          <w:rFonts w:ascii="宋体" w:hAnsi="宋体" w:cs="宋体"/>
          <w:sz w:val="21"/>
          <w:szCs w:val="21"/>
        </w:rPr>
        <w:t>的法律法规发生变动而应当对《基金合同》进行修改；</w:t>
      </w:r>
    </w:p>
    <w:p w14:paraId="51218D3C"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（7）对《基金合同》的修改对基金份额持有人利益无实质性不利影响或修改不涉及《基金合同》当事人权利义务关系发生重大变化；</w:t>
      </w:r>
    </w:p>
    <w:p w14:paraId="0F341356"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lastRenderedPageBreak/>
        <w:t>（8）按照法律法规和《基金合同》规定不需召开基金份额持有人大会的其他情形。</w:t>
      </w:r>
    </w:p>
    <w:p w14:paraId="5BD68A3B"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二、会议召集人及召集方式</w:t>
      </w:r>
    </w:p>
    <w:p w14:paraId="5081D7EB"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1、除法律法规规定或《基金合同》另有约定外，基金份额持有人大会由基金管理人召集。</w:t>
      </w:r>
    </w:p>
    <w:p w14:paraId="20452E16"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2、基金管理人未按规定召集或不能召集时，由基金托管人召集。</w:t>
      </w:r>
    </w:p>
    <w:p w14:paraId="1905C20F"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由基金托管人自行召集，并自出具书面决定之日起60日内召开并告知基金管理人，基金管理人应当配合。</w:t>
      </w:r>
    </w:p>
    <w:p w14:paraId="0CF2788B"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4、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代表基金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并告知基金管理人，基金管理人应当配合。</w:t>
      </w:r>
    </w:p>
    <w:p w14:paraId="4D071DB9"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5、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14:paraId="250C2903"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6、基金份额持有人会议的召集人负责选择确定开会时间、地点、方式和权益登记日。</w:t>
      </w:r>
    </w:p>
    <w:p w14:paraId="5E8E13A8"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三、召开基金份额持有人大会的通知时间、通知内容、通知方式</w:t>
      </w:r>
    </w:p>
    <w:p w14:paraId="0B94FD62"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1、召开基金份额持有人大会，召集人应于会议召开前30日，在规定媒介公告。基金份额持有人大会通知应至少载明以下内容：</w:t>
      </w:r>
    </w:p>
    <w:p w14:paraId="6DC95AE9"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（1）会议召开的时间、地点和会议形式；</w:t>
      </w:r>
    </w:p>
    <w:p w14:paraId="60B19354"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（2）会议</w:t>
      </w:r>
      <w:proofErr w:type="gramStart"/>
      <w:r>
        <w:rPr>
          <w:rFonts w:ascii="宋体" w:hAnsi="宋体" w:cs="宋体"/>
          <w:sz w:val="21"/>
          <w:szCs w:val="21"/>
        </w:rPr>
        <w:t>拟审议</w:t>
      </w:r>
      <w:proofErr w:type="gramEnd"/>
      <w:r>
        <w:rPr>
          <w:rFonts w:ascii="宋体" w:hAnsi="宋体" w:cs="宋体"/>
          <w:sz w:val="21"/>
          <w:szCs w:val="21"/>
        </w:rPr>
        <w:t>的事项、议事程序和表决方式；</w:t>
      </w:r>
    </w:p>
    <w:p w14:paraId="176DF2EE"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（3）有权出席基金份额持有人大会的基金份额持有人的权益登记日；</w:t>
      </w:r>
    </w:p>
    <w:p w14:paraId="700D6023"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（4）授权委托证明的内容要求（包括但不限于代理人身份，代理权限和代理有效期限等）、送达时间和地点；</w:t>
      </w:r>
    </w:p>
    <w:p w14:paraId="4C2E0A16"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（5）会务常设联系人姓名及联系电话；</w:t>
      </w:r>
    </w:p>
    <w:p w14:paraId="1D45D313"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（6）出席会议者必须准备的文件和必须履行的手续；</w:t>
      </w:r>
    </w:p>
    <w:p w14:paraId="1ABF34A8"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lastRenderedPageBreak/>
        <w:t>（7）召集人需要通知的其他事项。</w:t>
      </w:r>
    </w:p>
    <w:p w14:paraId="3453BFB6"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2、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14:paraId="0BEE892E"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Pr>
          <w:rFonts w:ascii="宋体" w:hAnsi="宋体" w:cs="宋体"/>
          <w:sz w:val="21"/>
          <w:szCs w:val="21"/>
        </w:rPr>
        <w:t>拒不派</w:t>
      </w:r>
      <w:proofErr w:type="gramEnd"/>
      <w:r>
        <w:rPr>
          <w:rFonts w:ascii="宋体" w:hAnsi="宋体" w:cs="宋体"/>
          <w:sz w:val="21"/>
          <w:szCs w:val="21"/>
        </w:rPr>
        <w:t>代表对书面表决意见的计票进行监督的，不影响表决意见的计票效力。</w:t>
      </w:r>
    </w:p>
    <w:p w14:paraId="591157F1"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四、基金份额持有人出席会议的方式</w:t>
      </w:r>
    </w:p>
    <w:p w14:paraId="0967952A"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基金份额持有人大会可通过现场开会方式、通讯开会方式或法律法规、监管机构允许的其他方式召开，会议的召开方式由会议召集人确定。</w:t>
      </w:r>
    </w:p>
    <w:p w14:paraId="65D23337"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1、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4C039F58"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4204CF0E"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2）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的基金份额应不少于本基金在权益登记日基金总份额的三分之一（含三分之一）。</w:t>
      </w:r>
    </w:p>
    <w:p w14:paraId="4D882EFE"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2、通讯开会。通讯开会系指基金份额持有人将其对表决事项的投票以书面形式或基金合同约定的其他方式在表决截止日以前送达至召集人指定的地址。通讯开会应以书面方式或基金合同约定的其他方式进行表决。</w:t>
      </w:r>
    </w:p>
    <w:p w14:paraId="7C7F971E"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在同时符合以下条件时，通讯开会的方式视为有效：</w:t>
      </w:r>
    </w:p>
    <w:p w14:paraId="45D559BA"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（1）会议召集人按《基金合同》约定公布会议通知后，在2个工作日内连续公布相关提示性公告。</w:t>
      </w:r>
    </w:p>
    <w:p w14:paraId="24E009EA"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2）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w:t>
      </w:r>
      <w:r>
        <w:rPr>
          <w:rFonts w:ascii="宋体" w:hAnsi="宋体" w:cs="宋体"/>
          <w:sz w:val="21"/>
          <w:szCs w:val="21"/>
        </w:rPr>
        <w:lastRenderedPageBreak/>
        <w:t>金份额持有人的书面表决意见；基金托管人或基金管理人经通知不参加收取书面表决意见的，不影响表决效力。</w:t>
      </w:r>
    </w:p>
    <w:p w14:paraId="41E92B93"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3）本人直接出具书面意见或授权他人代表出具书面意见的，基金份额持有人所持有的基金份额不小于在权益登记日基金总份额的二分之一（含二分之一）；若本人直接出具书面意见或授权他人代表出具书面意见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三分之一以上（含三分之一）基金份额的持有人直接出具书面意见或授权他人代表出具书面意见。</w:t>
      </w:r>
    </w:p>
    <w:p w14:paraId="293990E1"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4）上述第（3）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p>
    <w:p w14:paraId="2077BF7D"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3、在法律法规和监管机关允许的情况下，本基金的基金份额持有人亦可采用其他非书面方式授权其代理人出席基金份额持有人大会；在会议召开方式上，本基金亦可采用其他非现场方式或者以现场方式与非现场方式相结合的方式召开基金份额持有人大会，会议程序比照现场开会和通讯方式开会的程序进行。基金份额持有人亦可以采用书面、网络、电话、短信或其他方式进行表决，具体方式由会议召集人确定并在会议通知中列明。</w:t>
      </w:r>
    </w:p>
    <w:p w14:paraId="2CF9D748"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五、议事内容与程序</w:t>
      </w:r>
    </w:p>
    <w:p w14:paraId="07C4B9D4"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1、议事内容及提案权</w:t>
      </w:r>
    </w:p>
    <w:p w14:paraId="2119B73C"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72973BA1"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基金份额持有人大会的召集人发出召集会议的通知后，对原有提案的修改应当在基金份额持有人大会召开前及时公告。</w:t>
      </w:r>
    </w:p>
    <w:p w14:paraId="2ED79097"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基金份额持有人大会不得对未事先公告的议事内容进行表决。</w:t>
      </w:r>
    </w:p>
    <w:p w14:paraId="1ED2C97F"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2、议事程序</w:t>
      </w:r>
    </w:p>
    <w:p w14:paraId="1788E268"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（1）现场开会</w:t>
      </w:r>
    </w:p>
    <w:p w14:paraId="79627E61"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50%以上（含50%）选举产生</w:t>
      </w:r>
      <w:r>
        <w:rPr>
          <w:rFonts w:ascii="宋体" w:hAnsi="宋体" w:cs="宋体"/>
          <w:sz w:val="21"/>
          <w:szCs w:val="21"/>
        </w:rPr>
        <w:lastRenderedPageBreak/>
        <w:t>一名基金份额持有人作为该次基金份额持有人大会的主持人。基金管理人和基金托管人拒不出席或主持基金份额持有人大会，不影响基金份额持有人大会</w:t>
      </w:r>
      <w:proofErr w:type="gramStart"/>
      <w:r>
        <w:rPr>
          <w:rFonts w:ascii="宋体" w:hAnsi="宋体" w:cs="宋体"/>
          <w:sz w:val="21"/>
          <w:szCs w:val="21"/>
        </w:rPr>
        <w:t>作出</w:t>
      </w:r>
      <w:proofErr w:type="gramEnd"/>
      <w:r>
        <w:rPr>
          <w:rFonts w:ascii="宋体" w:hAnsi="宋体" w:cs="宋体"/>
          <w:sz w:val="21"/>
          <w:szCs w:val="21"/>
        </w:rPr>
        <w:t>的决议的效力。</w:t>
      </w:r>
    </w:p>
    <w:p w14:paraId="52973DD5"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会议召集人应当制作出席会议人员的签名册。签名</w:t>
      </w:r>
      <w:proofErr w:type="gramStart"/>
      <w:r>
        <w:rPr>
          <w:rFonts w:ascii="宋体" w:hAnsi="宋体" w:cs="宋体"/>
          <w:sz w:val="21"/>
          <w:szCs w:val="21"/>
        </w:rPr>
        <w:t>册</w:t>
      </w:r>
      <w:proofErr w:type="gramEnd"/>
      <w:r>
        <w:rPr>
          <w:rFonts w:ascii="宋体" w:hAnsi="宋体" w:cs="宋体"/>
          <w:sz w:val="21"/>
          <w:szCs w:val="21"/>
        </w:rPr>
        <w:t>载明参加会议人员姓名（或单位名称）、身份证明文件号码、持有或代表有表决权的基金份额、委托人姓名（或单位名称）和联系方式等事项。</w:t>
      </w:r>
    </w:p>
    <w:p w14:paraId="0F2BF21E"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（2）通讯开会</w:t>
      </w:r>
    </w:p>
    <w:p w14:paraId="23F4254B"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在通讯开会的情况下，首先由召集人提前30日公布提案，在所通知的表决截止日期后2个工作日内在公证机关监督下由召集人统计全部有效表决，在公证机关监督下形成决议。</w:t>
      </w:r>
    </w:p>
    <w:p w14:paraId="68477128"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六、表决</w:t>
      </w:r>
    </w:p>
    <w:p w14:paraId="17CCED3E"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基金份额持有人所持每份基金份额有一票表决权。</w:t>
      </w:r>
    </w:p>
    <w:p w14:paraId="2BB6119B"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基金份额持有人大会决议分为一般决议和特别决议：</w:t>
      </w:r>
    </w:p>
    <w:p w14:paraId="02CE35FD"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1、一般决议，一般决议须经参加大会的基金份额持有人或其代理人所持表决权的二分之一以上（含二分之一）通过方为有效；除下列第2项所规定的须以特别决议通过事项以外的其他事项均以一般决议的方式通过。</w:t>
      </w:r>
    </w:p>
    <w:p w14:paraId="3BF9D3BF"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2、特别决议，特别决议应当经参加大会的基金份额持有人或其代理人所持表决权的三分之二以上（含三分之二）通过方可做出。除法律法规另有规定或本基金合同另有约定的，转换基金运作方式、更换基金管理人或者基金托管人、终止《基金合同》、本基金与其他基金合并以特别决议通过方为有效。</w:t>
      </w:r>
    </w:p>
    <w:p w14:paraId="7A3D2000"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基金份额持有人大会采取记名方式进行投票表决。</w:t>
      </w:r>
    </w:p>
    <w:p w14:paraId="16019A23"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14:paraId="5682E730"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基金份额持有人大会的各项提案或同一项提案内并列的各项议题应当分开审议、逐项表决。</w:t>
      </w:r>
    </w:p>
    <w:p w14:paraId="76EBF84C"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七、计票</w:t>
      </w:r>
    </w:p>
    <w:p w14:paraId="55A16FF9"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1、现场开会</w:t>
      </w:r>
    </w:p>
    <w:p w14:paraId="2D5180BF"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Pr>
          <w:rFonts w:ascii="宋体" w:hAnsi="宋体" w:cs="宋体"/>
          <w:sz w:val="21"/>
          <w:szCs w:val="21"/>
        </w:rPr>
        <w:t>或大会</w:t>
      </w:r>
      <w:proofErr w:type="gramEnd"/>
      <w:r>
        <w:rPr>
          <w:rFonts w:ascii="宋体" w:hAnsi="宋体" w:cs="宋体"/>
          <w:sz w:val="21"/>
          <w:szCs w:val="21"/>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2AC4D855"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lastRenderedPageBreak/>
        <w:t>（2）监票人应当在基金份额持有人表决后立即进行清点并由大会主持人当场公布计票结果。</w:t>
      </w:r>
    </w:p>
    <w:p w14:paraId="5CAC1084"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（3）如果会议主持人或基金份额持有人或代理人对于提交的表决结果有怀疑，可以在宣布表决结果后立即对所投票</w:t>
      </w:r>
      <w:proofErr w:type="gramStart"/>
      <w:r>
        <w:rPr>
          <w:rFonts w:ascii="宋体" w:hAnsi="宋体" w:cs="宋体"/>
          <w:sz w:val="21"/>
          <w:szCs w:val="21"/>
        </w:rPr>
        <w:t>数要求</w:t>
      </w:r>
      <w:proofErr w:type="gramEnd"/>
      <w:r>
        <w:rPr>
          <w:rFonts w:ascii="宋体" w:hAnsi="宋体" w:cs="宋体"/>
          <w:sz w:val="21"/>
          <w:szCs w:val="21"/>
        </w:rPr>
        <w:t>进行重新清点。监票人应当进行重新清点，重新清点以一次为限。重新清点后，大会主持人应当当场公布重新清点结果。</w:t>
      </w:r>
    </w:p>
    <w:p w14:paraId="50027769"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（4）计票过程应由公证机关予以公证，基金管理人或基金托管人拒不出席大会的，不影响计票的效力。</w:t>
      </w:r>
    </w:p>
    <w:p w14:paraId="09ABE0B9"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2、通讯开会</w:t>
      </w:r>
    </w:p>
    <w:p w14:paraId="21D8CA10"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w:t>
      </w:r>
      <w:proofErr w:type="gramStart"/>
      <w:r>
        <w:rPr>
          <w:rFonts w:ascii="宋体" w:hAnsi="宋体" w:cs="宋体"/>
          <w:sz w:val="21"/>
          <w:szCs w:val="21"/>
        </w:rPr>
        <w:t>人拒派</w:t>
      </w:r>
      <w:proofErr w:type="gramEnd"/>
      <w:r>
        <w:rPr>
          <w:rFonts w:ascii="宋体" w:hAnsi="宋体" w:cs="宋体"/>
          <w:sz w:val="21"/>
          <w:szCs w:val="21"/>
        </w:rPr>
        <w:t>代表对书面表决意见的计票进行监督的，不影响计票和表决结果。</w:t>
      </w:r>
    </w:p>
    <w:p w14:paraId="14CC8BC7"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八、生效与公告</w:t>
      </w:r>
    </w:p>
    <w:p w14:paraId="061AFB1B"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基金份额持有人大会的决议，召集人应当自通过之日起5日内报中国证监会备案。</w:t>
      </w:r>
    </w:p>
    <w:p w14:paraId="541FFBEC"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基金份额持有人大会的决议自表决通过之日起生效。</w:t>
      </w:r>
    </w:p>
    <w:p w14:paraId="6A1060A7"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基金份额持有人大会决议自生效之日起2日内在规定媒介上公告。</w:t>
      </w:r>
    </w:p>
    <w:p w14:paraId="1158D14B"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基金管理人、基金托管人和基金份额持有人应当执行生效的基金份额持有人大会的决议。生效的基金份额持有人大会决议对全体基金份额持有人、基金管理人、基金托管人均有约束力。</w:t>
      </w:r>
    </w:p>
    <w:p w14:paraId="1761EFEF"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九、实施</w:t>
      </w:r>
      <w:proofErr w:type="gramStart"/>
      <w:r>
        <w:rPr>
          <w:rFonts w:ascii="宋体" w:hAnsi="宋体" w:cs="宋体"/>
          <w:sz w:val="21"/>
          <w:szCs w:val="21"/>
        </w:rPr>
        <w:t>侧袋机制</w:t>
      </w:r>
      <w:proofErr w:type="gramEnd"/>
      <w:r>
        <w:rPr>
          <w:rFonts w:ascii="宋体" w:hAnsi="宋体" w:cs="宋体"/>
          <w:sz w:val="21"/>
          <w:szCs w:val="21"/>
        </w:rPr>
        <w:t>期间基金份额持有人大会的特殊约定</w:t>
      </w:r>
    </w:p>
    <w:p w14:paraId="233E5474"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若本基金</w:t>
      </w:r>
      <w:proofErr w:type="gramStart"/>
      <w:r>
        <w:rPr>
          <w:rFonts w:ascii="宋体" w:hAnsi="宋体" w:cs="宋体"/>
          <w:sz w:val="21"/>
          <w:szCs w:val="21"/>
        </w:rPr>
        <w:t>实施侧袋机制</w:t>
      </w:r>
      <w:proofErr w:type="gramEnd"/>
      <w:r>
        <w:rPr>
          <w:rFonts w:ascii="宋体" w:hAnsi="宋体" w:cs="宋体"/>
          <w:sz w:val="21"/>
          <w:szCs w:val="21"/>
        </w:rPr>
        <w:t>，</w:t>
      </w:r>
      <w:proofErr w:type="gramStart"/>
      <w:r>
        <w:rPr>
          <w:rFonts w:ascii="宋体" w:hAnsi="宋体" w:cs="宋体"/>
          <w:sz w:val="21"/>
          <w:szCs w:val="21"/>
        </w:rPr>
        <w:t>则相关</w:t>
      </w:r>
      <w:proofErr w:type="gramEnd"/>
      <w:r>
        <w:rPr>
          <w:rFonts w:ascii="宋体" w:hAnsi="宋体" w:cs="宋体"/>
          <w:sz w:val="21"/>
          <w:szCs w:val="21"/>
        </w:rPr>
        <w:t>基金份额或表决权的比例</w:t>
      </w:r>
      <w:proofErr w:type="gramStart"/>
      <w:r>
        <w:rPr>
          <w:rFonts w:ascii="宋体" w:hAnsi="宋体" w:cs="宋体"/>
          <w:sz w:val="21"/>
          <w:szCs w:val="21"/>
        </w:rPr>
        <w:t>指主袋份额</w:t>
      </w:r>
      <w:proofErr w:type="gramEnd"/>
      <w:r>
        <w:rPr>
          <w:rFonts w:ascii="宋体" w:hAnsi="宋体" w:cs="宋体"/>
          <w:sz w:val="21"/>
          <w:szCs w:val="21"/>
        </w:rPr>
        <w:t>持有</w:t>
      </w:r>
      <w:proofErr w:type="gramStart"/>
      <w:r>
        <w:rPr>
          <w:rFonts w:ascii="宋体" w:hAnsi="宋体" w:cs="宋体"/>
          <w:sz w:val="21"/>
          <w:szCs w:val="21"/>
        </w:rPr>
        <w:t>人和侧袋份额</w:t>
      </w:r>
      <w:proofErr w:type="gramEnd"/>
      <w:r>
        <w:rPr>
          <w:rFonts w:ascii="宋体" w:hAnsi="宋体" w:cs="宋体"/>
          <w:sz w:val="21"/>
          <w:szCs w:val="21"/>
        </w:rPr>
        <w:t>持有人分别持有或代表的基金份额或表决权符合该等比例，但</w:t>
      </w:r>
      <w:proofErr w:type="gramStart"/>
      <w:r>
        <w:rPr>
          <w:rFonts w:ascii="宋体" w:hAnsi="宋体" w:cs="宋体"/>
          <w:sz w:val="21"/>
          <w:szCs w:val="21"/>
        </w:rPr>
        <w:t>若相关</w:t>
      </w:r>
      <w:proofErr w:type="gramEnd"/>
      <w:r>
        <w:rPr>
          <w:rFonts w:ascii="宋体" w:hAnsi="宋体" w:cs="宋体"/>
          <w:sz w:val="21"/>
          <w:szCs w:val="21"/>
        </w:rPr>
        <w:t>基金份额持有人大会召集和审议事项不</w:t>
      </w:r>
      <w:proofErr w:type="gramStart"/>
      <w:r>
        <w:rPr>
          <w:rFonts w:ascii="宋体" w:hAnsi="宋体" w:cs="宋体"/>
          <w:sz w:val="21"/>
          <w:szCs w:val="21"/>
        </w:rPr>
        <w:t>涉及侧袋账户</w:t>
      </w:r>
      <w:proofErr w:type="gramEnd"/>
      <w:r>
        <w:rPr>
          <w:rFonts w:ascii="宋体" w:hAnsi="宋体" w:cs="宋体"/>
          <w:sz w:val="21"/>
          <w:szCs w:val="21"/>
        </w:rPr>
        <w:t>的，则仅</w:t>
      </w:r>
      <w:proofErr w:type="gramStart"/>
      <w:r>
        <w:rPr>
          <w:rFonts w:ascii="宋体" w:hAnsi="宋体" w:cs="宋体"/>
          <w:sz w:val="21"/>
          <w:szCs w:val="21"/>
        </w:rPr>
        <w:t>指主袋份额</w:t>
      </w:r>
      <w:proofErr w:type="gramEnd"/>
      <w:r>
        <w:rPr>
          <w:rFonts w:ascii="宋体" w:hAnsi="宋体" w:cs="宋体"/>
          <w:sz w:val="21"/>
          <w:szCs w:val="21"/>
        </w:rPr>
        <w:t>持有人持有或代表的基金份额或表决权符合该等比例：</w:t>
      </w:r>
    </w:p>
    <w:p w14:paraId="293ABB90"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1、基金份额持有人行使提议权、召集权、提名权所需单独或合计代表相关基金份额10%以上（含10%）；</w:t>
      </w:r>
    </w:p>
    <w:p w14:paraId="4D3A397C"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2、现场开会的到会者在权益登记日代表的基金份额不少于本基金在权益登记</w:t>
      </w:r>
      <w:proofErr w:type="gramStart"/>
      <w:r>
        <w:rPr>
          <w:rFonts w:ascii="宋体" w:hAnsi="宋体" w:cs="宋体"/>
          <w:sz w:val="21"/>
          <w:szCs w:val="21"/>
        </w:rPr>
        <w:t>日相关</w:t>
      </w:r>
      <w:proofErr w:type="gramEnd"/>
      <w:r>
        <w:rPr>
          <w:rFonts w:ascii="宋体" w:hAnsi="宋体" w:cs="宋体"/>
          <w:sz w:val="21"/>
          <w:szCs w:val="21"/>
        </w:rPr>
        <w:t>基金份额的二分之一（含二分之一）；</w:t>
      </w:r>
    </w:p>
    <w:p w14:paraId="4DBC3066"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3、通讯开会的直接出具书面意见或授权他人代表出具书面意见的基金份额持有人所持有的基金份额不小于在权益登记</w:t>
      </w:r>
      <w:proofErr w:type="gramStart"/>
      <w:r>
        <w:rPr>
          <w:rFonts w:ascii="宋体" w:hAnsi="宋体" w:cs="宋体"/>
          <w:sz w:val="21"/>
          <w:szCs w:val="21"/>
        </w:rPr>
        <w:t>日相关</w:t>
      </w:r>
      <w:proofErr w:type="gramEnd"/>
      <w:r>
        <w:rPr>
          <w:rFonts w:ascii="宋体" w:hAnsi="宋体" w:cs="宋体"/>
          <w:sz w:val="21"/>
          <w:szCs w:val="21"/>
        </w:rPr>
        <w:t>基金份额的二分之一（含二分之一）；</w:t>
      </w:r>
    </w:p>
    <w:p w14:paraId="4799978A"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4、在参与基金份额持有人大会投票的基金份额持有人所持有的基金份额小于在权益登记</w:t>
      </w:r>
      <w:proofErr w:type="gramStart"/>
      <w:r>
        <w:rPr>
          <w:rFonts w:ascii="宋体" w:hAnsi="宋体" w:cs="宋体"/>
          <w:sz w:val="21"/>
          <w:szCs w:val="21"/>
        </w:rPr>
        <w:t>日相关</w:t>
      </w:r>
      <w:proofErr w:type="gramEnd"/>
      <w:r>
        <w:rPr>
          <w:rFonts w:ascii="宋体" w:hAnsi="宋体" w:cs="宋体"/>
          <w:sz w:val="21"/>
          <w:szCs w:val="21"/>
        </w:rPr>
        <w:t>基金份额的二分之一、召集人在原公告的基金份额持有人大会召开时间的3个月以后、6个月以内就原定审议事项重新召集的基金份额持有人大会应当有代表三分之一以上（含三分之一）相关基金份额的持有人参与或授权他人参与基金份额持有人大会投票；</w:t>
      </w:r>
    </w:p>
    <w:p w14:paraId="6A5764D8"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lastRenderedPageBreak/>
        <w:t>5、现场开会由出席大会的基金份额持有人和代理人所持表决权的50%以上（含50%）选举产生一名基金份额持有人作为该次基金份额持有人大会的主持人；</w:t>
      </w:r>
    </w:p>
    <w:p w14:paraId="35C498E6"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6、一般决议须经参加大会的基金份额持有人或其代理人所持表决权的二分之一以上（含二分之一）通过；</w:t>
      </w:r>
    </w:p>
    <w:p w14:paraId="522A6EA5"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7、特别决议应当经参加大会的基金份额持有人或其代理人所持表决权的三分之二以上（含三分之二）通过。</w:t>
      </w:r>
    </w:p>
    <w:p w14:paraId="40E38788"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同</w:t>
      </w:r>
      <w:proofErr w:type="gramStart"/>
      <w:r>
        <w:rPr>
          <w:rFonts w:ascii="宋体" w:hAnsi="宋体" w:cs="宋体"/>
          <w:sz w:val="21"/>
          <w:szCs w:val="21"/>
        </w:rPr>
        <w:t>一主侧袋账户</w:t>
      </w:r>
      <w:proofErr w:type="gramEnd"/>
      <w:r>
        <w:rPr>
          <w:rFonts w:ascii="宋体" w:hAnsi="宋体" w:cs="宋体"/>
          <w:sz w:val="21"/>
          <w:szCs w:val="21"/>
        </w:rPr>
        <w:t>内的每份基金份额具有平等的表决权。</w:t>
      </w:r>
    </w:p>
    <w:p w14:paraId="73D35334"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十、本部</w:t>
      </w:r>
      <w:proofErr w:type="gramStart"/>
      <w:r>
        <w:rPr>
          <w:rFonts w:ascii="宋体" w:hAnsi="宋体" w:cs="宋体"/>
          <w:sz w:val="21"/>
          <w:szCs w:val="21"/>
        </w:rPr>
        <w:t>分关于</w:t>
      </w:r>
      <w:proofErr w:type="gramEnd"/>
      <w:r>
        <w:rPr>
          <w:rFonts w:ascii="宋体" w:hAnsi="宋体" w:cs="宋体"/>
          <w:sz w:val="21"/>
          <w:szCs w:val="21"/>
        </w:rPr>
        <w:t>基金份额持有人大会召开事由、召开条件、议事程序、表决条件等规定，凡是直接引用法律法规或监管规则的部分，如将来法律法规或监管规则修改导致相关内容被取消或变更的，基金管理人按照《信息披露办法》的规定公告后，可直接对本部分内容进行修改和调整，无需召开基金份额持有人大会审议。</w:t>
      </w:r>
    </w:p>
    <w:p w14:paraId="0D2BFA30"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b/>
          <w:bCs/>
          <w:sz w:val="21"/>
          <w:szCs w:val="21"/>
        </w:rPr>
        <w:t>第三、基金收益分配原则、执行方式</w:t>
      </w:r>
    </w:p>
    <w:p w14:paraId="6B29C67F"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一、基金利润的构成</w:t>
      </w:r>
    </w:p>
    <w:p w14:paraId="3CB0E5C8"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基金利润指基金利息收入、投资收益、公允价值变动收益和其他收入扣除相关费用后的余额，基金已实现收益指基金利润减去公允价值变动收益后的余额。</w:t>
      </w:r>
    </w:p>
    <w:p w14:paraId="696BF602"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二、基金可供分配利润</w:t>
      </w:r>
    </w:p>
    <w:p w14:paraId="6DC98816"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基金可供分配利润指截至收益分配基准日基金未分配利润与未分配利润中已实现收益的孰低数。</w:t>
      </w:r>
    </w:p>
    <w:p w14:paraId="67769A44"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三、基金收益分配原则</w:t>
      </w:r>
    </w:p>
    <w:p w14:paraId="4C0920A8"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1、在符合有关基金分红条件的前提下，本基金管理人可以根据实际情况进行收益分配，具体分配方案以公告为准，若《基金合同》生效不满3个月可不进行收益分配；</w:t>
      </w:r>
    </w:p>
    <w:p w14:paraId="1536B3D6"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2、本基金收益分配方式分两种：现金分红与红利再投资，投资者可选择现金红利或将现金红利自动转为相应类别的基金份额进行再投资；若投资者不选择，本基金默认的收益分配方式是现金分红；</w:t>
      </w:r>
    </w:p>
    <w:p w14:paraId="6E9DD44F"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3、基金收益分配后任一类基金份额净值不能低于面值，即基金收益分配基准日的任一类基金份额净值减去该类每单位基金份额收益分配金额后不能低于面值；</w:t>
      </w:r>
    </w:p>
    <w:p w14:paraId="37E6C40D"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4、A类基金份额和C类基金份额之间由于A类基金份额不收取而C类基金份额收取销售服务费将导致在可供分配利润上有所不同；</w:t>
      </w:r>
    </w:p>
    <w:p w14:paraId="2AFBE930"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5、同一类别的每一基金份额享有同等分配权；</w:t>
      </w:r>
    </w:p>
    <w:p w14:paraId="1D2D8E56"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6、法律法规或监管机关另有规定的，从其规定。</w:t>
      </w:r>
    </w:p>
    <w:p w14:paraId="77BA400C" w14:textId="251BE11A"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在不违反法律法规且对基金份额持有人利益无实质不利影响的前提下，基金管理人</w:t>
      </w:r>
      <w:r w:rsidR="00730EB6" w:rsidRPr="00730EB6">
        <w:rPr>
          <w:rFonts w:ascii="宋体" w:hAnsi="宋体" w:cs="宋体" w:hint="eastAsia"/>
          <w:sz w:val="21"/>
          <w:szCs w:val="21"/>
        </w:rPr>
        <w:t>与基金托管人协商后，</w:t>
      </w:r>
      <w:r>
        <w:rPr>
          <w:rFonts w:ascii="宋体" w:hAnsi="宋体" w:cs="宋体"/>
          <w:sz w:val="21"/>
          <w:szCs w:val="21"/>
        </w:rPr>
        <w:t>可调整基金收益分配原则和支付方式，不需召开基金份额持有人大会。</w:t>
      </w:r>
    </w:p>
    <w:p w14:paraId="3F37FF26"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四、收益分配方案</w:t>
      </w:r>
    </w:p>
    <w:p w14:paraId="62443922"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基金收益分配方案中应载明截止收益分配基准日的可供分配利润、基金收益分配对象、</w:t>
      </w:r>
      <w:r>
        <w:rPr>
          <w:rFonts w:ascii="宋体" w:hAnsi="宋体" w:cs="宋体"/>
          <w:sz w:val="21"/>
          <w:szCs w:val="21"/>
        </w:rPr>
        <w:lastRenderedPageBreak/>
        <w:t>分配时间、分配数额及比例、分配方式等内容。</w:t>
      </w:r>
    </w:p>
    <w:p w14:paraId="6E50AF81"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五、收益分配方案的确定、公告与实施</w:t>
      </w:r>
    </w:p>
    <w:p w14:paraId="2869E61F"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本基金收益分配方案由基金管理人拟定，并由基金托管人复核，在2日内在规定媒介公告。</w:t>
      </w:r>
    </w:p>
    <w:p w14:paraId="01ADE94A"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六、基金收益分配中发生的费用</w:t>
      </w:r>
    </w:p>
    <w:p w14:paraId="07DB6DF0"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基金收益分配时所发生的银行转账或其他手续费用由投资者自行承担。当投资者的现金红利小于一定金额，不足以支付银行转账或其他手续费用时，基金登记机构可将基金份额持有人的现金红利自动转为相应类别的基金份额。红利再投资的计算方法，依照《业务规则》执行。</w:t>
      </w:r>
    </w:p>
    <w:p w14:paraId="0815508F"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七、实施</w:t>
      </w:r>
      <w:proofErr w:type="gramStart"/>
      <w:r>
        <w:rPr>
          <w:rFonts w:ascii="宋体" w:hAnsi="宋体" w:cs="宋体"/>
          <w:sz w:val="21"/>
          <w:szCs w:val="21"/>
        </w:rPr>
        <w:t>侧袋机制</w:t>
      </w:r>
      <w:proofErr w:type="gramEnd"/>
      <w:r>
        <w:rPr>
          <w:rFonts w:ascii="宋体" w:hAnsi="宋体" w:cs="宋体"/>
          <w:sz w:val="21"/>
          <w:szCs w:val="21"/>
        </w:rPr>
        <w:t>期间的收益分配</w:t>
      </w:r>
    </w:p>
    <w:p w14:paraId="34C0232E"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本基金实施</w:t>
      </w:r>
      <w:proofErr w:type="gramStart"/>
      <w:r>
        <w:rPr>
          <w:rFonts w:ascii="宋体" w:hAnsi="宋体" w:cs="宋体"/>
          <w:sz w:val="21"/>
          <w:szCs w:val="21"/>
        </w:rPr>
        <w:t>侧袋机制</w:t>
      </w:r>
      <w:proofErr w:type="gramEnd"/>
      <w:r>
        <w:rPr>
          <w:rFonts w:ascii="宋体" w:hAnsi="宋体" w:cs="宋体"/>
          <w:sz w:val="21"/>
          <w:szCs w:val="21"/>
        </w:rPr>
        <w:t>的，</w:t>
      </w:r>
      <w:proofErr w:type="gramStart"/>
      <w:r>
        <w:rPr>
          <w:rFonts w:ascii="宋体" w:hAnsi="宋体" w:cs="宋体"/>
          <w:sz w:val="21"/>
          <w:szCs w:val="21"/>
        </w:rPr>
        <w:t>侧袋账户</w:t>
      </w:r>
      <w:proofErr w:type="gramEnd"/>
      <w:r>
        <w:rPr>
          <w:rFonts w:ascii="宋体" w:hAnsi="宋体" w:cs="宋体"/>
          <w:sz w:val="21"/>
          <w:szCs w:val="21"/>
        </w:rPr>
        <w:t>不进行收益分配，详见招募说明书的规定。</w:t>
      </w:r>
    </w:p>
    <w:p w14:paraId="4A1270DB"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b/>
          <w:bCs/>
          <w:sz w:val="21"/>
          <w:szCs w:val="21"/>
        </w:rPr>
        <w:t>第四、与基金财产管理、运用有关费用的提取、支付方式与比例</w:t>
      </w:r>
    </w:p>
    <w:p w14:paraId="40807001"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一、基金费用的种类</w:t>
      </w:r>
    </w:p>
    <w:p w14:paraId="1A55A62A"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1、基金管理人的管理费；</w:t>
      </w:r>
    </w:p>
    <w:p w14:paraId="62D45DE4"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2、基金托管人的托管费；</w:t>
      </w:r>
    </w:p>
    <w:p w14:paraId="0822DC5B" w14:textId="399755C6"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3、销售服务费；</w:t>
      </w:r>
    </w:p>
    <w:p w14:paraId="3C6C5172" w14:textId="7DC250A9"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4、</w:t>
      </w:r>
      <w:r w:rsidR="00730EB6">
        <w:rPr>
          <w:rFonts w:ascii="宋体" w:hAnsi="宋体" w:cs="宋体" w:hint="eastAsia"/>
          <w:sz w:val="21"/>
          <w:szCs w:val="21"/>
        </w:rPr>
        <w:t>因投资港股通标的股票而产生的各项合理费用</w:t>
      </w:r>
      <w:r>
        <w:rPr>
          <w:rFonts w:ascii="宋体" w:hAnsi="宋体" w:cs="宋体"/>
          <w:sz w:val="21"/>
          <w:szCs w:val="21"/>
        </w:rPr>
        <w:t>；</w:t>
      </w:r>
    </w:p>
    <w:p w14:paraId="227D59B5"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5、《基金合同》生效后与基金相关的信息披露费用（除法律法规、中国证监会另有规定外）；</w:t>
      </w:r>
    </w:p>
    <w:p w14:paraId="3DE73FAF"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6、《基金合同》生效后与基金相关的会计师费、律师费、仲裁费、诉讼费、公证费和认证费；</w:t>
      </w:r>
    </w:p>
    <w:p w14:paraId="6B82E8A0"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7、基金份额持有人大会费用；</w:t>
      </w:r>
    </w:p>
    <w:p w14:paraId="182329FA"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8、基金的证券/期货等交易费用；</w:t>
      </w:r>
    </w:p>
    <w:p w14:paraId="180E2C5F"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9、基金的银行汇划费用；</w:t>
      </w:r>
    </w:p>
    <w:p w14:paraId="72C8F61A"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10、基金相关账户的开户费用及维护费用；</w:t>
      </w:r>
    </w:p>
    <w:p w14:paraId="22962920"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11、按照国家有关规定和《基金合同》约定，可以在基金财产中列支的其他费用。</w:t>
      </w:r>
    </w:p>
    <w:p w14:paraId="75B476D4"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二、基金费用计提方法、计提标准和支付方式</w:t>
      </w:r>
    </w:p>
    <w:p w14:paraId="273FAACA"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1、基金管理人的管理费</w:t>
      </w:r>
    </w:p>
    <w:p w14:paraId="5087BFF4" w14:textId="35E3E983"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本基金的管理费按前一日基金资产净值的1.</w:t>
      </w:r>
      <w:r w:rsidR="00471714">
        <w:rPr>
          <w:rFonts w:ascii="宋体" w:hAnsi="宋体" w:cs="宋体"/>
          <w:sz w:val="21"/>
          <w:szCs w:val="21"/>
        </w:rPr>
        <w:t>2</w:t>
      </w:r>
      <w:r>
        <w:rPr>
          <w:rFonts w:ascii="宋体" w:hAnsi="宋体" w:cs="宋体"/>
          <w:sz w:val="21"/>
          <w:szCs w:val="21"/>
        </w:rPr>
        <w:t>0%年费率计提。管理费的计算方法如下：</w:t>
      </w:r>
    </w:p>
    <w:p w14:paraId="02DBD2CE" w14:textId="2EA2245F"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H=E×1.</w:t>
      </w:r>
      <w:r w:rsidR="00471714">
        <w:rPr>
          <w:rFonts w:ascii="宋体" w:hAnsi="宋体" w:cs="宋体"/>
          <w:sz w:val="21"/>
          <w:szCs w:val="21"/>
        </w:rPr>
        <w:t>2</w:t>
      </w:r>
      <w:r>
        <w:rPr>
          <w:rFonts w:ascii="宋体" w:hAnsi="宋体" w:cs="宋体"/>
          <w:sz w:val="21"/>
          <w:szCs w:val="21"/>
        </w:rPr>
        <w:t>0%÷当年天数</w:t>
      </w:r>
    </w:p>
    <w:p w14:paraId="4632D02C"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H为每日应计提的基金管理费</w:t>
      </w:r>
    </w:p>
    <w:p w14:paraId="26690FB0"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E为前一日的基金资产净值</w:t>
      </w:r>
    </w:p>
    <w:p w14:paraId="278BAC67" w14:textId="0228FC31"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基金管理费每日计提，按月支付</w:t>
      </w:r>
      <w:r w:rsidR="00730EB6" w:rsidRPr="00730EB6">
        <w:rPr>
          <w:rFonts w:ascii="宋体" w:hAnsi="宋体" w:cs="宋体" w:hint="eastAsia"/>
          <w:sz w:val="21"/>
          <w:szCs w:val="21"/>
        </w:rPr>
        <w:t>。由基金托管人根据与基金管理人核对一致的财务数据，自动在月初5</w:t>
      </w:r>
      <w:proofErr w:type="gramStart"/>
      <w:r w:rsidR="00730EB6" w:rsidRPr="00730EB6">
        <w:rPr>
          <w:rFonts w:ascii="宋体" w:hAnsi="宋体" w:cs="宋体" w:hint="eastAsia"/>
          <w:sz w:val="21"/>
          <w:szCs w:val="21"/>
        </w:rPr>
        <w:t>个</w:t>
      </w:r>
      <w:proofErr w:type="gramEnd"/>
      <w:r w:rsidR="00730EB6" w:rsidRPr="00730EB6">
        <w:rPr>
          <w:rFonts w:ascii="宋体" w:hAnsi="宋体" w:cs="宋体" w:hint="eastAsia"/>
          <w:sz w:val="21"/>
          <w:szCs w:val="21"/>
        </w:rPr>
        <w:t>工作日内、按照指定的账户路径进行资金支付，基金管理人无需再出</w:t>
      </w:r>
      <w:r w:rsidR="00730EB6" w:rsidRPr="00730EB6">
        <w:rPr>
          <w:rFonts w:ascii="宋体" w:hAnsi="宋体" w:cs="宋体" w:hint="eastAsia"/>
          <w:sz w:val="21"/>
          <w:szCs w:val="21"/>
        </w:rPr>
        <w:lastRenderedPageBreak/>
        <w:t>具资金划拨指令。</w:t>
      </w:r>
      <w:r>
        <w:rPr>
          <w:rFonts w:ascii="宋体" w:hAnsi="宋体" w:cs="宋体"/>
          <w:sz w:val="21"/>
          <w:szCs w:val="21"/>
        </w:rPr>
        <w:t>若遇法定节假日、</w:t>
      </w:r>
      <w:r w:rsidR="00730EB6" w:rsidRPr="00730EB6">
        <w:rPr>
          <w:rFonts w:ascii="宋体" w:hAnsi="宋体" w:cs="宋体" w:hint="eastAsia"/>
          <w:sz w:val="21"/>
          <w:szCs w:val="21"/>
        </w:rPr>
        <w:t>休息日等</w:t>
      </w:r>
      <w:r>
        <w:rPr>
          <w:rFonts w:ascii="宋体" w:hAnsi="宋体" w:cs="宋体"/>
          <w:sz w:val="21"/>
          <w:szCs w:val="21"/>
        </w:rPr>
        <w:t>，支付日期顺延。</w:t>
      </w:r>
      <w:r w:rsidR="00730EB6" w:rsidRPr="00730EB6">
        <w:rPr>
          <w:rFonts w:ascii="宋体" w:hAnsi="宋体" w:cs="宋体" w:hint="eastAsia"/>
          <w:sz w:val="21"/>
          <w:szCs w:val="21"/>
        </w:rPr>
        <w:t>费用自动扣划后，管理人应进行核对，如发现数据不符，及时联系托管人协商解决。</w:t>
      </w:r>
    </w:p>
    <w:p w14:paraId="3461C09D"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2、基金托管人的托管费</w:t>
      </w:r>
    </w:p>
    <w:p w14:paraId="25270EAB" w14:textId="2385797F"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本基金的托管费按前一日基金资产净值的0.2</w:t>
      </w:r>
      <w:r w:rsidR="00471714">
        <w:rPr>
          <w:rFonts w:ascii="宋体" w:hAnsi="宋体" w:cs="宋体"/>
          <w:sz w:val="21"/>
          <w:szCs w:val="21"/>
        </w:rPr>
        <w:t>0</w:t>
      </w:r>
      <w:r>
        <w:rPr>
          <w:rFonts w:ascii="宋体" w:hAnsi="宋体" w:cs="宋体"/>
          <w:sz w:val="21"/>
          <w:szCs w:val="21"/>
        </w:rPr>
        <w:t>%的年费率计提。托管费的计算方法如下：</w:t>
      </w:r>
    </w:p>
    <w:p w14:paraId="666A8279" w14:textId="6168BEE0"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H=E×0.2</w:t>
      </w:r>
      <w:r w:rsidR="00471714">
        <w:rPr>
          <w:rFonts w:ascii="宋体" w:hAnsi="宋体" w:cs="宋体"/>
          <w:sz w:val="21"/>
          <w:szCs w:val="21"/>
        </w:rPr>
        <w:t>0</w:t>
      </w:r>
      <w:r>
        <w:rPr>
          <w:rFonts w:ascii="宋体" w:hAnsi="宋体" w:cs="宋体"/>
          <w:sz w:val="21"/>
          <w:szCs w:val="21"/>
        </w:rPr>
        <w:t>%÷当年天数</w:t>
      </w:r>
    </w:p>
    <w:p w14:paraId="1F1C3952"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H为每日应计提的基金托管费</w:t>
      </w:r>
    </w:p>
    <w:p w14:paraId="18CFBEB5"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E为前一日的基金资产净值</w:t>
      </w:r>
    </w:p>
    <w:p w14:paraId="74D3D6E7" w14:textId="512AC1F9"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基金托管费每日计提，按月支付</w:t>
      </w:r>
      <w:r w:rsidR="00730EB6" w:rsidRPr="00730EB6">
        <w:rPr>
          <w:rFonts w:ascii="宋体" w:hAnsi="宋体" w:cs="宋体" w:hint="eastAsia"/>
          <w:sz w:val="21"/>
          <w:szCs w:val="21"/>
        </w:rPr>
        <w:t>。由基金托管人根据与基金管理人核对一致的财务数据，自动在月初5</w:t>
      </w:r>
      <w:proofErr w:type="gramStart"/>
      <w:r w:rsidR="00730EB6" w:rsidRPr="00730EB6">
        <w:rPr>
          <w:rFonts w:ascii="宋体" w:hAnsi="宋体" w:cs="宋体" w:hint="eastAsia"/>
          <w:sz w:val="21"/>
          <w:szCs w:val="21"/>
        </w:rPr>
        <w:t>个</w:t>
      </w:r>
      <w:proofErr w:type="gramEnd"/>
      <w:r w:rsidR="00730EB6" w:rsidRPr="00730EB6">
        <w:rPr>
          <w:rFonts w:ascii="宋体" w:hAnsi="宋体" w:cs="宋体" w:hint="eastAsia"/>
          <w:sz w:val="21"/>
          <w:szCs w:val="21"/>
        </w:rPr>
        <w:t>工作日内、按照指定的账户路径进行资金支付，基金管理人无需再出具资金划拨指令。</w:t>
      </w:r>
      <w:r>
        <w:rPr>
          <w:rFonts w:ascii="宋体" w:hAnsi="宋体" w:cs="宋体"/>
          <w:sz w:val="21"/>
          <w:szCs w:val="21"/>
        </w:rPr>
        <w:t>若遇法定节假日、</w:t>
      </w:r>
      <w:r w:rsidR="00730EB6" w:rsidRPr="00730EB6">
        <w:rPr>
          <w:rFonts w:ascii="宋体" w:hAnsi="宋体" w:cs="宋体" w:hint="eastAsia"/>
          <w:sz w:val="21"/>
          <w:szCs w:val="21"/>
        </w:rPr>
        <w:t>休息日等</w:t>
      </w:r>
      <w:r>
        <w:rPr>
          <w:rFonts w:ascii="宋体" w:hAnsi="宋体" w:cs="宋体"/>
          <w:sz w:val="21"/>
          <w:szCs w:val="21"/>
        </w:rPr>
        <w:t>，支付日期顺延。</w:t>
      </w:r>
      <w:r w:rsidR="00730EB6" w:rsidRPr="00730EB6">
        <w:rPr>
          <w:rFonts w:ascii="宋体" w:hAnsi="宋体" w:cs="宋体" w:hint="eastAsia"/>
          <w:sz w:val="21"/>
          <w:szCs w:val="21"/>
        </w:rPr>
        <w:t>费用自动扣划后，管理人应进行核对，如发现数据不符，及时联系托管人协商解决。</w:t>
      </w:r>
    </w:p>
    <w:p w14:paraId="7DE8621C"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3、销售服务费</w:t>
      </w:r>
    </w:p>
    <w:p w14:paraId="5708D8A9"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本基金A类基金份额不收取销售服务费，C类基金份额的销售服务费年费率为0.60%。本基金销售服务费将专门用于本基金的销售与基金份额持有人服务，基金管理人将在基金年度报告中对该项费用的列支情况作专项说明。销售服务费计提的计算公式如下：</w:t>
      </w:r>
    </w:p>
    <w:p w14:paraId="096CBB6A"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H=E×0.60%÷当年天数</w:t>
      </w:r>
    </w:p>
    <w:p w14:paraId="2B5E9A31"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H为C类基金份额每日应计提的销售服务费</w:t>
      </w:r>
    </w:p>
    <w:p w14:paraId="674E049E"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E为C类基金份额前一日的基金资产净值</w:t>
      </w:r>
    </w:p>
    <w:p w14:paraId="371411CB" w14:textId="589CA782"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基金销售服务费每日计提，按月支付</w:t>
      </w:r>
      <w:r w:rsidR="00730EB6" w:rsidRPr="00730EB6">
        <w:rPr>
          <w:rFonts w:ascii="宋体" w:hAnsi="宋体" w:cs="宋体" w:hint="eastAsia"/>
          <w:sz w:val="21"/>
          <w:szCs w:val="21"/>
        </w:rPr>
        <w:t>。由基金托管人根据与基金管理人核对一致的财务数据，自动在月初5</w:t>
      </w:r>
      <w:proofErr w:type="gramStart"/>
      <w:r w:rsidR="00730EB6" w:rsidRPr="00730EB6">
        <w:rPr>
          <w:rFonts w:ascii="宋体" w:hAnsi="宋体" w:cs="宋体" w:hint="eastAsia"/>
          <w:sz w:val="21"/>
          <w:szCs w:val="21"/>
        </w:rPr>
        <w:t>个</w:t>
      </w:r>
      <w:proofErr w:type="gramEnd"/>
      <w:r w:rsidR="00730EB6" w:rsidRPr="00730EB6">
        <w:rPr>
          <w:rFonts w:ascii="宋体" w:hAnsi="宋体" w:cs="宋体" w:hint="eastAsia"/>
          <w:sz w:val="21"/>
          <w:szCs w:val="21"/>
        </w:rPr>
        <w:t>工作日内、按照指定的账户路径进行资金支付，基金管理人无需再出具资金划拨指令。</w:t>
      </w:r>
      <w:r>
        <w:rPr>
          <w:rFonts w:ascii="宋体" w:hAnsi="宋体" w:cs="宋体"/>
          <w:sz w:val="21"/>
          <w:szCs w:val="21"/>
        </w:rPr>
        <w:t>若遇法定节假日、</w:t>
      </w:r>
      <w:r w:rsidR="00730EB6" w:rsidRPr="00730EB6">
        <w:rPr>
          <w:rFonts w:ascii="宋体" w:hAnsi="宋体" w:cs="宋体" w:hint="eastAsia"/>
          <w:sz w:val="21"/>
          <w:szCs w:val="21"/>
        </w:rPr>
        <w:t>休息日等</w:t>
      </w:r>
      <w:r>
        <w:rPr>
          <w:rFonts w:ascii="宋体" w:hAnsi="宋体" w:cs="宋体"/>
          <w:sz w:val="21"/>
          <w:szCs w:val="21"/>
        </w:rPr>
        <w:t>，支付日期顺延。</w:t>
      </w:r>
      <w:r w:rsidR="00730EB6" w:rsidRPr="00730EB6">
        <w:rPr>
          <w:rFonts w:ascii="宋体" w:hAnsi="宋体" w:cs="宋体" w:hint="eastAsia"/>
          <w:sz w:val="21"/>
          <w:szCs w:val="21"/>
        </w:rPr>
        <w:t>费用自动扣划后，管理人应进行核对，如发现数据不符，及时联系托管人协商解决。</w:t>
      </w:r>
    </w:p>
    <w:p w14:paraId="17FB5DE8"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上述“一、基金费用的种类”中第4－11项费用，根据有关法规及相应协议规定，按费用实际支出金额列入当期费用，由基金托管人从基金财产中支付。</w:t>
      </w:r>
    </w:p>
    <w:p w14:paraId="214E59DC"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三、不列入基金费用的项目</w:t>
      </w:r>
    </w:p>
    <w:p w14:paraId="55DA18D3"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下列费用不列入基金费用：</w:t>
      </w:r>
    </w:p>
    <w:p w14:paraId="2AF73091"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1、基金管理人和基金托管人因未履行或未完全履行义务导致的费用支出或基金财产的损失；</w:t>
      </w:r>
    </w:p>
    <w:p w14:paraId="680F0350"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2、基金管理人和基金托管人处理与基金运作无关的事项发生的费用；</w:t>
      </w:r>
    </w:p>
    <w:p w14:paraId="22FF0FB2"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3、《基金合同》生效前的相关费用；</w:t>
      </w:r>
    </w:p>
    <w:p w14:paraId="2E09EE44"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4、其他根据相关法律法规及中国证监会的有关规定不得列入基金费用的项目。</w:t>
      </w:r>
    </w:p>
    <w:p w14:paraId="4E066EEF"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四、实施</w:t>
      </w:r>
      <w:proofErr w:type="gramStart"/>
      <w:r>
        <w:rPr>
          <w:rFonts w:ascii="宋体" w:hAnsi="宋体" w:cs="宋体"/>
          <w:sz w:val="21"/>
          <w:szCs w:val="21"/>
        </w:rPr>
        <w:t>侧袋机制</w:t>
      </w:r>
      <w:proofErr w:type="gramEnd"/>
      <w:r>
        <w:rPr>
          <w:rFonts w:ascii="宋体" w:hAnsi="宋体" w:cs="宋体"/>
          <w:sz w:val="21"/>
          <w:szCs w:val="21"/>
        </w:rPr>
        <w:t>期间的基金费用</w:t>
      </w:r>
    </w:p>
    <w:p w14:paraId="67DAA48F" w14:textId="0CD31E6A"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本基金实施</w:t>
      </w:r>
      <w:proofErr w:type="gramStart"/>
      <w:r>
        <w:rPr>
          <w:rFonts w:ascii="宋体" w:hAnsi="宋体" w:cs="宋体"/>
          <w:sz w:val="21"/>
          <w:szCs w:val="21"/>
        </w:rPr>
        <w:t>侧袋机制</w:t>
      </w:r>
      <w:proofErr w:type="gramEnd"/>
      <w:r>
        <w:rPr>
          <w:rFonts w:ascii="宋体" w:hAnsi="宋体" w:cs="宋体"/>
          <w:sz w:val="21"/>
          <w:szCs w:val="21"/>
        </w:rPr>
        <w:t>的，</w:t>
      </w:r>
      <w:proofErr w:type="gramStart"/>
      <w:r>
        <w:rPr>
          <w:rFonts w:ascii="宋体" w:hAnsi="宋体" w:cs="宋体"/>
          <w:sz w:val="21"/>
          <w:szCs w:val="21"/>
        </w:rPr>
        <w:t>与侧袋账户</w:t>
      </w:r>
      <w:proofErr w:type="gramEnd"/>
      <w:r>
        <w:rPr>
          <w:rFonts w:ascii="宋体" w:hAnsi="宋体" w:cs="宋体"/>
          <w:sz w:val="21"/>
          <w:szCs w:val="21"/>
        </w:rPr>
        <w:t>有关的费用可以</w:t>
      </w:r>
      <w:proofErr w:type="gramStart"/>
      <w:r>
        <w:rPr>
          <w:rFonts w:ascii="宋体" w:hAnsi="宋体" w:cs="宋体"/>
          <w:sz w:val="21"/>
          <w:szCs w:val="21"/>
        </w:rPr>
        <w:t>从侧袋账户</w:t>
      </w:r>
      <w:proofErr w:type="gramEnd"/>
      <w:r>
        <w:rPr>
          <w:rFonts w:ascii="宋体" w:hAnsi="宋体" w:cs="宋体"/>
          <w:sz w:val="21"/>
          <w:szCs w:val="21"/>
        </w:rPr>
        <w:t>中列支，但应</w:t>
      </w:r>
      <w:proofErr w:type="gramStart"/>
      <w:r>
        <w:rPr>
          <w:rFonts w:ascii="宋体" w:hAnsi="宋体" w:cs="宋体"/>
          <w:sz w:val="21"/>
          <w:szCs w:val="21"/>
        </w:rPr>
        <w:t>待侧袋</w:t>
      </w:r>
      <w:proofErr w:type="gramEnd"/>
      <w:r>
        <w:rPr>
          <w:rFonts w:ascii="宋体" w:hAnsi="宋体" w:cs="宋体"/>
          <w:sz w:val="21"/>
          <w:szCs w:val="21"/>
        </w:rPr>
        <w:lastRenderedPageBreak/>
        <w:t>账户资产变现后方可列支，有关费用可酌情收取或减免，但不得收取</w:t>
      </w:r>
      <w:r w:rsidR="00DA19C2">
        <w:rPr>
          <w:rFonts w:ascii="宋体" w:hAnsi="宋体" w:cs="宋体"/>
          <w:sz w:val="21"/>
          <w:szCs w:val="21"/>
        </w:rPr>
        <w:t>基金</w:t>
      </w:r>
      <w:r>
        <w:rPr>
          <w:rFonts w:ascii="宋体" w:hAnsi="宋体" w:cs="宋体"/>
          <w:sz w:val="21"/>
          <w:szCs w:val="21"/>
        </w:rPr>
        <w:t>管理费，详见招募说明书的规定或相关公告。</w:t>
      </w:r>
    </w:p>
    <w:p w14:paraId="49E7E4B4"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五、基金税收</w:t>
      </w:r>
    </w:p>
    <w:p w14:paraId="603DB6AA"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本基金运作过程中涉及的各纳税主体，其纳税义务按国家税收法律、法规执行。基金财产投资的相关税收，由基金份额持有人承担，基金管理人或者其他扣缴义务人按照国家有关税收征收的规定代扣代缴。</w:t>
      </w:r>
    </w:p>
    <w:p w14:paraId="3A957977"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b/>
          <w:bCs/>
          <w:sz w:val="21"/>
          <w:szCs w:val="21"/>
        </w:rPr>
        <w:t>第五、基金财产的投资目标、投资范围和投资限制</w:t>
      </w:r>
    </w:p>
    <w:p w14:paraId="13619EAD"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一、投资目标</w:t>
      </w:r>
    </w:p>
    <w:p w14:paraId="23112186" w14:textId="1A428979"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本基金主要投资</w:t>
      </w:r>
      <w:r w:rsidR="00B92AE0" w:rsidRPr="00B92AE0">
        <w:rPr>
          <w:rFonts w:ascii="宋体" w:hAnsi="宋体" w:cs="宋体" w:hint="eastAsia"/>
          <w:sz w:val="21"/>
          <w:szCs w:val="21"/>
        </w:rPr>
        <w:t>创新医药</w:t>
      </w:r>
      <w:r>
        <w:rPr>
          <w:rFonts w:ascii="宋体" w:hAnsi="宋体" w:cs="宋体"/>
          <w:sz w:val="21"/>
          <w:szCs w:val="21"/>
        </w:rPr>
        <w:t>相关的上市公司股票，采用积极主动的投资策略，在有效控制投资组合风险的前提下，力争获取超越业绩比较基准的投资回报，实现基金资产的长期稳健增值。</w:t>
      </w:r>
    </w:p>
    <w:p w14:paraId="633FE0E1"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二、投资范围</w:t>
      </w:r>
    </w:p>
    <w:p w14:paraId="24A2F15B"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本基金的投资范围为具有良好流动性的金融工具，包括境内依法发行或上市交易的股票（包含主板、创业板及其他中国证监会允许基金投资的股票）、存托凭证、港股通标的股票、债券（含国债、金融债、企业债、公司债、央行票据、政府支持机构债、地方政府债、中期票据、短期融资</w:t>
      </w:r>
      <w:proofErr w:type="gramStart"/>
      <w:r>
        <w:rPr>
          <w:rFonts w:ascii="宋体" w:hAnsi="宋体" w:cs="宋体"/>
          <w:sz w:val="21"/>
          <w:szCs w:val="21"/>
        </w:rPr>
        <w:t>券</w:t>
      </w:r>
      <w:proofErr w:type="gramEnd"/>
      <w:r>
        <w:rPr>
          <w:rFonts w:ascii="宋体" w:hAnsi="宋体" w:cs="宋体"/>
          <w:sz w:val="21"/>
          <w:szCs w:val="21"/>
        </w:rPr>
        <w:t>、超短期融资</w:t>
      </w:r>
      <w:proofErr w:type="gramStart"/>
      <w:r>
        <w:rPr>
          <w:rFonts w:ascii="宋体" w:hAnsi="宋体" w:cs="宋体"/>
          <w:sz w:val="21"/>
          <w:szCs w:val="21"/>
        </w:rPr>
        <w:t>券</w:t>
      </w:r>
      <w:proofErr w:type="gramEnd"/>
      <w:r>
        <w:rPr>
          <w:rFonts w:ascii="宋体" w:hAnsi="宋体" w:cs="宋体"/>
          <w:sz w:val="21"/>
          <w:szCs w:val="21"/>
        </w:rPr>
        <w:t>、次级债、可转换债券、可交换债券及其他中国证监会允许基金投资的债券）、债券回购、银行存款（包括协议存款、定期存款等）、货币市场工具、同业存单、资产支持证券、股指期货以及法律法规或中国证监会允许基金投资的其他金融工具（但须符合中国证监会相关规定）。</w:t>
      </w:r>
    </w:p>
    <w:p w14:paraId="1A11ECD4"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本基金可根据相关法律法规和基金合同的约定，参与融资业务。</w:t>
      </w:r>
    </w:p>
    <w:p w14:paraId="3CB74068"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如法律法规或监管机构以后允许基金投资其他品种，基金管理人在履行适当程序后，可以将其纳入投资范围。</w:t>
      </w:r>
    </w:p>
    <w:p w14:paraId="5D2EA2E2" w14:textId="73F1ECF3"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基金的投资组合比例为：股票资产及存托凭证占基金资产的比例为60%-95%（其中，投资于港股通标的股票占股票资产的比例不超过50%），其中投资本基金界定的</w:t>
      </w:r>
      <w:r w:rsidR="00B92AE0" w:rsidRPr="00B92AE0">
        <w:rPr>
          <w:rFonts w:ascii="宋体" w:hAnsi="宋体" w:cs="宋体" w:hint="eastAsia"/>
          <w:sz w:val="21"/>
          <w:szCs w:val="21"/>
        </w:rPr>
        <w:t>创新医药</w:t>
      </w:r>
      <w:r>
        <w:rPr>
          <w:rFonts w:ascii="宋体" w:hAnsi="宋体" w:cs="宋体"/>
          <w:sz w:val="21"/>
          <w:szCs w:val="21"/>
        </w:rPr>
        <w:t>主题相关的</w:t>
      </w:r>
      <w:r w:rsidR="00265D22">
        <w:rPr>
          <w:rFonts w:ascii="宋体" w:hAnsi="宋体" w:cs="宋体"/>
          <w:sz w:val="21"/>
          <w:szCs w:val="21"/>
        </w:rPr>
        <w:t>股票</w:t>
      </w:r>
      <w:r>
        <w:rPr>
          <w:rFonts w:ascii="宋体" w:hAnsi="宋体" w:cs="宋体"/>
          <w:sz w:val="21"/>
          <w:szCs w:val="21"/>
        </w:rPr>
        <w:t>占非现金基金资产的比例不低于80%；每个交易日日终在扣除股指期货合约需缴纳的交易保证金后，基金保留的现金以及投资于到期日在一年以内的政府债券的比例合计不低于基金资产净值的5%，其中现金不包括结算备付金、存出保证金、应收申购款等。</w:t>
      </w:r>
    </w:p>
    <w:p w14:paraId="612B8E6B"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如果法律法规对该比例要求有变更的，本基金在履行适当程序后以变更后的比例为准，本基金的投资比例会做相应调整。</w:t>
      </w:r>
    </w:p>
    <w:p w14:paraId="5F03824D"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三、投资限制</w:t>
      </w:r>
    </w:p>
    <w:p w14:paraId="24AA9F3D"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1、组合限制</w:t>
      </w:r>
    </w:p>
    <w:p w14:paraId="40ABA3C7"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基金的投资组合应遵循以下限制：</w:t>
      </w:r>
    </w:p>
    <w:p w14:paraId="13B6E11D" w14:textId="0ABAC5E6"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（1）股票资产及存托凭证占基金资产的比例为60%-95%（其中，投资于港股通标的股</w:t>
      </w:r>
      <w:r>
        <w:rPr>
          <w:rFonts w:ascii="宋体" w:hAnsi="宋体" w:cs="宋体"/>
          <w:sz w:val="21"/>
          <w:szCs w:val="21"/>
        </w:rPr>
        <w:lastRenderedPageBreak/>
        <w:t>票占股票资产的比例不超过50%），其中投资本基金界定的</w:t>
      </w:r>
      <w:r w:rsidR="00B92AE0" w:rsidRPr="00B92AE0">
        <w:rPr>
          <w:rFonts w:ascii="宋体" w:hAnsi="宋体" w:cs="宋体" w:hint="eastAsia"/>
          <w:sz w:val="21"/>
          <w:szCs w:val="21"/>
        </w:rPr>
        <w:t>创新医药</w:t>
      </w:r>
      <w:r>
        <w:rPr>
          <w:rFonts w:ascii="宋体" w:hAnsi="宋体" w:cs="宋体"/>
          <w:sz w:val="21"/>
          <w:szCs w:val="21"/>
        </w:rPr>
        <w:t>主题相关的</w:t>
      </w:r>
      <w:r w:rsidR="00265D22">
        <w:rPr>
          <w:rFonts w:ascii="宋体" w:hAnsi="宋体" w:cs="宋体"/>
          <w:sz w:val="21"/>
          <w:szCs w:val="21"/>
        </w:rPr>
        <w:t>股票</w:t>
      </w:r>
      <w:r>
        <w:rPr>
          <w:rFonts w:ascii="宋体" w:hAnsi="宋体" w:cs="宋体"/>
          <w:sz w:val="21"/>
          <w:szCs w:val="21"/>
        </w:rPr>
        <w:t>占非现金基金资产的比例不低于80%；</w:t>
      </w:r>
    </w:p>
    <w:p w14:paraId="69E6C483"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2）每个交易日日终在扣除股指期货合约需缴纳的交易保证金后，基金保留的现金以及投资于到期日在一年以内的政府债券的比例合计不低于基金资产净值的5%，其中现金不包括结算备付金、存出保证金、应收申购款等；</w:t>
      </w:r>
    </w:p>
    <w:p w14:paraId="550DD185"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（3）本基金持有一家公司发行的证券（同一家公司在境内和香港同时上市的A+H股合计计算），其市值不超过基金资产净值的10%；</w:t>
      </w:r>
    </w:p>
    <w:p w14:paraId="0E2BC5CB"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（4）本基金管理人管理的</w:t>
      </w:r>
      <w:r w:rsidRPr="00AD7F1E">
        <w:rPr>
          <w:rFonts w:ascii="宋体" w:hAnsi="宋体" w:cs="宋体"/>
          <w:sz w:val="21"/>
          <w:szCs w:val="21"/>
        </w:rPr>
        <w:t>全</w:t>
      </w:r>
      <w:r>
        <w:rPr>
          <w:rFonts w:ascii="宋体" w:hAnsi="宋体" w:cs="宋体"/>
          <w:sz w:val="21"/>
          <w:szCs w:val="21"/>
        </w:rPr>
        <w:t>部基金持有一家公司发行的证券（同一家公司在境内和香港同时上市的A+H股合计计算），不超过该证券的10%，完全按照有关指数的构成比例进行证券投资的基金品种可以不受此条款规定的比例限制；</w:t>
      </w:r>
    </w:p>
    <w:p w14:paraId="404FB47E"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（5）本基金投资于同一原始权益人的各类资产支持证券的比例，不得超过基金资产净值的10%；</w:t>
      </w:r>
    </w:p>
    <w:p w14:paraId="4CCC2502"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（6）本基金持有的全部资产支持证券，其市值不得超过基金资产净值的20%，中国证监会规定的特殊品种除外；</w:t>
      </w:r>
    </w:p>
    <w:p w14:paraId="4EB49265"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（7）本基金持有的同一（指同一信用级别）资产支持证券的比例，不得超过该资产支持证券规模的10%；</w:t>
      </w:r>
    </w:p>
    <w:p w14:paraId="00611046"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（8）本基金管理人管理的</w:t>
      </w:r>
      <w:r w:rsidRPr="00AD7F1E">
        <w:rPr>
          <w:rFonts w:ascii="宋体" w:hAnsi="宋体" w:cs="宋体"/>
          <w:sz w:val="21"/>
          <w:szCs w:val="21"/>
        </w:rPr>
        <w:t>全</w:t>
      </w:r>
      <w:r>
        <w:rPr>
          <w:rFonts w:ascii="宋体" w:hAnsi="宋体" w:cs="宋体"/>
          <w:sz w:val="21"/>
          <w:szCs w:val="21"/>
        </w:rPr>
        <w:t>部基金投资于同一原始权益人的各类资产支持证券，不得超过其各类资产支持证券合计规模的10%；</w:t>
      </w:r>
    </w:p>
    <w:p w14:paraId="26BA1045"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（9）本基金应投资于信用级别评级为BBB以上（含BBB）的资产支持证券。基金持有资产支持证券期间，如果其信用等级下降、不再符合投资标准，应在评级报告发布之日起3个月内予以全部卖出；</w:t>
      </w:r>
    </w:p>
    <w:p w14:paraId="4B0EDB71"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（10）基金财产参与股票发行申购，本基金所申报的金额不超过本基金的总资产，本基金所申报的股票数量不超过拟发行股票公司本次发行股票的总量；</w:t>
      </w:r>
    </w:p>
    <w:p w14:paraId="2E00A0DF" w14:textId="1CBD019D"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（11）本基金管理人管理的</w:t>
      </w:r>
      <w:r w:rsidRPr="008F7433">
        <w:rPr>
          <w:rFonts w:ascii="宋体" w:hAnsi="宋体" w:cs="宋体"/>
          <w:sz w:val="21"/>
          <w:szCs w:val="21"/>
        </w:rPr>
        <w:t>全</w:t>
      </w:r>
      <w:r>
        <w:rPr>
          <w:rFonts w:ascii="宋体" w:hAnsi="宋体" w:cs="宋体"/>
          <w:sz w:val="21"/>
          <w:szCs w:val="21"/>
        </w:rPr>
        <w:t>部开放式基金持有一家上市公司发行的可流通股票，不得超过该上市公司可流通股票的15%；本基金管理人管理的</w:t>
      </w:r>
      <w:r w:rsidRPr="008F7433">
        <w:rPr>
          <w:rFonts w:ascii="宋体" w:hAnsi="宋体" w:cs="宋体"/>
          <w:sz w:val="21"/>
          <w:szCs w:val="21"/>
        </w:rPr>
        <w:t>全</w:t>
      </w:r>
      <w:r>
        <w:rPr>
          <w:rFonts w:ascii="宋体" w:hAnsi="宋体" w:cs="宋体"/>
          <w:sz w:val="21"/>
          <w:szCs w:val="21"/>
        </w:rPr>
        <w:t>部投资组合持有一家上市公司发行的可流通股票，不得超过该上市公司可流通股票的30%；完全按照有关指数的构成比例进行证券投资的开放式基金以及中国证监会认定的特殊投资组合可不受前述比例限制；</w:t>
      </w:r>
    </w:p>
    <w:p w14:paraId="692845C1" w14:textId="19F39B7C"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w:t>
      </w:r>
      <w:r w:rsidR="00DA19C2">
        <w:rPr>
          <w:rFonts w:ascii="宋体" w:hAnsi="宋体" w:cs="宋体"/>
          <w:sz w:val="21"/>
          <w:szCs w:val="21"/>
        </w:rPr>
        <w:t>12</w:t>
      </w:r>
      <w:r>
        <w:rPr>
          <w:rFonts w:ascii="宋体" w:hAnsi="宋体" w:cs="宋体"/>
          <w:sz w:val="21"/>
          <w:szCs w:val="21"/>
        </w:rPr>
        <w:t>）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14:paraId="4908E68A" w14:textId="31A0A769"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w:t>
      </w:r>
      <w:r w:rsidR="00DA19C2">
        <w:rPr>
          <w:rFonts w:ascii="宋体" w:hAnsi="宋体" w:cs="宋体"/>
          <w:sz w:val="21"/>
          <w:szCs w:val="21"/>
        </w:rPr>
        <w:t>13</w:t>
      </w:r>
      <w:r>
        <w:rPr>
          <w:rFonts w:ascii="宋体" w:hAnsi="宋体" w:cs="宋体"/>
          <w:sz w:val="21"/>
          <w:szCs w:val="21"/>
        </w:rPr>
        <w:t>）本基金资产总值不超过基金资产净值的140%；</w:t>
      </w:r>
    </w:p>
    <w:p w14:paraId="75810569" w14:textId="7B4325EE"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w:t>
      </w:r>
      <w:r w:rsidR="00DA19C2">
        <w:rPr>
          <w:rFonts w:ascii="宋体" w:hAnsi="宋体" w:cs="宋体"/>
          <w:sz w:val="21"/>
          <w:szCs w:val="21"/>
        </w:rPr>
        <w:t>14</w:t>
      </w:r>
      <w:r>
        <w:rPr>
          <w:rFonts w:ascii="宋体" w:hAnsi="宋体" w:cs="宋体"/>
          <w:sz w:val="21"/>
          <w:szCs w:val="21"/>
        </w:rPr>
        <w:t>）若本基金参与股指期货交易，应当遵守下列要求：</w:t>
      </w:r>
    </w:p>
    <w:p w14:paraId="71B97FB5"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a.本基金在任何交易日日终，持有的买入股指期货合约价值，不得超过基金资产净值的10%；</w:t>
      </w:r>
    </w:p>
    <w:p w14:paraId="7465389D"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lastRenderedPageBreak/>
        <w:t>b.本基金在任何交易日日终，持有的买入股指期货合约价值与有价证券市值之和，不得超过基金资产净值的95%。其中，有价证券指股票、债券（不含到期日在一年以内的政府债券）、资产支持证券、买入返售金融资产（不含质押式回购）等；</w:t>
      </w:r>
    </w:p>
    <w:p w14:paraId="6A39D498"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c.本基金在任何交易日日终，持有的卖出股指期货合约价值不得超过基金持有的股票总市值的20%；</w:t>
      </w:r>
    </w:p>
    <w:p w14:paraId="479DCB45"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d.本基金所持有的股票市值和买入、卖出股指期货合约价值，合计（轧差计算）应当符合基金合同关于股票投资比例的有关约定；</w:t>
      </w:r>
    </w:p>
    <w:p w14:paraId="0B8C002B"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e.本基金在任何交易日内交易（不包括平仓）的股指期货合约的成交金额不得超过上一交易日基金资产净值的20%；</w:t>
      </w:r>
    </w:p>
    <w:p w14:paraId="14EF2CE4" w14:textId="5A1323E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w:t>
      </w:r>
      <w:r w:rsidR="00DA19C2">
        <w:rPr>
          <w:rFonts w:ascii="宋体" w:hAnsi="宋体" w:cs="宋体"/>
          <w:sz w:val="21"/>
          <w:szCs w:val="21"/>
        </w:rPr>
        <w:t>15</w:t>
      </w:r>
      <w:r>
        <w:rPr>
          <w:rFonts w:ascii="宋体" w:hAnsi="宋体" w:cs="宋体"/>
          <w:sz w:val="21"/>
          <w:szCs w:val="21"/>
        </w:rPr>
        <w:t>）本基金参与融资的，每个交易日日终，本基金持有的融资买入股票与其他有价证券市值之和，不得超过基金资产净值的95%；</w:t>
      </w:r>
    </w:p>
    <w:p w14:paraId="3699F44E" w14:textId="2B554C48"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w:t>
      </w:r>
      <w:r w:rsidR="00DA19C2">
        <w:rPr>
          <w:rFonts w:ascii="宋体" w:hAnsi="宋体" w:cs="宋体"/>
          <w:sz w:val="21"/>
          <w:szCs w:val="21"/>
        </w:rPr>
        <w:t>16</w:t>
      </w:r>
      <w:r>
        <w:rPr>
          <w:rFonts w:ascii="宋体" w:hAnsi="宋体" w:cs="宋体"/>
          <w:sz w:val="21"/>
          <w:szCs w:val="21"/>
        </w:rPr>
        <w:t>）本基金投资存托凭证的比例限制依照境内上市交易的股票执行，与境内上市交易的股票合并计算；</w:t>
      </w:r>
    </w:p>
    <w:p w14:paraId="4B3E2722" w14:textId="025C2733"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w:t>
      </w:r>
      <w:r w:rsidR="00DA19C2">
        <w:rPr>
          <w:rFonts w:ascii="宋体" w:hAnsi="宋体" w:cs="宋体"/>
          <w:sz w:val="21"/>
          <w:szCs w:val="21"/>
        </w:rPr>
        <w:t>17</w:t>
      </w:r>
      <w:r>
        <w:rPr>
          <w:rFonts w:ascii="宋体" w:hAnsi="宋体" w:cs="宋体"/>
          <w:sz w:val="21"/>
          <w:szCs w:val="21"/>
        </w:rPr>
        <w:t>）本基金与私募类</w:t>
      </w:r>
      <w:proofErr w:type="gramStart"/>
      <w:r>
        <w:rPr>
          <w:rFonts w:ascii="宋体" w:hAnsi="宋体" w:cs="宋体"/>
          <w:sz w:val="21"/>
          <w:szCs w:val="21"/>
        </w:rPr>
        <w:t>证券资管产品</w:t>
      </w:r>
      <w:proofErr w:type="gramEnd"/>
      <w:r>
        <w:rPr>
          <w:rFonts w:ascii="宋体" w:hAnsi="宋体" w:cs="宋体"/>
          <w:sz w:val="21"/>
          <w:szCs w:val="21"/>
        </w:rPr>
        <w:t>及中国证监会认定的其他主体为交易对手开展逆回购交易的，可接受质押品的资质要求应当与本基金合同约定的投资范围保持一致；</w:t>
      </w:r>
    </w:p>
    <w:p w14:paraId="2A70122E" w14:textId="2458761E"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w:t>
      </w:r>
      <w:r w:rsidR="00DA19C2">
        <w:rPr>
          <w:rFonts w:ascii="宋体" w:hAnsi="宋体" w:cs="宋体"/>
          <w:sz w:val="21"/>
          <w:szCs w:val="21"/>
        </w:rPr>
        <w:t>18</w:t>
      </w:r>
      <w:r>
        <w:rPr>
          <w:rFonts w:ascii="宋体" w:hAnsi="宋体" w:cs="宋体"/>
          <w:sz w:val="21"/>
          <w:szCs w:val="21"/>
        </w:rPr>
        <w:t>）法律法规及中国证监会规定的和《基金合同》约定的其他投资限制。</w:t>
      </w:r>
    </w:p>
    <w:p w14:paraId="2876257C" w14:textId="0440280B"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除上述第（2）、（9）、（</w:t>
      </w:r>
      <w:r w:rsidR="00DA19C2">
        <w:rPr>
          <w:rFonts w:ascii="宋体" w:hAnsi="宋体" w:cs="宋体"/>
          <w:sz w:val="21"/>
          <w:szCs w:val="21"/>
        </w:rPr>
        <w:t>12</w:t>
      </w:r>
      <w:r>
        <w:rPr>
          <w:rFonts w:ascii="宋体" w:hAnsi="宋体" w:cs="宋体"/>
          <w:sz w:val="21"/>
          <w:szCs w:val="21"/>
        </w:rPr>
        <w:t>）、（</w:t>
      </w:r>
      <w:r w:rsidR="00DA19C2">
        <w:rPr>
          <w:rFonts w:ascii="宋体" w:hAnsi="宋体" w:cs="宋体"/>
          <w:sz w:val="21"/>
          <w:szCs w:val="21"/>
        </w:rPr>
        <w:t>17</w:t>
      </w:r>
      <w:r>
        <w:rPr>
          <w:rFonts w:ascii="宋体" w:hAnsi="宋体" w:cs="宋体"/>
          <w:sz w:val="21"/>
          <w:szCs w:val="21"/>
        </w:rPr>
        <w:t>）项情形之外，因证券/期货市场波动、证券发行人合并、基金规模变动等基金管理人之外的因素致使基金投资比例不符合上述规定投资比例的，基金管理人应当在10个交易日内进行调整，但中国证监会规定的特殊情形除外。</w:t>
      </w:r>
    </w:p>
    <w:p w14:paraId="5788D76B"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基金管理人应当自基金合同生效之日起6个月内使基金的投资组合比例符合基金合同的有关约定。在上述期间内，本基金的投资范围、投资策略应当符合基金合同的约定。基金托管人对基金的投资的监督与检查自本基金合同生效之日起开始。</w:t>
      </w:r>
    </w:p>
    <w:p w14:paraId="37BD07C0"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法律法规或监管部门取消或调整上述限制，如适用于本基金，基金管理人在履行适当程序后，则本基金投资不再受相关限制或按调整后的规定执行。</w:t>
      </w:r>
    </w:p>
    <w:p w14:paraId="69DF2F75"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2、禁止行为</w:t>
      </w:r>
    </w:p>
    <w:p w14:paraId="322C8C1F"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为维护基金份额持有人的合法权益，基金财产不得用于下列投资或者活动：</w:t>
      </w:r>
    </w:p>
    <w:p w14:paraId="72085B53"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（1）承销证券；</w:t>
      </w:r>
    </w:p>
    <w:p w14:paraId="45A465BB"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（2）违反规定向他人贷款或者提供担保；</w:t>
      </w:r>
    </w:p>
    <w:p w14:paraId="4EDF8409"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（3）从事承担无限责任的投资；</w:t>
      </w:r>
    </w:p>
    <w:p w14:paraId="6FD92396"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（4）买卖其他基金份额，但是中国证监会另有规定的除外；</w:t>
      </w:r>
    </w:p>
    <w:p w14:paraId="783714EB"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（5）向其基金管理人、基金托管人出资；</w:t>
      </w:r>
    </w:p>
    <w:p w14:paraId="742A7D12"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（6）从事内幕交易、操纵证券交易价格及其他不正当的证券交易活动；</w:t>
      </w:r>
    </w:p>
    <w:p w14:paraId="1D0D0591"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（7）法律、行政法规和中国证监会规定禁止的其他活动。</w:t>
      </w:r>
    </w:p>
    <w:p w14:paraId="179B400E"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基金管理人运用基金财产买卖基金管理人、基金托管人及其控股股东、实际控制人或</w:t>
      </w:r>
      <w:r>
        <w:rPr>
          <w:rFonts w:ascii="宋体" w:hAnsi="宋体" w:cs="宋体"/>
          <w:sz w:val="21"/>
          <w:szCs w:val="21"/>
        </w:rPr>
        <w:lastRenderedPageBreak/>
        <w:t>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39F50B4A"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法律法规或监管部门取消或调整上述禁止性规定，如适用于本基金，基金管理人在履行适当程序后，则本基金投资不再受相关限制或按调整后的规定执行。</w:t>
      </w:r>
    </w:p>
    <w:p w14:paraId="08BEE430"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b/>
          <w:bCs/>
          <w:sz w:val="21"/>
          <w:szCs w:val="21"/>
        </w:rPr>
        <w:t>第六、基金资产净值的计算方法和公告方式</w:t>
      </w:r>
    </w:p>
    <w:p w14:paraId="1E44B1CC"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一、基金资产净值的计算方法</w:t>
      </w:r>
    </w:p>
    <w:p w14:paraId="4C65A6F7"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基金资产净值是指基金资产总值减去基金负债后的价值。</w:t>
      </w:r>
    </w:p>
    <w:p w14:paraId="72C332FC"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二、基金净值信息的公告方式</w:t>
      </w:r>
    </w:p>
    <w:p w14:paraId="4587E4E8"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《基金合同》生效后，在开始办理基金份额申购或者赎回前，基金管理人应当至少每周在规定网站披露一次各类基金份额净值和基金份额累计净值。</w:t>
      </w:r>
    </w:p>
    <w:p w14:paraId="09657FC3"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在开始办理基金份额申购或者赎回后，基金管理人应当在不晚于每个开放日的次日，通过规定网站、基金销售机构网站或者营业网点披露开放日的各类基金份额净值和基金份额累计净值。</w:t>
      </w:r>
    </w:p>
    <w:p w14:paraId="15E30966"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基金管理人应当在不晚于半年度和年度最后一日的次日，在规定网站披露半年度和年度最后一日的各类基金份额净值和基金份额累计净值。</w:t>
      </w:r>
    </w:p>
    <w:p w14:paraId="41EC5251"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b/>
          <w:bCs/>
          <w:sz w:val="21"/>
          <w:szCs w:val="21"/>
        </w:rPr>
        <w:t>第七、基金合同变更和终止的事由、程序以及基金财产清算方式</w:t>
      </w:r>
    </w:p>
    <w:p w14:paraId="221EB31C"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一、《基金合同》的变更</w:t>
      </w:r>
    </w:p>
    <w:p w14:paraId="0ECA102B" w14:textId="638F903F"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1、变更基金合同涉及法律法规规定或本基金合同约定应经基金份额持有人大会决议通过的事项的，应召</w:t>
      </w:r>
      <w:proofErr w:type="gramStart"/>
      <w:r>
        <w:rPr>
          <w:rFonts w:ascii="宋体" w:hAnsi="宋体" w:cs="宋体"/>
          <w:sz w:val="21"/>
          <w:szCs w:val="21"/>
        </w:rPr>
        <w:t>开基金</w:t>
      </w:r>
      <w:proofErr w:type="gramEnd"/>
      <w:r>
        <w:rPr>
          <w:rFonts w:ascii="宋体" w:hAnsi="宋体" w:cs="宋体"/>
          <w:sz w:val="21"/>
          <w:szCs w:val="21"/>
        </w:rPr>
        <w:t>份额持有人大会决议通过。对于法律法规规定和基金合同约定可不经基金份额持有人大会决议通过的事项，由基金管理人和基金托管人同意后变更并公告。</w:t>
      </w:r>
    </w:p>
    <w:p w14:paraId="78DAF0AC"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2、关于《基金合同》变更的基金份额持有人大会决议自生效后方可执行，</w:t>
      </w:r>
      <w:proofErr w:type="gramStart"/>
      <w:r>
        <w:rPr>
          <w:rFonts w:ascii="宋体" w:hAnsi="宋体" w:cs="宋体"/>
          <w:sz w:val="21"/>
          <w:szCs w:val="21"/>
        </w:rPr>
        <w:t>自决议</w:t>
      </w:r>
      <w:proofErr w:type="gramEnd"/>
      <w:r>
        <w:rPr>
          <w:rFonts w:ascii="宋体" w:hAnsi="宋体" w:cs="宋体"/>
          <w:sz w:val="21"/>
          <w:szCs w:val="21"/>
        </w:rPr>
        <w:t>生效后两日内在规定媒介公告。</w:t>
      </w:r>
    </w:p>
    <w:p w14:paraId="024FF963"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二、《基金合同》的终止事由</w:t>
      </w:r>
    </w:p>
    <w:p w14:paraId="511F0B07"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有下列情形之一的，经履行相关程序后，《基金合同》应当终止：</w:t>
      </w:r>
    </w:p>
    <w:p w14:paraId="2EF6F100"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1、基金份额持有人大会决定终止的；</w:t>
      </w:r>
    </w:p>
    <w:p w14:paraId="5288553B"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2、基金管理人、基金托管人职责终止，在6个月内没有新基金管理人、新基金托管人承接的；</w:t>
      </w:r>
    </w:p>
    <w:p w14:paraId="533A962B"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3、《基金合同》约定的其他情形；</w:t>
      </w:r>
    </w:p>
    <w:p w14:paraId="0E12EB0C" w14:textId="77777777" w:rsidR="00DA19C2" w:rsidRDefault="00567D74" w:rsidP="00DA19C2">
      <w:pPr>
        <w:widowControl w:val="0"/>
        <w:spacing w:line="360" w:lineRule="auto"/>
        <w:ind w:firstLine="420"/>
        <w:jc w:val="both"/>
        <w:rPr>
          <w:rFonts w:ascii="宋体" w:hAnsi="宋体" w:cs="宋体"/>
          <w:sz w:val="21"/>
          <w:szCs w:val="21"/>
        </w:rPr>
      </w:pPr>
      <w:r>
        <w:rPr>
          <w:rFonts w:ascii="宋体" w:hAnsi="宋体" w:cs="宋体"/>
          <w:sz w:val="21"/>
          <w:szCs w:val="21"/>
        </w:rPr>
        <w:t>4</w:t>
      </w:r>
      <w:r w:rsidR="00DA19C2">
        <w:rPr>
          <w:rFonts w:ascii="宋体" w:hAnsi="宋体" w:cs="宋体"/>
          <w:sz w:val="21"/>
          <w:szCs w:val="21"/>
        </w:rPr>
        <w:t>、</w:t>
      </w:r>
      <w:r w:rsidR="00DA19C2" w:rsidRPr="00DD5F2F">
        <w:rPr>
          <w:rFonts w:ascii="宋体" w:hAnsi="宋体" w:cs="宋体" w:hint="eastAsia"/>
          <w:sz w:val="21"/>
          <w:szCs w:val="21"/>
        </w:rPr>
        <w:t>连续50个工作日出现基金份额持有人数量不满200人或者基金资产净值低于5000万元情形的；</w:t>
      </w:r>
    </w:p>
    <w:p w14:paraId="099FD261" w14:textId="2C4CF27B" w:rsidR="00567D74" w:rsidRDefault="00DA19C2">
      <w:pPr>
        <w:widowControl w:val="0"/>
        <w:spacing w:line="360" w:lineRule="auto"/>
        <w:ind w:firstLine="420"/>
        <w:jc w:val="both"/>
        <w:rPr>
          <w:rFonts w:ascii="宋体" w:hAnsi="宋体" w:cs="宋体"/>
          <w:sz w:val="21"/>
          <w:szCs w:val="21"/>
        </w:rPr>
      </w:pPr>
      <w:r>
        <w:rPr>
          <w:rFonts w:ascii="宋体" w:hAnsi="宋体" w:cs="宋体"/>
          <w:sz w:val="21"/>
          <w:szCs w:val="21"/>
        </w:rPr>
        <w:lastRenderedPageBreak/>
        <w:t>5</w:t>
      </w:r>
      <w:r w:rsidR="00567D74">
        <w:rPr>
          <w:rFonts w:ascii="宋体" w:hAnsi="宋体" w:cs="宋体"/>
          <w:sz w:val="21"/>
          <w:szCs w:val="21"/>
        </w:rPr>
        <w:t>、相关法律法规和中国证监会规定的其他情况。</w:t>
      </w:r>
    </w:p>
    <w:p w14:paraId="53569626"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三、基金财产的清算</w:t>
      </w:r>
    </w:p>
    <w:p w14:paraId="3BCB1183"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1、基金财产清算小组：自出现《基金合同》终止事由之日起30个工作日内成立基金财产清算小组，基金管理人组织基金财产清算小组并在中国证监会的监督下进行基金清算。</w:t>
      </w:r>
    </w:p>
    <w:p w14:paraId="786BA308"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2、基金财产清算小组组成：基金财产清算小组成员由基金管理人、基金托管人、注册会计师、律师以及中国证监会指定的人员组成。基金财产清算小组可以聘用必要的工作人员。</w:t>
      </w:r>
    </w:p>
    <w:p w14:paraId="545A5EF1"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3、基金财产清算小组职责：基金财产清算小组负责基金财产的保管、清理、估价、变现和分配。基金财产清算小组可以依法进行必要的民事活动。</w:t>
      </w:r>
    </w:p>
    <w:p w14:paraId="29F93944"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4、基金财产清算程序：</w:t>
      </w:r>
    </w:p>
    <w:p w14:paraId="5916A6E4"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（1）《基金合同》终止情形出现</w:t>
      </w:r>
      <w:proofErr w:type="gramStart"/>
      <w:r>
        <w:rPr>
          <w:rFonts w:ascii="宋体" w:hAnsi="宋体" w:cs="宋体"/>
          <w:sz w:val="21"/>
          <w:szCs w:val="21"/>
        </w:rPr>
        <w:t>且基金</w:t>
      </w:r>
      <w:proofErr w:type="gramEnd"/>
      <w:r>
        <w:rPr>
          <w:rFonts w:ascii="宋体" w:hAnsi="宋体" w:cs="宋体"/>
          <w:sz w:val="21"/>
          <w:szCs w:val="21"/>
        </w:rPr>
        <w:t>财产清算小组成立后，由基金财产清算小组统一接管基金；</w:t>
      </w:r>
    </w:p>
    <w:p w14:paraId="550D53B7"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（2）对基金财产和债权债务进行清理和确认；</w:t>
      </w:r>
    </w:p>
    <w:p w14:paraId="7B5179FB"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（3）对基金财产进行估值和变现；</w:t>
      </w:r>
    </w:p>
    <w:p w14:paraId="7FC17E9A"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（4）制作清算报告；</w:t>
      </w:r>
    </w:p>
    <w:p w14:paraId="3D22D3DB"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（5）聘请会计师事务所对清算报告进行外部审计，聘请律师事务所对清算报告出具法律意见书；</w:t>
      </w:r>
    </w:p>
    <w:p w14:paraId="7C264069"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（6）将清算报告报中国证监会备案并公告；</w:t>
      </w:r>
    </w:p>
    <w:p w14:paraId="628203C3"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（7）对基金剩余财产进行分配。</w:t>
      </w:r>
    </w:p>
    <w:p w14:paraId="30D7475A"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5、基金财产清算的期限为6个月，但因本基金所持证券的流动性受到限制而不能及时变现的，清算期限相应顺延。</w:t>
      </w:r>
    </w:p>
    <w:p w14:paraId="4DD916AB"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四、清算费用</w:t>
      </w:r>
    </w:p>
    <w:p w14:paraId="1C478932"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清算费用是指基金财产清算小组在进行基金清算过程中发生的所有合理费用，清算费用由基金财产清算小组优先从基金剩余财产中支付。</w:t>
      </w:r>
    </w:p>
    <w:p w14:paraId="7F670C4A"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五、基金财产清算剩余资产的分配</w:t>
      </w:r>
    </w:p>
    <w:p w14:paraId="2F4F7DE0"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依据基金财产清算的分配方案，将基金财产清算后的全部剩余资产扣除基金财产清算费用、交纳所欠税款并清偿基金债务后，按基金份额持有人持有的基金份额比例进行分配。</w:t>
      </w:r>
    </w:p>
    <w:p w14:paraId="179CD21E"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六、基金财产清算的公告</w:t>
      </w:r>
    </w:p>
    <w:p w14:paraId="76359745"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清算过程中的有关重大事项须及时公告；基金财产清算报告</w:t>
      </w:r>
      <w:proofErr w:type="gramStart"/>
      <w:r>
        <w:rPr>
          <w:rFonts w:ascii="宋体" w:hAnsi="宋体" w:cs="宋体"/>
          <w:sz w:val="21"/>
          <w:szCs w:val="21"/>
        </w:rPr>
        <w:t>经符合</w:t>
      </w:r>
      <w:proofErr w:type="gramEnd"/>
      <w:r>
        <w:rPr>
          <w:rFonts w:ascii="宋体" w:hAnsi="宋体" w:cs="宋体"/>
          <w:sz w:val="21"/>
          <w:szCs w:val="21"/>
        </w:rPr>
        <w:t>《中华人民共和国证券法》规定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规定网站上，并将清算报告提示性公告登载在规定报刊上。</w:t>
      </w:r>
    </w:p>
    <w:p w14:paraId="00F9321F"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七、基金财产清算账册及文件的保存</w:t>
      </w:r>
    </w:p>
    <w:p w14:paraId="73049312"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lastRenderedPageBreak/>
        <w:t>基金财产清算账册及有关文件由基金托管人保存，保存期限不低于法定最低期限。</w:t>
      </w:r>
    </w:p>
    <w:p w14:paraId="118B0225"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b/>
          <w:bCs/>
          <w:sz w:val="21"/>
          <w:szCs w:val="21"/>
        </w:rPr>
        <w:t>第八、争议解决方式</w:t>
      </w:r>
    </w:p>
    <w:p w14:paraId="1CDDF3F9" w14:textId="1EFF3346"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各方当事人同意，因《基金合同》而产生的或与《基金合同》有关的一切争议，如经友好协商未能解决的，任何一方均有权将争议提交</w:t>
      </w:r>
      <w:r w:rsidR="00AD7F1E" w:rsidRPr="0008283A">
        <w:rPr>
          <w:rFonts w:ascii="宋体" w:hAnsi="宋体" w:cs="宋体" w:hint="eastAsia"/>
          <w:sz w:val="21"/>
          <w:szCs w:val="21"/>
        </w:rPr>
        <w:t>中国国际经济贸易仲裁委员会</w:t>
      </w:r>
      <w:r>
        <w:rPr>
          <w:rFonts w:ascii="宋体" w:hAnsi="宋体" w:cs="宋体"/>
          <w:sz w:val="21"/>
          <w:szCs w:val="21"/>
        </w:rPr>
        <w:t>，按照</w:t>
      </w:r>
      <w:r w:rsidR="00AD7F1E" w:rsidRPr="0008283A">
        <w:rPr>
          <w:rFonts w:ascii="宋体" w:hAnsi="宋体" w:cs="宋体" w:hint="eastAsia"/>
          <w:sz w:val="21"/>
          <w:szCs w:val="21"/>
        </w:rPr>
        <w:t>中国国际经济贸易仲裁委员会</w:t>
      </w:r>
      <w:r>
        <w:rPr>
          <w:rFonts w:ascii="宋体" w:hAnsi="宋体" w:cs="宋体"/>
          <w:sz w:val="21"/>
          <w:szCs w:val="21"/>
        </w:rPr>
        <w:t>届时有效的仲裁规则进行仲裁。</w:t>
      </w:r>
      <w:r w:rsidR="00AD7F1E">
        <w:rPr>
          <w:rFonts w:ascii="宋体" w:hAnsi="宋体" w:cs="宋体"/>
          <w:sz w:val="21"/>
          <w:szCs w:val="21"/>
        </w:rPr>
        <w:t>仲裁地点为</w:t>
      </w:r>
      <w:r w:rsidR="00AD7F1E">
        <w:rPr>
          <w:rFonts w:ascii="宋体" w:hAnsi="宋体" w:cs="宋体" w:hint="eastAsia"/>
          <w:sz w:val="21"/>
          <w:szCs w:val="21"/>
        </w:rPr>
        <w:t>北京</w:t>
      </w:r>
      <w:r w:rsidR="00AD7F1E">
        <w:rPr>
          <w:rFonts w:ascii="宋体" w:hAnsi="宋体" w:cs="宋体"/>
          <w:sz w:val="21"/>
          <w:szCs w:val="21"/>
        </w:rPr>
        <w:t>市</w:t>
      </w:r>
      <w:r>
        <w:rPr>
          <w:rFonts w:ascii="宋体" w:hAnsi="宋体" w:cs="宋体"/>
          <w:sz w:val="21"/>
          <w:szCs w:val="21"/>
        </w:rPr>
        <w:t>。仲裁裁决是终局的，对各方当事人均有约束力。除非仲裁裁决另有规定，仲裁费用由败诉方承担。</w:t>
      </w:r>
    </w:p>
    <w:p w14:paraId="09E56995"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争议处理期间，基金合同当事人应恪守各自的职责，继续忠实、勤勉、尽责地履行基金合同规定的义务，维护基金份额持有人的合法权益。</w:t>
      </w:r>
    </w:p>
    <w:p w14:paraId="41102F9A"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《基金合同》受中国法律（为本基金合同之目的，不包括香港特别行政区、澳门特别行政区和台湾地区法律）管辖。</w:t>
      </w:r>
    </w:p>
    <w:p w14:paraId="24FF02CF"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b/>
          <w:bCs/>
          <w:sz w:val="21"/>
          <w:szCs w:val="21"/>
        </w:rPr>
        <w:t>第九、基金合同存放地和投资者取得基金合同的方式</w:t>
      </w:r>
    </w:p>
    <w:p w14:paraId="661B8D33" w14:textId="77777777" w:rsidR="00567D74" w:rsidRDefault="00567D74">
      <w:pPr>
        <w:widowControl w:val="0"/>
        <w:spacing w:line="360" w:lineRule="auto"/>
        <w:ind w:firstLine="420"/>
        <w:jc w:val="both"/>
        <w:rPr>
          <w:rFonts w:ascii="宋体" w:hAnsi="宋体" w:cs="宋体"/>
          <w:sz w:val="21"/>
          <w:szCs w:val="21"/>
        </w:rPr>
      </w:pPr>
      <w:r>
        <w:rPr>
          <w:rFonts w:ascii="宋体" w:hAnsi="宋体" w:cs="宋体"/>
          <w:sz w:val="21"/>
          <w:szCs w:val="21"/>
        </w:rPr>
        <w:t>依法必须披露的信息发布后，基金管理人、基金托管人应当按照相关法律法规规定将信息置备于公司住所，以供社会公众查阅、复制。</w:t>
      </w:r>
    </w:p>
    <w:p w14:paraId="4A04BABD" w14:textId="77777777" w:rsidR="00A77B3E" w:rsidRDefault="00A77B3E"/>
    <w:sectPr w:rsidR="00A77B3E">
      <w:headerReference w:type="default" r:id="rId8"/>
      <w:footerReference w:type="default" r:id="rId9"/>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8A8279" w14:textId="77777777" w:rsidR="0080101E" w:rsidRDefault="0080101E">
      <w:r>
        <w:separator/>
      </w:r>
    </w:p>
  </w:endnote>
  <w:endnote w:type="continuationSeparator" w:id="0">
    <w:p w14:paraId="434B638B" w14:textId="77777777" w:rsidR="0080101E" w:rsidRDefault="0080101E">
      <w:r>
        <w:continuationSeparator/>
      </w:r>
    </w:p>
  </w:endnote>
  <w:endnote w:type="continuationNotice" w:id="1">
    <w:p w14:paraId="53A22CB2" w14:textId="77777777" w:rsidR="0080101E" w:rsidRDefault="008010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华文行楷">
    <w:panose1 w:val="02010800040101010101"/>
    <w:charset w:val="86"/>
    <w:family w:val="auto"/>
    <w:pitch w:val="variable"/>
    <w:sig w:usb0="00000001" w:usb1="080F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6A5990" w14:textId="77777777" w:rsidR="00293E3E" w:rsidRDefault="00293E3E">
    <w:pPr>
      <w:jc w:val="center"/>
    </w:pPr>
    <w:r>
      <w:rPr>
        <w:rFonts w:ascii="宋体" w:hAnsi="宋体" w:cs="宋体"/>
        <w:sz w:val="18"/>
      </w:rPr>
      <w:fldChar w:fldCharType="begin"/>
    </w:r>
    <w:r>
      <w:rPr>
        <w:rFonts w:ascii="宋体" w:hAnsi="宋体" w:cs="宋体"/>
        <w:sz w:val="18"/>
      </w:rPr>
      <w:instrText xml:space="preserve"> PAGE </w:instrText>
    </w:r>
    <w:r>
      <w:rPr>
        <w:rFonts w:ascii="宋体" w:hAnsi="宋体" w:cs="宋体"/>
        <w:sz w:val="18"/>
      </w:rPr>
      <w:fldChar w:fldCharType="separate"/>
    </w:r>
    <w:r w:rsidR="00463294">
      <w:rPr>
        <w:rFonts w:ascii="宋体" w:hAnsi="宋体" w:cs="宋体"/>
        <w:noProof/>
        <w:sz w:val="18"/>
      </w:rPr>
      <w:t>20</w:t>
    </w:r>
    <w:r>
      <w:rPr>
        <w:rFonts w:ascii="宋体" w:hAnsi="宋体" w:cs="宋体"/>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109433" w14:textId="77777777" w:rsidR="0080101E" w:rsidRDefault="0080101E">
      <w:r>
        <w:separator/>
      </w:r>
    </w:p>
  </w:footnote>
  <w:footnote w:type="continuationSeparator" w:id="0">
    <w:p w14:paraId="71C97B0D" w14:textId="77777777" w:rsidR="0080101E" w:rsidRDefault="0080101E">
      <w:r>
        <w:continuationSeparator/>
      </w:r>
    </w:p>
  </w:footnote>
  <w:footnote w:type="continuationNotice" w:id="1">
    <w:p w14:paraId="042BCB9B" w14:textId="77777777" w:rsidR="0080101E" w:rsidRDefault="0080101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7CBD00" w14:textId="5612A5F8" w:rsidR="00293E3E" w:rsidRDefault="0080101E">
    <w:pPr>
      <w:widowControl w:val="0"/>
      <w:pBdr>
        <w:bottom w:val="single" w:sz="6" w:space="0" w:color="DDDDDD"/>
      </w:pBdr>
      <w:tabs>
        <w:tab w:val="right" w:pos="8640"/>
      </w:tabs>
      <w:jc w:val="both"/>
      <w:rPr>
        <w:rFonts w:ascii="宋体" w:hAnsi="宋体" w:cs="宋体"/>
        <w:sz w:val="18"/>
        <w:szCs w:val="18"/>
      </w:rPr>
    </w:pPr>
    <w:r>
      <w:rPr>
        <w:rFonts w:ascii="宋体" w:hAnsi="宋体" w:cs="宋体"/>
        <w:sz w:val="18"/>
        <w:szCs w:val="18"/>
      </w:rPr>
      <w:pict w14:anchorId="649A7D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信纸01" style="width:150pt;height:13.8pt">
          <v:imagedata r:id="rId1" o:title=""/>
        </v:shape>
      </w:pict>
    </w:r>
    <w:r w:rsidR="00293E3E">
      <w:rPr>
        <w:rFonts w:ascii="宋体" w:hAnsi="宋体" w:cs="宋体"/>
        <w:sz w:val="18"/>
        <w:szCs w:val="18"/>
      </w:rPr>
      <w:tab/>
      <w:t>鹏</w:t>
    </w:r>
    <w:proofErr w:type="gramStart"/>
    <w:r w:rsidR="00293E3E">
      <w:rPr>
        <w:rFonts w:ascii="宋体" w:hAnsi="宋体" w:cs="宋体"/>
        <w:sz w:val="18"/>
        <w:szCs w:val="18"/>
      </w:rPr>
      <w:t>华</w:t>
    </w:r>
    <w:r w:rsidR="00293E3E" w:rsidRPr="00B92AE0">
      <w:rPr>
        <w:rFonts w:ascii="宋体" w:hAnsi="宋体" w:cs="宋体" w:hint="eastAsia"/>
        <w:sz w:val="18"/>
        <w:szCs w:val="18"/>
      </w:rPr>
      <w:t>创新</w:t>
    </w:r>
    <w:proofErr w:type="gramEnd"/>
    <w:r w:rsidR="00293E3E" w:rsidRPr="00B92AE0">
      <w:rPr>
        <w:rFonts w:ascii="宋体" w:hAnsi="宋体" w:cs="宋体" w:hint="eastAsia"/>
        <w:sz w:val="18"/>
        <w:szCs w:val="18"/>
      </w:rPr>
      <w:t>医药</w:t>
    </w:r>
    <w:r w:rsidR="00293E3E">
      <w:rPr>
        <w:rFonts w:ascii="宋体" w:hAnsi="宋体" w:cs="宋体"/>
        <w:sz w:val="18"/>
        <w:szCs w:val="18"/>
      </w:rPr>
      <w:t>混合型证券投资</w:t>
    </w:r>
    <w:proofErr w:type="gramStart"/>
    <w:r w:rsidR="00293E3E">
      <w:rPr>
        <w:rFonts w:ascii="宋体" w:hAnsi="宋体" w:cs="宋体"/>
        <w:sz w:val="18"/>
        <w:szCs w:val="18"/>
      </w:rPr>
      <w:t>基金基金</w:t>
    </w:r>
    <w:proofErr w:type="gramEnd"/>
    <w:r w:rsidR="00293E3E">
      <w:rPr>
        <w:rFonts w:ascii="宋体" w:hAnsi="宋体" w:cs="宋体"/>
        <w:sz w:val="18"/>
        <w:szCs w:val="18"/>
      </w:rPr>
      <w:t>合同</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2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042CCC"/>
    <w:rsid w:val="000534E0"/>
    <w:rsid w:val="00053B6B"/>
    <w:rsid w:val="000615F8"/>
    <w:rsid w:val="0007491E"/>
    <w:rsid w:val="0008283A"/>
    <w:rsid w:val="00085F9E"/>
    <w:rsid w:val="00091538"/>
    <w:rsid w:val="000A234A"/>
    <w:rsid w:val="000A50B7"/>
    <w:rsid w:val="000B5F6F"/>
    <w:rsid w:val="001215C5"/>
    <w:rsid w:val="0012389F"/>
    <w:rsid w:val="00134BB7"/>
    <w:rsid w:val="00194B06"/>
    <w:rsid w:val="001A73C1"/>
    <w:rsid w:val="001B0EA0"/>
    <w:rsid w:val="001D265A"/>
    <w:rsid w:val="001E1708"/>
    <w:rsid w:val="001F1697"/>
    <w:rsid w:val="002110F7"/>
    <w:rsid w:val="00227C22"/>
    <w:rsid w:val="00237E9F"/>
    <w:rsid w:val="00265D22"/>
    <w:rsid w:val="00272A66"/>
    <w:rsid w:val="00287A57"/>
    <w:rsid w:val="00293E3E"/>
    <w:rsid w:val="002A3F1B"/>
    <w:rsid w:val="002C5286"/>
    <w:rsid w:val="002E2EC3"/>
    <w:rsid w:val="0034258E"/>
    <w:rsid w:val="00372533"/>
    <w:rsid w:val="00375793"/>
    <w:rsid w:val="003A7433"/>
    <w:rsid w:val="003B2344"/>
    <w:rsid w:val="003D5F1A"/>
    <w:rsid w:val="00401A8E"/>
    <w:rsid w:val="00413AAC"/>
    <w:rsid w:val="00434A92"/>
    <w:rsid w:val="00461B0B"/>
    <w:rsid w:val="00462B0A"/>
    <w:rsid w:val="00463294"/>
    <w:rsid w:val="00471714"/>
    <w:rsid w:val="00471C34"/>
    <w:rsid w:val="0049006D"/>
    <w:rsid w:val="00495D58"/>
    <w:rsid w:val="00497D9C"/>
    <w:rsid w:val="004E4220"/>
    <w:rsid w:val="004E59E5"/>
    <w:rsid w:val="004F126F"/>
    <w:rsid w:val="004F36FA"/>
    <w:rsid w:val="005146EE"/>
    <w:rsid w:val="00514F45"/>
    <w:rsid w:val="00540399"/>
    <w:rsid w:val="00567D74"/>
    <w:rsid w:val="00570778"/>
    <w:rsid w:val="0058507D"/>
    <w:rsid w:val="00593C14"/>
    <w:rsid w:val="005C4C17"/>
    <w:rsid w:val="005C6C47"/>
    <w:rsid w:val="005D19CD"/>
    <w:rsid w:val="005D4D58"/>
    <w:rsid w:val="005D589E"/>
    <w:rsid w:val="005F4400"/>
    <w:rsid w:val="005F6F96"/>
    <w:rsid w:val="006013E0"/>
    <w:rsid w:val="00605299"/>
    <w:rsid w:val="006112EC"/>
    <w:rsid w:val="00611E88"/>
    <w:rsid w:val="00620EE6"/>
    <w:rsid w:val="00636C67"/>
    <w:rsid w:val="006401BF"/>
    <w:rsid w:val="00653302"/>
    <w:rsid w:val="006A0261"/>
    <w:rsid w:val="006B411C"/>
    <w:rsid w:val="00704473"/>
    <w:rsid w:val="00721322"/>
    <w:rsid w:val="00730EB6"/>
    <w:rsid w:val="00750B56"/>
    <w:rsid w:val="00750D45"/>
    <w:rsid w:val="007655EC"/>
    <w:rsid w:val="007724D6"/>
    <w:rsid w:val="00794440"/>
    <w:rsid w:val="007F51B2"/>
    <w:rsid w:val="007F7385"/>
    <w:rsid w:val="0080101E"/>
    <w:rsid w:val="00821C0D"/>
    <w:rsid w:val="00844EA7"/>
    <w:rsid w:val="00854739"/>
    <w:rsid w:val="0089382A"/>
    <w:rsid w:val="008978DA"/>
    <w:rsid w:val="008A68E8"/>
    <w:rsid w:val="008C4CEA"/>
    <w:rsid w:val="008E7056"/>
    <w:rsid w:val="008E7604"/>
    <w:rsid w:val="008F2E0D"/>
    <w:rsid w:val="008F7433"/>
    <w:rsid w:val="00903D20"/>
    <w:rsid w:val="0091088A"/>
    <w:rsid w:val="00934731"/>
    <w:rsid w:val="00942C91"/>
    <w:rsid w:val="009444F9"/>
    <w:rsid w:val="00971F9A"/>
    <w:rsid w:val="00975928"/>
    <w:rsid w:val="00982488"/>
    <w:rsid w:val="009A0464"/>
    <w:rsid w:val="009B1D95"/>
    <w:rsid w:val="009B289E"/>
    <w:rsid w:val="009C591D"/>
    <w:rsid w:val="009E6D6C"/>
    <w:rsid w:val="009F1D6A"/>
    <w:rsid w:val="009F7F20"/>
    <w:rsid w:val="00A01A70"/>
    <w:rsid w:val="00A1561C"/>
    <w:rsid w:val="00A234AE"/>
    <w:rsid w:val="00A25C2A"/>
    <w:rsid w:val="00A4455A"/>
    <w:rsid w:val="00A63D63"/>
    <w:rsid w:val="00A77B3E"/>
    <w:rsid w:val="00A94DA9"/>
    <w:rsid w:val="00AB3F77"/>
    <w:rsid w:val="00AD418D"/>
    <w:rsid w:val="00AD7F1E"/>
    <w:rsid w:val="00AF2820"/>
    <w:rsid w:val="00AF3738"/>
    <w:rsid w:val="00AF3FC4"/>
    <w:rsid w:val="00B061AD"/>
    <w:rsid w:val="00B1048B"/>
    <w:rsid w:val="00B47AF5"/>
    <w:rsid w:val="00B92AE0"/>
    <w:rsid w:val="00BC03E2"/>
    <w:rsid w:val="00BD030A"/>
    <w:rsid w:val="00BE024B"/>
    <w:rsid w:val="00C140D7"/>
    <w:rsid w:val="00C51058"/>
    <w:rsid w:val="00C60056"/>
    <w:rsid w:val="00C835D5"/>
    <w:rsid w:val="00C956C1"/>
    <w:rsid w:val="00CA0F26"/>
    <w:rsid w:val="00CA2A55"/>
    <w:rsid w:val="00CA48EF"/>
    <w:rsid w:val="00CF3398"/>
    <w:rsid w:val="00D22321"/>
    <w:rsid w:val="00D22A79"/>
    <w:rsid w:val="00D30331"/>
    <w:rsid w:val="00D3515E"/>
    <w:rsid w:val="00D40E13"/>
    <w:rsid w:val="00D6315F"/>
    <w:rsid w:val="00D723F6"/>
    <w:rsid w:val="00D92B81"/>
    <w:rsid w:val="00DA19C2"/>
    <w:rsid w:val="00DA54A4"/>
    <w:rsid w:val="00DB5607"/>
    <w:rsid w:val="00DC5DB8"/>
    <w:rsid w:val="00DD5F2F"/>
    <w:rsid w:val="00E00F36"/>
    <w:rsid w:val="00E14FC6"/>
    <w:rsid w:val="00E17432"/>
    <w:rsid w:val="00E2583A"/>
    <w:rsid w:val="00E40018"/>
    <w:rsid w:val="00E40546"/>
    <w:rsid w:val="00E536E8"/>
    <w:rsid w:val="00E62718"/>
    <w:rsid w:val="00E810EF"/>
    <w:rsid w:val="00E94799"/>
    <w:rsid w:val="00E95133"/>
    <w:rsid w:val="00E952B4"/>
    <w:rsid w:val="00E954A4"/>
    <w:rsid w:val="00EA6511"/>
    <w:rsid w:val="00EB70B5"/>
    <w:rsid w:val="00F0383D"/>
    <w:rsid w:val="00F375D6"/>
    <w:rsid w:val="00F40E7A"/>
    <w:rsid w:val="00F765BF"/>
    <w:rsid w:val="00FC459F"/>
    <w:rsid w:val="00FE2AF6"/>
    <w:rsid w:val="00FF1098"/>
    <w:rsid w:val="00FF7877"/>
  </w:rsids>
  <m:mathPr>
    <m:mathFont m:val="Cambria Math"/>
    <m:brkBin m:val="before"/>
    <m:brkBinSub m:val="--"/>
    <m:smallFrac m:val="0"/>
    <m:dispDef/>
    <m:lMargin m:val="0"/>
    <m:rMargin m:val="0"/>
    <m:defJc m:val="centerGroup"/>
    <m:wrapRight/>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5F07BB"/>
  <w15:chartTrackingRefBased/>
  <w15:docId w15:val="{82B6E6E7-26A3-48DD-81E8-3DA5A73D0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EF7B96"/>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basedOn w:val="a"/>
    <w:next w:val="a"/>
    <w:autoRedefine/>
    <w:rsid w:val="00805BCE"/>
    <w:pPr>
      <w:spacing w:line="360" w:lineRule="auto"/>
    </w:pPr>
    <w:rPr>
      <w:rFonts w:ascii="宋体" w:hAnsi="宋体" w:cs="宋体"/>
      <w:b/>
      <w:sz w:val="21"/>
    </w:rPr>
  </w:style>
  <w:style w:type="character" w:styleId="a3">
    <w:name w:val="Hyperlink"/>
    <w:rsid w:val="00EF7B96"/>
    <w:rPr>
      <w:color w:val="0000FF"/>
      <w:u w:val="single"/>
    </w:rPr>
  </w:style>
  <w:style w:type="paragraph" w:styleId="a4">
    <w:name w:val="header"/>
    <w:basedOn w:val="a"/>
    <w:link w:val="Char"/>
    <w:rsid w:val="008978DA"/>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4"/>
    <w:rsid w:val="008978DA"/>
    <w:rPr>
      <w:sz w:val="18"/>
      <w:szCs w:val="18"/>
    </w:rPr>
  </w:style>
  <w:style w:type="paragraph" w:styleId="a5">
    <w:name w:val="footer"/>
    <w:basedOn w:val="a"/>
    <w:link w:val="Char0"/>
    <w:rsid w:val="008978DA"/>
    <w:pPr>
      <w:tabs>
        <w:tab w:val="center" w:pos="4153"/>
        <w:tab w:val="right" w:pos="8306"/>
      </w:tabs>
      <w:snapToGrid w:val="0"/>
    </w:pPr>
    <w:rPr>
      <w:sz w:val="18"/>
      <w:szCs w:val="18"/>
    </w:rPr>
  </w:style>
  <w:style w:type="character" w:customStyle="1" w:styleId="Char0">
    <w:name w:val="页脚 Char"/>
    <w:link w:val="a5"/>
    <w:rsid w:val="008978DA"/>
    <w:rPr>
      <w:sz w:val="18"/>
      <w:szCs w:val="18"/>
    </w:rPr>
  </w:style>
  <w:style w:type="paragraph" w:styleId="a6">
    <w:name w:val="Balloon Text"/>
    <w:basedOn w:val="a"/>
    <w:link w:val="Char1"/>
    <w:rsid w:val="008978DA"/>
    <w:rPr>
      <w:sz w:val="18"/>
      <w:szCs w:val="18"/>
    </w:rPr>
  </w:style>
  <w:style w:type="character" w:customStyle="1" w:styleId="Char1">
    <w:name w:val="批注框文本 Char"/>
    <w:link w:val="a6"/>
    <w:rsid w:val="008978DA"/>
    <w:rPr>
      <w:sz w:val="18"/>
      <w:szCs w:val="18"/>
    </w:rPr>
  </w:style>
  <w:style w:type="character" w:styleId="a7">
    <w:name w:val="annotation reference"/>
    <w:rsid w:val="001A73C1"/>
    <w:rPr>
      <w:sz w:val="21"/>
      <w:szCs w:val="21"/>
    </w:rPr>
  </w:style>
  <w:style w:type="paragraph" w:styleId="a8">
    <w:name w:val="annotation text"/>
    <w:basedOn w:val="a"/>
    <w:link w:val="Char2"/>
    <w:qFormat/>
    <w:rsid w:val="001A73C1"/>
  </w:style>
  <w:style w:type="character" w:customStyle="1" w:styleId="Char2">
    <w:name w:val="批注文字 Char"/>
    <w:link w:val="a8"/>
    <w:qFormat/>
    <w:rsid w:val="001A73C1"/>
    <w:rPr>
      <w:sz w:val="24"/>
      <w:szCs w:val="24"/>
    </w:rPr>
  </w:style>
  <w:style w:type="paragraph" w:styleId="a9">
    <w:name w:val="annotation subject"/>
    <w:basedOn w:val="a8"/>
    <w:next w:val="a8"/>
    <w:link w:val="Char3"/>
    <w:rsid w:val="001A73C1"/>
    <w:rPr>
      <w:b/>
      <w:bCs/>
    </w:rPr>
  </w:style>
  <w:style w:type="character" w:customStyle="1" w:styleId="Char3">
    <w:name w:val="批注主题 Char"/>
    <w:link w:val="a9"/>
    <w:rsid w:val="001A73C1"/>
    <w:rPr>
      <w:b/>
      <w:bCs/>
      <w:sz w:val="24"/>
      <w:szCs w:val="24"/>
    </w:rPr>
  </w:style>
  <w:style w:type="paragraph" w:styleId="aa">
    <w:name w:val="Revision"/>
    <w:hidden/>
    <w:uiPriority w:val="99"/>
    <w:semiHidden/>
    <w:rsid w:val="007F51B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20301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4A9BED-5A97-442B-98DB-04740F2B4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86</Pages>
  <Words>10741</Words>
  <Characters>61224</Characters>
  <Application>Microsoft Office Word</Application>
  <DocSecurity>0</DocSecurity>
  <Lines>510</Lines>
  <Paragraphs>143</Paragraphs>
  <ScaleCrop>false</ScaleCrop>
  <Company>神州网信技术有限公司</Company>
  <LinksUpToDate>false</LinksUpToDate>
  <CharactersWithSpaces>71822</CharactersWithSpaces>
  <SharedDoc>false</SharedDoc>
  <HLinks>
    <vt:vector size="144" baseType="variant">
      <vt:variant>
        <vt:i4>1048628</vt:i4>
      </vt:variant>
      <vt:variant>
        <vt:i4>140</vt:i4>
      </vt:variant>
      <vt:variant>
        <vt:i4>0</vt:i4>
      </vt:variant>
      <vt:variant>
        <vt:i4>5</vt:i4>
      </vt:variant>
      <vt:variant>
        <vt:lpwstr/>
      </vt:variant>
      <vt:variant>
        <vt:lpwstr>_Toc256000023</vt:lpwstr>
      </vt:variant>
      <vt:variant>
        <vt:i4>1048628</vt:i4>
      </vt:variant>
      <vt:variant>
        <vt:i4>134</vt:i4>
      </vt:variant>
      <vt:variant>
        <vt:i4>0</vt:i4>
      </vt:variant>
      <vt:variant>
        <vt:i4>5</vt:i4>
      </vt:variant>
      <vt:variant>
        <vt:lpwstr/>
      </vt:variant>
      <vt:variant>
        <vt:lpwstr>_Toc256000022</vt:lpwstr>
      </vt:variant>
      <vt:variant>
        <vt:i4>1048628</vt:i4>
      </vt:variant>
      <vt:variant>
        <vt:i4>128</vt:i4>
      </vt:variant>
      <vt:variant>
        <vt:i4>0</vt:i4>
      </vt:variant>
      <vt:variant>
        <vt:i4>5</vt:i4>
      </vt:variant>
      <vt:variant>
        <vt:lpwstr/>
      </vt:variant>
      <vt:variant>
        <vt:lpwstr>_Toc256000021</vt:lpwstr>
      </vt:variant>
      <vt:variant>
        <vt:i4>1048628</vt:i4>
      </vt:variant>
      <vt:variant>
        <vt:i4>122</vt:i4>
      </vt:variant>
      <vt:variant>
        <vt:i4>0</vt:i4>
      </vt:variant>
      <vt:variant>
        <vt:i4>5</vt:i4>
      </vt:variant>
      <vt:variant>
        <vt:lpwstr/>
      </vt:variant>
      <vt:variant>
        <vt:lpwstr>_Toc256000020</vt:lpwstr>
      </vt:variant>
      <vt:variant>
        <vt:i4>1245236</vt:i4>
      </vt:variant>
      <vt:variant>
        <vt:i4>116</vt:i4>
      </vt:variant>
      <vt:variant>
        <vt:i4>0</vt:i4>
      </vt:variant>
      <vt:variant>
        <vt:i4>5</vt:i4>
      </vt:variant>
      <vt:variant>
        <vt:lpwstr/>
      </vt:variant>
      <vt:variant>
        <vt:lpwstr>_Toc256000019</vt:lpwstr>
      </vt:variant>
      <vt:variant>
        <vt:i4>1245236</vt:i4>
      </vt:variant>
      <vt:variant>
        <vt:i4>110</vt:i4>
      </vt:variant>
      <vt:variant>
        <vt:i4>0</vt:i4>
      </vt:variant>
      <vt:variant>
        <vt:i4>5</vt:i4>
      </vt:variant>
      <vt:variant>
        <vt:lpwstr/>
      </vt:variant>
      <vt:variant>
        <vt:lpwstr>_Toc256000018</vt:lpwstr>
      </vt:variant>
      <vt:variant>
        <vt:i4>1245236</vt:i4>
      </vt:variant>
      <vt:variant>
        <vt:i4>104</vt:i4>
      </vt:variant>
      <vt:variant>
        <vt:i4>0</vt:i4>
      </vt:variant>
      <vt:variant>
        <vt:i4>5</vt:i4>
      </vt:variant>
      <vt:variant>
        <vt:lpwstr/>
      </vt:variant>
      <vt:variant>
        <vt:lpwstr>_Toc256000017</vt:lpwstr>
      </vt:variant>
      <vt:variant>
        <vt:i4>1245236</vt:i4>
      </vt:variant>
      <vt:variant>
        <vt:i4>98</vt:i4>
      </vt:variant>
      <vt:variant>
        <vt:i4>0</vt:i4>
      </vt:variant>
      <vt:variant>
        <vt:i4>5</vt:i4>
      </vt:variant>
      <vt:variant>
        <vt:lpwstr/>
      </vt:variant>
      <vt:variant>
        <vt:lpwstr>_Toc256000016</vt:lpwstr>
      </vt:variant>
      <vt:variant>
        <vt:i4>1245236</vt:i4>
      </vt:variant>
      <vt:variant>
        <vt:i4>92</vt:i4>
      </vt:variant>
      <vt:variant>
        <vt:i4>0</vt:i4>
      </vt:variant>
      <vt:variant>
        <vt:i4>5</vt:i4>
      </vt:variant>
      <vt:variant>
        <vt:lpwstr/>
      </vt:variant>
      <vt:variant>
        <vt:lpwstr>_Toc256000015</vt:lpwstr>
      </vt:variant>
      <vt:variant>
        <vt:i4>1245236</vt:i4>
      </vt:variant>
      <vt:variant>
        <vt:i4>86</vt:i4>
      </vt:variant>
      <vt:variant>
        <vt:i4>0</vt:i4>
      </vt:variant>
      <vt:variant>
        <vt:i4>5</vt:i4>
      </vt:variant>
      <vt:variant>
        <vt:lpwstr/>
      </vt:variant>
      <vt:variant>
        <vt:lpwstr>_Toc256000014</vt:lpwstr>
      </vt:variant>
      <vt:variant>
        <vt:i4>1245236</vt:i4>
      </vt:variant>
      <vt:variant>
        <vt:i4>80</vt:i4>
      </vt:variant>
      <vt:variant>
        <vt:i4>0</vt:i4>
      </vt:variant>
      <vt:variant>
        <vt:i4>5</vt:i4>
      </vt:variant>
      <vt:variant>
        <vt:lpwstr/>
      </vt:variant>
      <vt:variant>
        <vt:lpwstr>_Toc256000013</vt:lpwstr>
      </vt:variant>
      <vt:variant>
        <vt:i4>1245236</vt:i4>
      </vt:variant>
      <vt:variant>
        <vt:i4>74</vt:i4>
      </vt:variant>
      <vt:variant>
        <vt:i4>0</vt:i4>
      </vt:variant>
      <vt:variant>
        <vt:i4>5</vt:i4>
      </vt:variant>
      <vt:variant>
        <vt:lpwstr/>
      </vt:variant>
      <vt:variant>
        <vt:lpwstr>_Toc256000012</vt:lpwstr>
      </vt:variant>
      <vt:variant>
        <vt:i4>1245236</vt:i4>
      </vt:variant>
      <vt:variant>
        <vt:i4>68</vt:i4>
      </vt:variant>
      <vt:variant>
        <vt:i4>0</vt:i4>
      </vt:variant>
      <vt:variant>
        <vt:i4>5</vt:i4>
      </vt:variant>
      <vt:variant>
        <vt:lpwstr/>
      </vt:variant>
      <vt:variant>
        <vt:lpwstr>_Toc256000011</vt:lpwstr>
      </vt:variant>
      <vt:variant>
        <vt:i4>1245236</vt:i4>
      </vt:variant>
      <vt:variant>
        <vt:i4>62</vt:i4>
      </vt:variant>
      <vt:variant>
        <vt:i4>0</vt:i4>
      </vt:variant>
      <vt:variant>
        <vt:i4>5</vt:i4>
      </vt:variant>
      <vt:variant>
        <vt:lpwstr/>
      </vt:variant>
      <vt:variant>
        <vt:lpwstr>_Toc256000010</vt:lpwstr>
      </vt:variant>
      <vt:variant>
        <vt:i4>1179700</vt:i4>
      </vt:variant>
      <vt:variant>
        <vt:i4>56</vt:i4>
      </vt:variant>
      <vt:variant>
        <vt:i4>0</vt:i4>
      </vt:variant>
      <vt:variant>
        <vt:i4>5</vt:i4>
      </vt:variant>
      <vt:variant>
        <vt:lpwstr/>
      </vt:variant>
      <vt:variant>
        <vt:lpwstr>_Toc256000009</vt:lpwstr>
      </vt:variant>
      <vt:variant>
        <vt:i4>1179700</vt:i4>
      </vt:variant>
      <vt:variant>
        <vt:i4>50</vt:i4>
      </vt:variant>
      <vt:variant>
        <vt:i4>0</vt:i4>
      </vt:variant>
      <vt:variant>
        <vt:i4>5</vt:i4>
      </vt:variant>
      <vt:variant>
        <vt:lpwstr/>
      </vt:variant>
      <vt:variant>
        <vt:lpwstr>_Toc256000008</vt:lpwstr>
      </vt:variant>
      <vt:variant>
        <vt:i4>1179700</vt:i4>
      </vt:variant>
      <vt:variant>
        <vt:i4>44</vt:i4>
      </vt:variant>
      <vt:variant>
        <vt:i4>0</vt:i4>
      </vt:variant>
      <vt:variant>
        <vt:i4>5</vt:i4>
      </vt:variant>
      <vt:variant>
        <vt:lpwstr/>
      </vt:variant>
      <vt:variant>
        <vt:lpwstr>_Toc256000007</vt:lpwstr>
      </vt:variant>
      <vt:variant>
        <vt:i4>1179700</vt:i4>
      </vt:variant>
      <vt:variant>
        <vt:i4>38</vt:i4>
      </vt:variant>
      <vt:variant>
        <vt:i4>0</vt:i4>
      </vt:variant>
      <vt:variant>
        <vt:i4>5</vt:i4>
      </vt:variant>
      <vt:variant>
        <vt:lpwstr/>
      </vt:variant>
      <vt:variant>
        <vt:lpwstr>_Toc256000006</vt:lpwstr>
      </vt:variant>
      <vt:variant>
        <vt:i4>1179700</vt:i4>
      </vt:variant>
      <vt:variant>
        <vt:i4>32</vt:i4>
      </vt:variant>
      <vt:variant>
        <vt:i4>0</vt:i4>
      </vt:variant>
      <vt:variant>
        <vt:i4>5</vt:i4>
      </vt:variant>
      <vt:variant>
        <vt:lpwstr/>
      </vt:variant>
      <vt:variant>
        <vt:lpwstr>_Toc256000005</vt:lpwstr>
      </vt:variant>
      <vt:variant>
        <vt:i4>1179700</vt:i4>
      </vt:variant>
      <vt:variant>
        <vt:i4>26</vt:i4>
      </vt:variant>
      <vt:variant>
        <vt:i4>0</vt:i4>
      </vt:variant>
      <vt:variant>
        <vt:i4>5</vt:i4>
      </vt:variant>
      <vt:variant>
        <vt:lpwstr/>
      </vt:variant>
      <vt:variant>
        <vt:lpwstr>_Toc256000004</vt:lpwstr>
      </vt:variant>
      <vt:variant>
        <vt:i4>1179700</vt:i4>
      </vt:variant>
      <vt:variant>
        <vt:i4>20</vt:i4>
      </vt:variant>
      <vt:variant>
        <vt:i4>0</vt:i4>
      </vt:variant>
      <vt:variant>
        <vt:i4>5</vt:i4>
      </vt:variant>
      <vt:variant>
        <vt:lpwstr/>
      </vt:variant>
      <vt:variant>
        <vt:lpwstr>_Toc256000003</vt:lpwstr>
      </vt:variant>
      <vt:variant>
        <vt:i4>1179700</vt:i4>
      </vt:variant>
      <vt:variant>
        <vt:i4>14</vt:i4>
      </vt:variant>
      <vt:variant>
        <vt:i4>0</vt:i4>
      </vt:variant>
      <vt:variant>
        <vt:i4>5</vt:i4>
      </vt:variant>
      <vt:variant>
        <vt:lpwstr/>
      </vt:variant>
      <vt:variant>
        <vt:lpwstr>_Toc256000002</vt:lpwstr>
      </vt:variant>
      <vt:variant>
        <vt:i4>1179700</vt:i4>
      </vt:variant>
      <vt:variant>
        <vt:i4>8</vt:i4>
      </vt:variant>
      <vt:variant>
        <vt:i4>0</vt:i4>
      </vt:variant>
      <vt:variant>
        <vt:i4>5</vt:i4>
      </vt:variant>
      <vt:variant>
        <vt:lpwstr/>
      </vt:variant>
      <vt:variant>
        <vt:lpwstr>_Toc256000001</vt:lpwstr>
      </vt:variant>
      <vt:variant>
        <vt:i4>1179700</vt:i4>
      </vt:variant>
      <vt:variant>
        <vt:i4>2</vt:i4>
      </vt:variant>
      <vt:variant>
        <vt:i4>0</vt:i4>
      </vt:variant>
      <vt:variant>
        <vt:i4>5</vt:i4>
      </vt:variant>
      <vt:variant>
        <vt:lpwstr/>
      </vt:variant>
      <vt:variant>
        <vt:lpwstr>_Toc256000000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王维维v2</dc:creator>
  <cp:keywords/>
  <cp:lastModifiedBy>王维维</cp:lastModifiedBy>
  <cp:revision>40</cp:revision>
  <cp:lastPrinted>2024-04-13T12:37:00Z</cp:lastPrinted>
  <dcterms:created xsi:type="dcterms:W3CDTF">2023-03-30T01:47:00Z</dcterms:created>
  <dcterms:modified xsi:type="dcterms:W3CDTF">2024-04-13T12:37:00Z</dcterms:modified>
</cp:coreProperties>
</file>